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1659"/>
        <w:spacing w:before="159" w:line="197" w:lineRule="auto"/>
        <w:rPr>
          <w:rFonts w:ascii="STZhongsong" w:hAnsi="STZhongsong" w:eastAsia="STZhongsong" w:cs="STZhongsong"/>
          <w:sz w:val="43"/>
          <w:szCs w:val="43"/>
        </w:rPr>
      </w:pPr>
      <w:r>
        <w:rPr>
          <w:rFonts w:ascii="STZhongsong" w:hAnsi="STZhongsong" w:eastAsia="STZhongsong" w:cs="STZhongsong"/>
          <w:sz w:val="43"/>
          <w:szCs w:val="43"/>
          <w:spacing w:val="105"/>
        </w:rPr>
        <w:t>长治高新区老顶山物流园事业服务中</w:t>
      </w:r>
    </w:p>
    <w:p>
      <w:pPr>
        <w:ind w:left="5726"/>
        <w:spacing w:before="59" w:line="187" w:lineRule="auto"/>
        <w:rPr>
          <w:rFonts w:ascii="STZhongsong" w:hAnsi="STZhongsong" w:eastAsia="STZhongsong" w:cs="STZhongsong"/>
          <w:sz w:val="43"/>
          <w:szCs w:val="43"/>
        </w:rPr>
      </w:pPr>
      <w:r>
        <w:rPr>
          <w:rFonts w:ascii="STZhongsong" w:hAnsi="STZhongsong" w:eastAsia="STZhongsong" w:cs="STZhongsong"/>
          <w:sz w:val="43"/>
          <w:szCs w:val="43"/>
        </w:rPr>
        <w:t>心</w:t>
      </w:r>
    </w:p>
    <w:p>
      <w:pPr>
        <w:pStyle w:val="BodyText"/>
        <w:spacing w:line="350" w:lineRule="auto"/>
        <w:rPr/>
      </w:pPr>
      <w:r/>
    </w:p>
    <w:p>
      <w:pPr>
        <w:ind w:left="3079"/>
        <w:spacing w:before="158" w:line="677" w:lineRule="exact"/>
        <w:rPr>
          <w:rFonts w:ascii="STZhongsong" w:hAnsi="STZhongsong" w:eastAsia="STZhongsong" w:cs="STZhongsong"/>
          <w:sz w:val="43"/>
          <w:szCs w:val="43"/>
        </w:rPr>
      </w:pPr>
      <w:r>
        <w:rPr>
          <w:rFonts w:ascii="STZhongsong" w:hAnsi="STZhongsong" w:eastAsia="STZhongsong" w:cs="STZhongsong"/>
          <w:sz w:val="43"/>
          <w:szCs w:val="43"/>
          <w:spacing w:val="-12"/>
          <w:position w:val="8"/>
        </w:rPr>
        <w:t>2 0 2 6</w:t>
      </w:r>
      <w:r>
        <w:rPr>
          <w:rFonts w:ascii="STZhongsong" w:hAnsi="STZhongsong" w:eastAsia="STZhongsong" w:cs="STZhongsong"/>
          <w:sz w:val="43"/>
          <w:szCs w:val="43"/>
          <w:spacing w:val="-14"/>
          <w:position w:val="8"/>
        </w:rPr>
        <w:t xml:space="preserve"> </w:t>
      </w:r>
      <w:r>
        <w:rPr>
          <w:rFonts w:ascii="STZhongsong" w:hAnsi="STZhongsong" w:eastAsia="STZhongsong" w:cs="STZhongsong"/>
          <w:sz w:val="43"/>
          <w:szCs w:val="43"/>
          <w:spacing w:val="-12"/>
          <w:position w:val="8"/>
        </w:rPr>
        <w:t>年</w:t>
      </w:r>
      <w:r>
        <w:rPr>
          <w:rFonts w:ascii="STZhongsong" w:hAnsi="STZhongsong" w:eastAsia="STZhongsong" w:cs="STZhongsong"/>
          <w:sz w:val="43"/>
          <w:szCs w:val="43"/>
          <w:spacing w:val="-19"/>
          <w:position w:val="8"/>
        </w:rPr>
        <w:t xml:space="preserve"> </w:t>
      </w:r>
      <w:r>
        <w:rPr>
          <w:rFonts w:ascii="STZhongsong" w:hAnsi="STZhongsong" w:eastAsia="STZhongsong" w:cs="STZhongsong"/>
          <w:sz w:val="43"/>
          <w:szCs w:val="43"/>
          <w:spacing w:val="-12"/>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2"/>
          <w:position w:val="8"/>
        </w:rPr>
        <w:t>部 门</w:t>
      </w:r>
      <w:r>
        <w:rPr>
          <w:rFonts w:ascii="STZhongsong" w:hAnsi="STZhongsong" w:eastAsia="STZhongsong" w:cs="STZhongsong"/>
          <w:sz w:val="43"/>
          <w:szCs w:val="43"/>
          <w:spacing w:val="-30"/>
          <w:position w:val="8"/>
        </w:rPr>
        <w:t xml:space="preserve"> </w:t>
      </w:r>
      <w:r>
        <w:rPr>
          <w:rFonts w:ascii="STZhongsong" w:hAnsi="STZhongsong" w:eastAsia="STZhongsong" w:cs="STZhongsong"/>
          <w:sz w:val="43"/>
          <w:szCs w:val="43"/>
          <w:spacing w:val="-12"/>
          <w:position w:val="8"/>
        </w:rPr>
        <w:t>预 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2"/>
          <w:position w:val="8"/>
        </w:rPr>
        <w:t>公 开</w:t>
      </w:r>
    </w:p>
    <w:p>
      <w:pPr>
        <w:spacing w:line="677"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表一2026年预算收支总表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表二2026年预算收入总表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表三2026年预算支出总表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表四2026年财政拨款收支总表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表五2026年一般公共预算支出预算表（不含上年结转）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表六2026年一般公共预算安排基本支出分经济科目表（不含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表七2026年政府性基金预算收入表（不含上年结转）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表八2026年政府性基金预算支出表（不含上年结转）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983"/>
        <w:spacing w:before="120" w:line="222" w:lineRule="auto"/>
        <w:rPr>
          <w:rFonts w:ascii="FangSong" w:hAnsi="FangSong" w:eastAsia="FangSong" w:cs="FangSong"/>
          <w:sz w:val="32"/>
          <w:szCs w:val="32"/>
        </w:rPr>
      </w:pPr>
      <w:r>
        <w:rPr>
          <w:rFonts w:ascii="FangSong" w:hAnsi="FangSong" w:eastAsia="FangSong" w:cs="FangSong"/>
          <w:sz w:val="32"/>
          <w:szCs w:val="32"/>
          <w:spacing w:val="-1"/>
        </w:rPr>
        <w:t>表九2026年国有资本经营预算收支预算表（不含上年结</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44"/>
            <w:spacing w:before="116" w:line="219"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3"/>
              </w:rPr>
              <w:t>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20"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表十2026年财政拨款安排“三公”经费支出预算表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1"/>
              </w:rPr>
              <w:t>表十一2026年财政拨款安排机关运行经费预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表十二2026年项目支出预算表（本年预算）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2"/>
              </w:rPr>
              <w:t>表十三2026年项目支出预算表（上年结转）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0"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2026年度部门预算情况说明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19</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30</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30</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30</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5">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32</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6"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60" w:lineRule="auto"/>
        <w:rPr/>
      </w:pPr>
      <w:r/>
    </w:p>
    <w:p>
      <w:pPr>
        <w:ind w:left="1513"/>
        <w:spacing w:before="98" w:line="239" w:lineRule="exact"/>
        <w:outlineLvl w:val="1"/>
        <w:rPr>
          <w:rFonts w:ascii="Microsoft YaHei" w:hAnsi="Microsoft YaHei" w:eastAsia="Microsoft YaHei" w:cs="Microsoft YaHei"/>
          <w:sz w:val="23"/>
          <w:szCs w:val="23"/>
        </w:rPr>
      </w:pPr>
      <w:bookmarkStart w:name="bookmark3" w:id="4"/>
      <w:bookmarkEnd w:id="4"/>
      <w:r>
        <w:rPr>
          <w:rFonts w:ascii="Microsoft YaHei" w:hAnsi="Microsoft YaHei" w:eastAsia="Microsoft YaHei" w:cs="Microsoft YaHei"/>
          <w:sz w:val="23"/>
          <w:szCs w:val="23"/>
          <w:spacing w:val="7"/>
          <w:position w:val="-1"/>
        </w:rPr>
        <w:t>一、本部门职责</w:t>
      </w:r>
    </w:p>
    <w:p>
      <w:pPr>
        <w:ind w:left="1515" w:right="1475" w:firstLine="5"/>
        <w:spacing w:before="258" w:line="355" w:lineRule="auto"/>
        <w:rPr>
          <w:rFonts w:ascii="FangSong" w:hAnsi="FangSong" w:eastAsia="FangSong" w:cs="FangSong"/>
          <w:sz w:val="24"/>
          <w:szCs w:val="24"/>
        </w:rPr>
      </w:pPr>
      <w:r>
        <w:rPr>
          <w:rFonts w:ascii="FangSong" w:hAnsi="FangSong" w:eastAsia="FangSong" w:cs="FangSong"/>
          <w:sz w:val="24"/>
          <w:szCs w:val="24"/>
          <w:spacing w:val="1"/>
        </w:rPr>
        <w:t>统筹老顶山物流园区政企服务工作；统筹园区征地、</w:t>
      </w:r>
      <w:r>
        <w:rPr>
          <w:rFonts w:ascii="FangSong" w:hAnsi="FangSong" w:eastAsia="FangSong" w:cs="FangSong"/>
          <w:sz w:val="24"/>
          <w:szCs w:val="24"/>
        </w:rPr>
        <w:t>拆迁和入区项目落地、建设、基</w:t>
      </w:r>
      <w:r>
        <w:rPr>
          <w:rFonts w:ascii="FangSong" w:hAnsi="FangSong" w:eastAsia="FangSong" w:cs="FangSong"/>
          <w:sz w:val="24"/>
          <w:szCs w:val="24"/>
          <w:spacing w:val="1"/>
        </w:rPr>
        <w:t>础配套工作；落实高新区关于产业发展的总体部署，协调统计部</w:t>
      </w:r>
      <w:r>
        <w:rPr>
          <w:rFonts w:ascii="FangSong" w:hAnsi="FangSong" w:eastAsia="FangSong" w:cs="FangSong"/>
          <w:sz w:val="24"/>
          <w:szCs w:val="24"/>
        </w:rPr>
        <w:t>门做好监测、统计、</w:t>
      </w:r>
      <w:r>
        <w:rPr>
          <w:rFonts w:ascii="FangSong" w:hAnsi="FangSong" w:eastAsia="FangSong" w:cs="FangSong"/>
          <w:sz w:val="24"/>
          <w:szCs w:val="24"/>
          <w:spacing w:val="1"/>
        </w:rPr>
        <w:t>分析并预测园区产业发展态势，提出政策建议；负责园区基础设</w:t>
      </w:r>
      <w:r>
        <w:rPr>
          <w:rFonts w:ascii="FangSong" w:hAnsi="FangSong" w:eastAsia="FangSong" w:cs="FangSong"/>
          <w:sz w:val="24"/>
          <w:szCs w:val="24"/>
        </w:rPr>
        <w:t>施建设方案、预算编</w:t>
      </w:r>
      <w:r>
        <w:rPr>
          <w:rFonts w:ascii="FangSong" w:hAnsi="FangSong" w:eastAsia="FangSong" w:cs="FangSong"/>
          <w:sz w:val="24"/>
          <w:szCs w:val="24"/>
          <w:spacing w:val="1"/>
        </w:rPr>
        <w:t>制工作和建设维护、管理运行工作；负责园区企业生产、科技、</w:t>
      </w:r>
      <w:r>
        <w:rPr>
          <w:rFonts w:ascii="FangSong" w:hAnsi="FangSong" w:eastAsia="FangSong" w:cs="FangSong"/>
          <w:sz w:val="24"/>
          <w:szCs w:val="24"/>
        </w:rPr>
        <w:t>开发等方面的推进服</w:t>
      </w:r>
      <w:r>
        <w:rPr>
          <w:rFonts w:ascii="FangSong" w:hAnsi="FangSong" w:eastAsia="FangSong" w:cs="FangSong"/>
          <w:sz w:val="24"/>
          <w:szCs w:val="24"/>
          <w:spacing w:val="-1"/>
        </w:rPr>
        <w:t>务工作；负责园区绿化环卫工作；负责园区党的建设工作；负</w:t>
      </w:r>
      <w:r>
        <w:rPr>
          <w:rFonts w:ascii="FangSong" w:hAnsi="FangSong" w:eastAsia="FangSong" w:cs="FangSong"/>
          <w:sz w:val="24"/>
          <w:szCs w:val="24"/>
          <w:spacing w:val="-2"/>
        </w:rPr>
        <w:t>责园区信访稳定工作。</w:t>
      </w:r>
    </w:p>
    <w:p>
      <w:pPr>
        <w:ind w:left="1513"/>
        <w:spacing w:before="46" w:line="236" w:lineRule="exact"/>
        <w:outlineLvl w:val="1"/>
        <w:rPr>
          <w:rFonts w:ascii="Microsoft YaHei" w:hAnsi="Microsoft YaHei" w:eastAsia="Microsoft YaHei" w:cs="Microsoft YaHei"/>
          <w:sz w:val="23"/>
          <w:szCs w:val="23"/>
        </w:rPr>
      </w:pPr>
      <w:bookmarkStart w:name="bookmark4" w:id="5"/>
      <w:bookmarkEnd w:id="5"/>
      <w:r>
        <w:rPr>
          <w:rFonts w:ascii="Microsoft YaHei" w:hAnsi="Microsoft YaHei" w:eastAsia="Microsoft YaHei" w:cs="Microsoft YaHei"/>
          <w:sz w:val="23"/>
          <w:szCs w:val="23"/>
          <w:spacing w:val="8"/>
          <w:position w:val="-1"/>
        </w:rPr>
        <w:t>二、机构设置情况</w:t>
      </w:r>
    </w:p>
    <w:p>
      <w:pPr>
        <w:ind w:left="1515" w:right="1474"/>
        <w:spacing w:before="221" w:line="354" w:lineRule="auto"/>
        <w:jc w:val="both"/>
        <w:rPr>
          <w:rFonts w:ascii="FangSong" w:hAnsi="FangSong" w:eastAsia="FangSong" w:cs="FangSong"/>
          <w:sz w:val="24"/>
          <w:szCs w:val="24"/>
        </w:rPr>
      </w:pPr>
      <w:r>
        <w:rPr>
          <w:rFonts w:ascii="FangSong" w:hAnsi="FangSong" w:eastAsia="FangSong" w:cs="FangSong"/>
          <w:sz w:val="24"/>
          <w:szCs w:val="24"/>
          <w:spacing w:val="1"/>
        </w:rPr>
        <w:t>长治高新区老顶山物流园事业服务中心财政拨款事业编制12名</w:t>
      </w:r>
      <w:r>
        <w:rPr>
          <w:rFonts w:ascii="FangSong" w:hAnsi="FangSong" w:eastAsia="FangSong" w:cs="FangSong"/>
          <w:sz w:val="24"/>
          <w:szCs w:val="24"/>
        </w:rPr>
        <w:t>。设主任1名(副处级),</w:t>
      </w:r>
      <w:r>
        <w:rPr>
          <w:rFonts w:ascii="FangSong" w:hAnsi="FangSong" w:eastAsia="FangSong" w:cs="FangSong"/>
          <w:sz w:val="24"/>
          <w:szCs w:val="24"/>
          <w:spacing w:val="6"/>
        </w:rPr>
        <w:t>副主任1名(正科级);</w:t>
      </w:r>
      <w:r>
        <w:rPr>
          <w:rFonts w:ascii="FangSong" w:hAnsi="FangSong" w:eastAsia="FangSong" w:cs="FangSong"/>
          <w:sz w:val="24"/>
          <w:szCs w:val="24"/>
          <w:spacing w:val="52"/>
        </w:rPr>
        <w:t xml:space="preserve"> </w:t>
      </w:r>
      <w:r>
        <w:rPr>
          <w:rFonts w:ascii="FangSong" w:hAnsi="FangSong" w:eastAsia="FangSong" w:cs="FangSong"/>
          <w:sz w:val="24"/>
          <w:szCs w:val="24"/>
          <w:spacing w:val="6"/>
        </w:rPr>
        <w:t>内设机构科级领导职数</w:t>
      </w:r>
      <w:r>
        <w:rPr>
          <w:rFonts w:ascii="FangSong" w:hAnsi="FangSong" w:eastAsia="FangSong" w:cs="FangSong"/>
          <w:sz w:val="24"/>
          <w:szCs w:val="24"/>
          <w:spacing w:val="5"/>
        </w:rPr>
        <w:t>4名正(含负责党群工作的专职副书记1</w:t>
      </w:r>
      <w:r>
        <w:rPr>
          <w:rFonts w:ascii="FangSong" w:hAnsi="FangSong" w:eastAsia="FangSong" w:cs="FangSong"/>
          <w:sz w:val="24"/>
          <w:szCs w:val="24"/>
          <w:spacing w:val="1"/>
        </w:rPr>
        <w:t>名)2名副。</w:t>
      </w:r>
      <w:r>
        <w:rPr>
          <w:rFonts w:ascii="FangSong" w:hAnsi="FangSong" w:eastAsia="FangSong" w:cs="FangSong"/>
          <w:sz w:val="24"/>
          <w:szCs w:val="24"/>
          <w:spacing w:val="59"/>
        </w:rPr>
        <w:t xml:space="preserve"> </w:t>
      </w:r>
      <w:r>
        <w:rPr>
          <w:rFonts w:ascii="FangSong" w:hAnsi="FangSong" w:eastAsia="FangSong" w:cs="FangSong"/>
          <w:sz w:val="24"/>
          <w:szCs w:val="24"/>
          <w:spacing w:val="1"/>
        </w:rPr>
        <w:t>(一)综合科</w:t>
      </w:r>
      <w:r>
        <w:rPr>
          <w:rFonts w:ascii="FangSong" w:hAnsi="FangSong" w:eastAsia="FangSong" w:cs="FangSong"/>
          <w:sz w:val="24"/>
          <w:szCs w:val="24"/>
          <w:spacing w:val="59"/>
        </w:rPr>
        <w:t xml:space="preserve"> </w:t>
      </w:r>
      <w:r>
        <w:rPr>
          <w:rFonts w:ascii="FangSong" w:hAnsi="FangSong" w:eastAsia="FangSong" w:cs="FangSong"/>
          <w:sz w:val="24"/>
          <w:szCs w:val="24"/>
          <w:spacing w:val="1"/>
        </w:rPr>
        <w:t>(党办)。承担文秘、档案、会务、接待</w:t>
      </w:r>
      <w:r>
        <w:rPr>
          <w:rFonts w:ascii="FangSong" w:hAnsi="FangSong" w:eastAsia="FangSong" w:cs="FangSong"/>
          <w:sz w:val="24"/>
          <w:szCs w:val="24"/>
        </w:rPr>
        <w:t>、后勤保障等工作;</w:t>
      </w:r>
      <w:r>
        <w:rPr>
          <w:rFonts w:ascii="FangSong" w:hAnsi="FangSong" w:eastAsia="FangSong" w:cs="FangSong"/>
          <w:sz w:val="24"/>
          <w:szCs w:val="24"/>
          <w:spacing w:val="4"/>
        </w:rPr>
        <w:t>负责</w:t>
      </w:r>
      <w:r>
        <w:rPr>
          <w:rFonts w:ascii="FangSong" w:hAnsi="FangSong" w:eastAsia="FangSong" w:cs="FangSong"/>
          <w:sz w:val="24"/>
          <w:szCs w:val="24"/>
          <w:spacing w:val="4"/>
        </w:rPr>
        <w:t xml:space="preserve"> </w:t>
      </w:r>
      <w:r>
        <w:rPr>
          <w:rFonts w:ascii="FangSong" w:hAnsi="FangSong" w:eastAsia="FangSong" w:cs="FangSong"/>
          <w:sz w:val="24"/>
          <w:szCs w:val="24"/>
          <w:spacing w:val="4"/>
        </w:rPr>
        <w:t>财务、人事、工资等工作;承担日常工作的综合协调、督促检查等工作</w:t>
      </w:r>
      <w:r>
        <w:rPr>
          <w:rFonts w:ascii="FangSong" w:hAnsi="FangSong" w:eastAsia="FangSong" w:cs="FangSong"/>
          <w:sz w:val="24"/>
          <w:szCs w:val="24"/>
          <w:spacing w:val="3"/>
        </w:rPr>
        <w:t>:负责中</w:t>
      </w:r>
      <w:r>
        <w:rPr>
          <w:rFonts w:ascii="FangSong" w:hAnsi="FangSong" w:eastAsia="FangSong" w:cs="FangSong"/>
          <w:sz w:val="24"/>
          <w:szCs w:val="24"/>
          <w:spacing w:val="9"/>
        </w:rPr>
        <w:t>心和园区企业党建工作。</w:t>
      </w:r>
      <w:r>
        <w:rPr>
          <w:rFonts w:ascii="FangSong" w:hAnsi="FangSong" w:eastAsia="FangSong" w:cs="FangSong"/>
          <w:sz w:val="24"/>
          <w:szCs w:val="24"/>
          <w:spacing w:val="73"/>
        </w:rPr>
        <w:t xml:space="preserve"> </w:t>
      </w:r>
      <w:r>
        <w:rPr>
          <w:rFonts w:ascii="FangSong" w:hAnsi="FangSong" w:eastAsia="FangSong" w:cs="FangSong"/>
          <w:sz w:val="24"/>
          <w:szCs w:val="24"/>
          <w:spacing w:val="9"/>
        </w:rPr>
        <w:t>(二)企业服务科。承担园区基础设</w:t>
      </w:r>
      <w:r>
        <w:rPr>
          <w:rFonts w:ascii="FangSong" w:hAnsi="FangSong" w:eastAsia="FangSong" w:cs="FangSong"/>
          <w:sz w:val="24"/>
          <w:szCs w:val="24"/>
          <w:spacing w:val="8"/>
        </w:rPr>
        <w:t>施建设方案、预算编</w:t>
      </w:r>
      <w:r>
        <w:rPr>
          <w:rFonts w:ascii="FangSong" w:hAnsi="FangSong" w:eastAsia="FangSong" w:cs="FangSong"/>
          <w:sz w:val="24"/>
          <w:szCs w:val="24"/>
          <w:spacing w:val="1"/>
        </w:rPr>
        <w:t>制、管理运行等工作;协助开展园区征地、拆迁工作;承担园区</w:t>
      </w:r>
      <w:r>
        <w:rPr>
          <w:rFonts w:ascii="FangSong" w:hAnsi="FangSong" w:eastAsia="FangSong" w:cs="FangSong"/>
          <w:sz w:val="24"/>
          <w:szCs w:val="24"/>
        </w:rPr>
        <w:t>企业的生产、科技、开</w:t>
      </w:r>
      <w:r>
        <w:rPr>
          <w:rFonts w:ascii="FangSong" w:hAnsi="FangSong" w:eastAsia="FangSong" w:cs="FangSong"/>
          <w:sz w:val="24"/>
          <w:szCs w:val="24"/>
          <w:spacing w:val="2"/>
        </w:rPr>
        <w:t>发等方面的推进工作。</w:t>
      </w:r>
      <w:r>
        <w:rPr>
          <w:rFonts w:ascii="FangSong" w:hAnsi="FangSong" w:eastAsia="FangSong" w:cs="FangSong"/>
          <w:sz w:val="24"/>
          <w:szCs w:val="24"/>
          <w:spacing w:val="74"/>
        </w:rPr>
        <w:t xml:space="preserve"> </w:t>
      </w:r>
      <w:r>
        <w:rPr>
          <w:rFonts w:ascii="FangSong" w:hAnsi="FangSong" w:eastAsia="FangSong" w:cs="FangSong"/>
          <w:sz w:val="24"/>
          <w:szCs w:val="24"/>
          <w:spacing w:val="2"/>
        </w:rPr>
        <w:t>(三)招商引资及项目建设科。承担园区招商引资及项目建设</w:t>
      </w:r>
      <w:r>
        <w:rPr>
          <w:rFonts w:ascii="FangSong" w:hAnsi="FangSong" w:eastAsia="FangSong" w:cs="FangSong"/>
          <w:sz w:val="24"/>
          <w:szCs w:val="24"/>
          <w:spacing w:val="1"/>
        </w:rPr>
        <w:t>规划的编制和推进工作;承担项目落地、建设、基础</w:t>
      </w:r>
      <w:r>
        <w:rPr>
          <w:rFonts w:ascii="FangSong" w:hAnsi="FangSong" w:eastAsia="FangSong" w:cs="FangSong"/>
          <w:sz w:val="24"/>
          <w:szCs w:val="24"/>
          <w:spacing w:val="1"/>
        </w:rPr>
        <w:t xml:space="preserve"> </w:t>
      </w:r>
      <w:r>
        <w:rPr>
          <w:rFonts w:ascii="FangSong" w:hAnsi="FangSong" w:eastAsia="FangSong" w:cs="FangSong"/>
          <w:sz w:val="24"/>
          <w:szCs w:val="24"/>
          <w:spacing w:val="1"/>
        </w:rPr>
        <w:t>配套服务</w:t>
      </w:r>
      <w:r>
        <w:rPr>
          <w:rFonts w:ascii="FangSong" w:hAnsi="FangSong" w:eastAsia="FangSong" w:cs="FangSong"/>
          <w:sz w:val="24"/>
          <w:szCs w:val="24"/>
        </w:rPr>
        <w:t>工作。从部门决算构成</w:t>
      </w:r>
      <w:r>
        <w:rPr>
          <w:rFonts w:ascii="FangSong" w:hAnsi="FangSong" w:eastAsia="FangSong" w:cs="FangSong"/>
          <w:sz w:val="24"/>
          <w:szCs w:val="24"/>
          <w:spacing w:val="1"/>
        </w:rPr>
        <w:t>看，长治高新区老顶山物流园事业服务中心决算主要包括长治高</w:t>
      </w:r>
      <w:r>
        <w:rPr>
          <w:rFonts w:ascii="FangSong" w:hAnsi="FangSong" w:eastAsia="FangSong" w:cs="FangSong"/>
          <w:sz w:val="24"/>
          <w:szCs w:val="24"/>
        </w:rPr>
        <w:t>新区老顶山物流园事</w:t>
      </w:r>
      <w:r>
        <w:rPr>
          <w:rFonts w:ascii="FangSong" w:hAnsi="FangSong" w:eastAsia="FangSong" w:cs="FangSong"/>
          <w:sz w:val="24"/>
          <w:szCs w:val="24"/>
          <w:spacing w:val="1"/>
        </w:rPr>
        <w:t>业服务中心决算。纳入长治高新区老顶山物流园事业服务中心决</w:t>
      </w:r>
      <w:r>
        <w:rPr>
          <w:rFonts w:ascii="FangSong" w:hAnsi="FangSong" w:eastAsia="FangSong" w:cs="FangSong"/>
          <w:sz w:val="24"/>
          <w:szCs w:val="24"/>
        </w:rPr>
        <w:t>算的单位包括：长治</w:t>
      </w:r>
      <w:r>
        <w:rPr>
          <w:rFonts w:ascii="FangSong" w:hAnsi="FangSong" w:eastAsia="FangSong" w:cs="FangSong"/>
          <w:sz w:val="24"/>
          <w:szCs w:val="24"/>
          <w:spacing w:val="-3"/>
        </w:rPr>
        <w:t>高新区老顶山物流园事业服务中心。</w:t>
      </w:r>
    </w:p>
    <w:p>
      <w:pPr>
        <w:spacing w:line="354" w:lineRule="auto"/>
        <w:sectPr>
          <w:headerReference w:type="default" r:id="rId4"/>
          <w:footerReference w:type="default" r:id="rId5"/>
          <w:pgSz w:w="11900" w:h="16840"/>
          <w:pgMar w:top="642" w:right="0" w:bottom="340" w:left="0" w:header="326" w:footer="91" w:gutter="0"/>
        </w:sectPr>
        <w:rPr>
          <w:rFonts w:ascii="FangSong" w:hAnsi="FangSong" w:eastAsia="FangSong" w:cs="FangSong"/>
          <w:sz w:val="24"/>
          <w:szCs w:val="24"/>
        </w:rPr>
      </w:pPr>
    </w:p>
    <w:p>
      <w:pPr>
        <w:pStyle w:val="BodyText"/>
        <w:spacing w:line="280" w:lineRule="auto"/>
        <w:rPr/>
      </w:pPr>
      <w:r/>
    </w:p>
    <w:p>
      <w:pPr>
        <w:pStyle w:val="BodyText"/>
        <w:spacing w:line="281" w:lineRule="auto"/>
        <w:rPr/>
      </w:pPr>
      <w:r/>
    </w:p>
    <w:p>
      <w:pPr>
        <w:ind w:left="4347"/>
        <w:spacing w:before="99" w:line="237"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2026年部门预算报表</w:t>
      </w:r>
    </w:p>
    <w:p>
      <w:pPr>
        <w:rPr/>
      </w:pPr>
      <w:r/>
    </w:p>
    <w:p>
      <w:pPr>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60"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28"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2026年预算收支总表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54" w:line="219" w:lineRule="auto"/>
              <w:rPr>
                <w:rFonts w:ascii="SimSun" w:hAnsi="SimSun" w:eastAsia="SimSun" w:cs="SimSun"/>
                <w:sz w:val="18"/>
                <w:szCs w:val="18"/>
              </w:rPr>
            </w:pPr>
            <w:r>
              <w:rPr>
                <w:rFonts w:ascii="SimSun" w:hAnsi="SimSun" w:eastAsia="SimSun" w:cs="SimSun"/>
                <w:sz w:val="18"/>
                <w:szCs w:val="18"/>
                <w:color w:val="212529"/>
                <w:spacing w:val="-1"/>
              </w:rPr>
              <w:t>部门名称：长治高新区老顶山物流园事业服务中心</w:t>
            </w:r>
          </w:p>
        </w:tc>
        <w:tc>
          <w:tcPr>
            <w:tcW w:w="3137" w:type="dxa"/>
            <w:vAlign w:val="top"/>
            <w:gridSpan w:val="3"/>
            <w:tcBorders>
              <w:top w:val="single" w:color="FFFFFF" w:sz="6" w:space="0"/>
              <w:left w:val="single" w:color="FFFFFF" w:sz="2" w:space="0"/>
              <w:right w:val="single" w:color="FFFFFF" w:sz="2" w:space="0"/>
            </w:tcBorders>
          </w:tcPr>
          <w:p>
            <w:pPr>
              <w:ind w:left="2206"/>
              <w:spacing w:before="15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5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5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2026年</w:t>
            </w:r>
          </w:p>
        </w:tc>
        <w:tc>
          <w:tcPr>
            <w:tcW w:w="2171" w:type="dxa"/>
            <w:vAlign w:val="top"/>
          </w:tcPr>
          <w:p>
            <w:pPr>
              <w:ind w:left="884"/>
              <w:spacing w:before="15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54"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2026年合计</w:t>
            </w:r>
          </w:p>
        </w:tc>
        <w:tc>
          <w:tcPr>
            <w:tcW w:w="1153" w:type="dxa"/>
            <w:vAlign w:val="top"/>
          </w:tcPr>
          <w:p>
            <w:pPr>
              <w:ind w:left="30"/>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218" w:right="57" w:hanging="182"/>
              <w:spacing w:before="49"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上年结转</w:t>
            </w:r>
            <w:r>
              <w:rPr>
                <w:rFonts w:ascii="Microsoft YaHei" w:hAnsi="Microsoft YaHei" w:eastAsia="Microsoft YaHei" w:cs="Microsoft YaHei"/>
                <w:sz w:val="17"/>
                <w:szCs w:val="17"/>
                <w:color w:val="212529"/>
                <w:spacing w:val="9"/>
              </w:rPr>
              <w:t>安排</w:t>
            </w:r>
          </w:p>
        </w:tc>
      </w:tr>
      <w:tr>
        <w:trPr>
          <w:trHeight w:val="524" w:hRule="atLeast"/>
        </w:trPr>
        <w:tc>
          <w:tcPr>
            <w:tcW w:w="2103" w:type="dxa"/>
            <w:vAlign w:val="top"/>
          </w:tcPr>
          <w:p>
            <w:pPr>
              <w:ind w:left="9"/>
              <w:spacing w:before="157"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3"/>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1"/>
              </w:rPr>
              <w:t>448.28</w:t>
            </w:r>
          </w:p>
        </w:tc>
        <w:tc>
          <w:tcPr>
            <w:tcW w:w="2171" w:type="dxa"/>
            <w:vAlign w:val="top"/>
          </w:tcPr>
          <w:p>
            <w:pPr>
              <w:ind w:left="4"/>
              <w:spacing w:before="157"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1"/>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1153" w:type="dxa"/>
            <w:vAlign w:val="top"/>
          </w:tcPr>
          <w:p>
            <w:pPr>
              <w:ind w:right="27"/>
              <w:spacing w:before="158"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831" w:type="dxa"/>
            <w:vAlign w:val="top"/>
          </w:tcPr>
          <w:p>
            <w:pPr>
              <w:pStyle w:val="TableText"/>
              <w:rPr/>
            </w:pPr>
            <w:r/>
          </w:p>
        </w:tc>
      </w:tr>
      <w:tr>
        <w:trPr>
          <w:trHeight w:val="524" w:hRule="atLeast"/>
        </w:trPr>
        <w:tc>
          <w:tcPr>
            <w:tcW w:w="2103" w:type="dxa"/>
            <w:vAlign w:val="top"/>
          </w:tcPr>
          <w:p>
            <w:pPr>
              <w:ind w:left="9"/>
              <w:spacing w:before="158"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59"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60"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6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60"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62"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6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62"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58"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4"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1153" w:type="dxa"/>
            <w:vAlign w:val="top"/>
          </w:tcPr>
          <w:p>
            <w:pPr>
              <w:ind w:right="27"/>
              <w:spacing w:before="165"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5"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6"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1153" w:type="dxa"/>
            <w:vAlign w:val="top"/>
          </w:tcPr>
          <w:p>
            <w:pPr>
              <w:ind w:right="25"/>
              <w:spacing w:before="167"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63"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8"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9"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69"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63"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8"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153" w:type="dxa"/>
            <w:vAlign w:val="top"/>
          </w:tcPr>
          <w:p>
            <w:pPr>
              <w:ind w:right="27"/>
              <w:spacing w:before="169"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64"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6"/>
          <w:footerReference w:type="default" r:id="rId7"/>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right="180"/>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5"/>
              <w:spacing w:before="186" w:line="183" w:lineRule="auto"/>
              <w:rPr>
                <w:sz w:val="15"/>
                <w:szCs w:val="15"/>
              </w:rPr>
            </w:pPr>
            <w:r>
              <w:rPr>
                <w:sz w:val="15"/>
                <w:szCs w:val="15"/>
                <w:color w:val="212529"/>
                <w:spacing w:val="4"/>
              </w:rPr>
              <w:t>448.</w:t>
            </w:r>
            <w:r>
              <w:rPr>
                <w:sz w:val="15"/>
                <w:szCs w:val="15"/>
                <w:color w:val="212529"/>
                <w:spacing w:val="4"/>
              </w:rPr>
              <w:t xml:space="preserve"> </w:t>
            </w:r>
            <w:r>
              <w:rPr>
                <w:sz w:val="15"/>
                <w:szCs w:val="15"/>
                <w:color w:val="212529"/>
                <w:spacing w:val="4"/>
              </w:rPr>
              <w:t>28</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0"/>
              <w:spacing w:before="186"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1153" w:type="dxa"/>
            <w:vAlign w:val="top"/>
          </w:tcPr>
          <w:p>
            <w:pPr>
              <w:pStyle w:val="TableText"/>
              <w:ind w:left="574"/>
              <w:spacing w:before="186"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5"/>
              <w:spacing w:before="188" w:line="183" w:lineRule="auto"/>
              <w:rPr>
                <w:sz w:val="15"/>
                <w:szCs w:val="15"/>
              </w:rPr>
            </w:pPr>
            <w:r>
              <w:rPr>
                <w:sz w:val="15"/>
                <w:szCs w:val="15"/>
                <w:color w:val="212529"/>
                <w:spacing w:val="4"/>
              </w:rPr>
              <w:t>448.</w:t>
            </w:r>
            <w:r>
              <w:rPr>
                <w:sz w:val="15"/>
                <w:szCs w:val="15"/>
                <w:color w:val="212529"/>
                <w:spacing w:val="4"/>
              </w:rPr>
              <w:t xml:space="preserve"> </w:t>
            </w:r>
            <w:r>
              <w:rPr>
                <w:sz w:val="15"/>
                <w:szCs w:val="15"/>
                <w:color w:val="212529"/>
                <w:spacing w:val="4"/>
              </w:rPr>
              <w:t>28</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0"/>
              <w:spacing w:before="188"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1153" w:type="dxa"/>
            <w:vAlign w:val="top"/>
          </w:tcPr>
          <w:p>
            <w:pPr>
              <w:pStyle w:val="TableText"/>
              <w:ind w:left="574"/>
              <w:spacing w:before="188"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831" w:type="dxa"/>
            <w:vAlign w:val="top"/>
          </w:tcPr>
          <w:p>
            <w:pPr>
              <w:pStyle w:val="TableText"/>
              <w:rPr/>
            </w:pPr>
            <w:r/>
          </w:p>
        </w:tc>
      </w:tr>
    </w:tbl>
    <w:p>
      <w:pPr>
        <w:ind w:left="1694"/>
        <w:spacing w:before="152" w:line="22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5"/>
          <w:position w:val="-1"/>
        </w:rPr>
        <w:t>注:</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本套报表因取数时四舍五入,</w:t>
      </w:r>
      <w:r>
        <w:rPr>
          <w:rFonts w:ascii="Microsoft YaHei" w:hAnsi="Microsoft YaHei" w:eastAsia="Microsoft YaHei" w:cs="Microsoft YaHei"/>
          <w:sz w:val="21"/>
          <w:szCs w:val="21"/>
          <w:color w:val="212529"/>
          <w:spacing w:val="15"/>
          <w:position w:val="-1"/>
        </w:rPr>
        <w:t xml:space="preserve">  </w:t>
      </w:r>
      <w:r>
        <w:rPr>
          <w:rFonts w:ascii="Microsoft YaHei" w:hAnsi="Microsoft YaHei" w:eastAsia="Microsoft YaHei" w:cs="Microsoft YaHei"/>
          <w:sz w:val="21"/>
          <w:szCs w:val="21"/>
          <w:color w:val="212529"/>
          <w:spacing w:val="15"/>
          <w:position w:val="-1"/>
        </w:rPr>
        <w:t>部分金额可能存在尾差</w:t>
      </w:r>
    </w:p>
    <w:p>
      <w:pPr>
        <w:spacing w:line="220" w:lineRule="exact"/>
        <w:sectPr>
          <w:headerReference w:type="default" r:id="rId8"/>
          <w:footerReference w:type="default" r:id="rId9"/>
          <w:pgSz w:w="11900" w:h="16840"/>
          <w:pgMar w:top="642" w:right="0" w:bottom="340" w:left="0" w:header="326" w:footer="93" w:gutter="0"/>
        </w:sectPr>
        <w:rPr>
          <w:rFonts w:ascii="Microsoft YaHei" w:hAnsi="Microsoft YaHei" w:eastAsia="Microsoft YaHei" w:cs="Microsoft YaHei"/>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8" w:id="9"/>
            <w:bookmarkEnd w:id="9"/>
            <w:bookmarkStart w:name="bookmark7" w:id="10"/>
            <w:bookmarkEnd w:id="10"/>
            <w:r>
              <w:rPr>
                <w:rFonts w:ascii="Microsoft YaHei" w:hAnsi="Microsoft YaHei" w:eastAsia="Microsoft YaHei" w:cs="Microsoft YaHei"/>
                <w:sz w:val="23"/>
                <w:szCs w:val="23"/>
                <w:color w:val="212529"/>
                <w:position w:val="-1"/>
              </w:rPr>
              <w:t>2026年预算收入总表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部门名称：长治高新区老顶山物流园事业服务中心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3"/>
              <w:spacing w:before="149" w:line="183" w:lineRule="auto"/>
              <w:rPr>
                <w:sz w:val="15"/>
                <w:szCs w:val="15"/>
              </w:rPr>
            </w:pPr>
            <w:r>
              <w:rPr>
                <w:sz w:val="15"/>
                <w:szCs w:val="15"/>
                <w:color w:val="212529"/>
                <w:spacing w:val="3"/>
              </w:rPr>
              <w:t>448.</w:t>
            </w:r>
            <w:r>
              <w:rPr>
                <w:sz w:val="15"/>
                <w:szCs w:val="15"/>
                <w:color w:val="212529"/>
                <w:spacing w:val="11"/>
              </w:rPr>
              <w:t xml:space="preserve"> </w:t>
            </w:r>
            <w:r>
              <w:rPr>
                <w:sz w:val="15"/>
                <w:szCs w:val="15"/>
                <w:color w:val="212529"/>
                <w:spacing w:val="3"/>
              </w:rPr>
              <w:t>28</w:t>
            </w:r>
          </w:p>
        </w:tc>
        <w:tc>
          <w:tcPr>
            <w:tcW w:w="1274" w:type="dxa"/>
            <w:vAlign w:val="top"/>
          </w:tcPr>
          <w:p>
            <w:pPr>
              <w:pStyle w:val="TableText"/>
              <w:ind w:left="700"/>
              <w:spacing w:before="149" w:line="183" w:lineRule="auto"/>
              <w:rPr>
                <w:sz w:val="15"/>
                <w:szCs w:val="15"/>
              </w:rPr>
            </w:pPr>
            <w:r>
              <w:rPr>
                <w:sz w:val="15"/>
                <w:szCs w:val="15"/>
                <w:color w:val="212529"/>
                <w:spacing w:val="4"/>
              </w:rPr>
              <w:t>448.</w:t>
            </w:r>
            <w:r>
              <w:rPr>
                <w:sz w:val="15"/>
                <w:szCs w:val="15"/>
                <w:color w:val="212529"/>
                <w:spacing w:val="4"/>
              </w:rPr>
              <w:t xml:space="preserve"> </w:t>
            </w:r>
            <w:r>
              <w:rPr>
                <w:sz w:val="15"/>
                <w:szCs w:val="15"/>
                <w:color w:val="212529"/>
                <w:spacing w:val="4"/>
              </w:rPr>
              <w:t>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333.47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20103</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政府办公厅（室）及相关机构事务</w:t>
            </w:r>
          </w:p>
        </w:tc>
        <w:tc>
          <w:tcPr>
            <w:tcW w:w="1438"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302.47</w:t>
            </w:r>
          </w:p>
        </w:tc>
        <w:tc>
          <w:tcPr>
            <w:tcW w:w="1274" w:type="dxa"/>
            <w:vAlign w:val="top"/>
          </w:tcPr>
          <w:p>
            <w:pPr>
              <w:ind w:right="23"/>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302.47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2010350</w:t>
            </w:r>
          </w:p>
        </w:tc>
        <w:tc>
          <w:tcPr>
            <w:tcW w:w="2997" w:type="dxa"/>
            <w:vAlign w:val="top"/>
          </w:tcPr>
          <w:p>
            <w:pPr>
              <w:ind w:left="5"/>
              <w:spacing w:before="131"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143.84</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143.84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2010399</w:t>
            </w:r>
          </w:p>
        </w:tc>
        <w:tc>
          <w:tcPr>
            <w:tcW w:w="2997" w:type="dxa"/>
            <w:vAlign w:val="top"/>
          </w:tcPr>
          <w:p>
            <w:pPr>
              <w:ind w:left="7" w:right="104" w:hanging="4"/>
              <w:spacing w:before="26" w:line="204" w:lineRule="auto"/>
              <w:rPr>
                <w:rFonts w:ascii="SimSun" w:hAnsi="SimSun" w:eastAsia="SimSun" w:cs="SimSun"/>
                <w:sz w:val="18"/>
                <w:szCs w:val="18"/>
              </w:rPr>
            </w:pPr>
            <w:r>
              <w:rPr>
                <w:rFonts w:ascii="SimSun" w:hAnsi="SimSun" w:eastAsia="SimSun" w:cs="SimSun"/>
                <w:sz w:val="18"/>
                <w:szCs w:val="18"/>
                <w:color w:val="212529"/>
                <w:spacing w:val="-1"/>
              </w:rPr>
              <w:t>其他政府办公厅（室）及相关机构事</w:t>
            </w:r>
            <w:r>
              <w:rPr>
                <w:rFonts w:ascii="SimSun" w:hAnsi="SimSun" w:eastAsia="SimSun" w:cs="SimSun"/>
                <w:sz w:val="18"/>
                <w:szCs w:val="18"/>
                <w:color w:val="212529"/>
                <w:spacing w:val="-3"/>
              </w:rPr>
              <w:t>务支出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158.63</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3"/>
              </w:rPr>
              <w:t>158.63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20105</w:t>
            </w:r>
          </w:p>
        </w:tc>
        <w:tc>
          <w:tcPr>
            <w:tcW w:w="2997" w:type="dxa"/>
            <w:vAlign w:val="top"/>
          </w:tcPr>
          <w:p>
            <w:pPr>
              <w:ind w:left="6"/>
              <w:spacing w:before="132" w:line="219" w:lineRule="auto"/>
              <w:rPr>
                <w:rFonts w:ascii="SimSun" w:hAnsi="SimSun" w:eastAsia="SimSun" w:cs="SimSun"/>
                <w:sz w:val="18"/>
                <w:szCs w:val="18"/>
              </w:rPr>
            </w:pPr>
            <w:r>
              <w:rPr>
                <w:rFonts w:ascii="SimSun" w:hAnsi="SimSun" w:eastAsia="SimSun" w:cs="SimSun"/>
                <w:sz w:val="18"/>
                <w:szCs w:val="18"/>
                <w:color w:val="212529"/>
                <w:spacing w:val="-2"/>
              </w:rPr>
              <w:t>统计信息事务</w:t>
            </w:r>
          </w:p>
        </w:tc>
        <w:tc>
          <w:tcPr>
            <w:tcW w:w="1438"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2010507</w:t>
            </w:r>
          </w:p>
        </w:tc>
        <w:tc>
          <w:tcPr>
            <w:tcW w:w="2997" w:type="dxa"/>
            <w:vAlign w:val="top"/>
          </w:tcPr>
          <w:p>
            <w:pPr>
              <w:ind w:left="4"/>
              <w:spacing w:before="133" w:line="219" w:lineRule="auto"/>
              <w:rPr>
                <w:rFonts w:ascii="SimSun" w:hAnsi="SimSun" w:eastAsia="SimSun" w:cs="SimSun"/>
                <w:sz w:val="18"/>
                <w:szCs w:val="18"/>
              </w:rPr>
            </w:pPr>
            <w:r>
              <w:rPr>
                <w:rFonts w:ascii="SimSun" w:hAnsi="SimSun" w:eastAsia="SimSun" w:cs="SimSun"/>
                <w:sz w:val="18"/>
                <w:szCs w:val="18"/>
                <w:color w:val="212529"/>
                <w:spacing w:val="-1"/>
              </w:rPr>
              <w:t>专项普查活动</w:t>
            </w:r>
          </w:p>
        </w:tc>
        <w:tc>
          <w:tcPr>
            <w:tcW w:w="1438"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274"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5.00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2997" w:type="dxa"/>
            <w:vAlign w:val="top"/>
          </w:tcPr>
          <w:p>
            <w:pPr>
              <w:ind w:left="3"/>
              <w:spacing w:before="134"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2997" w:type="dxa"/>
            <w:vAlign w:val="top"/>
          </w:tcPr>
          <w:p>
            <w:pPr>
              <w:ind w:left="3"/>
              <w:spacing w:before="135"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26.00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6"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66.96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62.85</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62.85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6.10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37.83</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37.83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18.92</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18.92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残疾人事业</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2081105</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2"/>
              </w:rPr>
              <w:t>残疾人就业</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3.57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97" w:type="dxa"/>
            <w:vAlign w:val="top"/>
          </w:tcPr>
          <w:p>
            <w:pPr>
              <w:ind w:left="3"/>
              <w:spacing w:before="138"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1"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97" w:type="dxa"/>
            <w:vAlign w:val="top"/>
          </w:tcPr>
          <w:p>
            <w:pPr>
              <w:ind w:left="3"/>
              <w:spacing w:before="115"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274"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0.54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09"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09"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1274" w:type="dxa"/>
            <w:vAlign w:val="top"/>
          </w:tcPr>
          <w:p>
            <w:pPr>
              <w:ind w:right="21"/>
              <w:spacing w:before="110" w:line="238" w:lineRule="auto"/>
              <w:jc w:val="right"/>
              <w:rPr>
                <w:rFonts w:ascii="SimSun" w:hAnsi="SimSun" w:eastAsia="SimSun" w:cs="SimSun"/>
                <w:sz w:val="18"/>
                <w:szCs w:val="18"/>
              </w:rPr>
            </w:pPr>
            <w:r>
              <w:rPr>
                <w:rFonts w:ascii="SimSun" w:hAnsi="SimSun" w:eastAsia="SimSun" w:cs="SimSun"/>
                <w:sz w:val="18"/>
                <w:szCs w:val="18"/>
                <w:color w:val="212529"/>
                <w:spacing w:val="-4"/>
              </w:rPr>
              <w:t>18.80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1" w:line="239" w:lineRule="auto"/>
              <w:rPr>
                <w:rFonts w:ascii="SimSun" w:hAnsi="SimSun" w:eastAsia="SimSun" w:cs="SimSun"/>
                <w:sz w:val="18"/>
                <w:szCs w:val="18"/>
              </w:rPr>
            </w:pPr>
            <w:r>
              <w:rPr>
                <w:rFonts w:ascii="SimSun" w:hAnsi="SimSun" w:eastAsia="SimSun" w:cs="SimSun"/>
                <w:sz w:val="18"/>
                <w:szCs w:val="18"/>
                <w:color w:val="212529"/>
                <w:spacing w:val="-2"/>
              </w:rPr>
              <w:t>21007</w:t>
            </w:r>
          </w:p>
        </w:tc>
        <w:tc>
          <w:tcPr>
            <w:tcW w:w="2997" w:type="dxa"/>
            <w:vAlign w:val="top"/>
          </w:tcPr>
          <w:p>
            <w:pPr>
              <w:ind w:left="4"/>
              <w:spacing w:before="111" w:line="219" w:lineRule="auto"/>
              <w:rPr>
                <w:rFonts w:ascii="SimSun" w:hAnsi="SimSun" w:eastAsia="SimSun" w:cs="SimSun"/>
                <w:sz w:val="18"/>
                <w:szCs w:val="18"/>
              </w:rPr>
            </w:pPr>
            <w:r>
              <w:rPr>
                <w:rFonts w:ascii="SimSun" w:hAnsi="SimSun" w:eastAsia="SimSun" w:cs="SimSun"/>
                <w:sz w:val="18"/>
                <w:szCs w:val="18"/>
                <w:color w:val="212529"/>
                <w:spacing w:val="-1"/>
              </w:rPr>
              <w:t>计划生育事务</w:t>
            </w:r>
          </w:p>
        </w:tc>
        <w:tc>
          <w:tcPr>
            <w:tcW w:w="1438" w:type="dxa"/>
            <w:vAlign w:val="top"/>
          </w:tcPr>
          <w:p>
            <w:pPr>
              <w:ind w:right="24"/>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274" w:type="dxa"/>
            <w:vAlign w:val="top"/>
          </w:tcPr>
          <w:p>
            <w:pPr>
              <w:ind w:right="23"/>
              <w:spacing w:before="112"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3" w:line="239" w:lineRule="auto"/>
              <w:rPr>
                <w:rFonts w:ascii="SimSun" w:hAnsi="SimSun" w:eastAsia="SimSun" w:cs="SimSun"/>
                <w:sz w:val="18"/>
                <w:szCs w:val="18"/>
              </w:rPr>
            </w:pPr>
            <w:r>
              <w:rPr>
                <w:rFonts w:ascii="SimSun" w:hAnsi="SimSun" w:eastAsia="SimSun" w:cs="SimSun"/>
                <w:sz w:val="18"/>
                <w:szCs w:val="18"/>
                <w:color w:val="212529"/>
                <w:spacing w:val="-2"/>
              </w:rPr>
              <w:t>2100799</w:t>
            </w:r>
          </w:p>
        </w:tc>
        <w:tc>
          <w:tcPr>
            <w:tcW w:w="2997" w:type="dxa"/>
            <w:vAlign w:val="top"/>
          </w:tcPr>
          <w:p>
            <w:pPr>
              <w:ind w:left="3"/>
              <w:spacing w:before="113" w:line="219" w:lineRule="auto"/>
              <w:rPr>
                <w:rFonts w:ascii="SimSun" w:hAnsi="SimSun" w:eastAsia="SimSun" w:cs="SimSun"/>
                <w:sz w:val="18"/>
                <w:szCs w:val="18"/>
              </w:rPr>
            </w:pPr>
            <w:r>
              <w:rPr>
                <w:rFonts w:ascii="SimSun" w:hAnsi="SimSun" w:eastAsia="SimSun" w:cs="SimSun"/>
                <w:sz w:val="18"/>
                <w:szCs w:val="18"/>
                <w:color w:val="212529"/>
                <w:spacing w:val="-1"/>
              </w:rPr>
              <w:t>其他计划生育事务支出</w:t>
            </w:r>
          </w:p>
        </w:tc>
        <w:tc>
          <w:tcPr>
            <w:tcW w:w="1438" w:type="dxa"/>
            <w:vAlign w:val="top"/>
          </w:tcPr>
          <w:p>
            <w:pPr>
              <w:ind w:right="24"/>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274" w:type="dxa"/>
            <w:vAlign w:val="top"/>
          </w:tcPr>
          <w:p>
            <w:pPr>
              <w:ind w:right="23"/>
              <w:spacing w:before="114" w:line="238" w:lineRule="auto"/>
              <w:jc w:val="right"/>
              <w:rPr>
                <w:rFonts w:ascii="SimSun" w:hAnsi="SimSun" w:eastAsia="SimSun" w:cs="SimSun"/>
                <w:sz w:val="18"/>
                <w:szCs w:val="18"/>
              </w:rPr>
            </w:pPr>
            <w:r>
              <w:rPr>
                <w:rFonts w:ascii="SimSun" w:hAnsi="SimSun" w:eastAsia="SimSun" w:cs="SimSun"/>
                <w:sz w:val="18"/>
                <w:szCs w:val="18"/>
                <w:color w:val="212529"/>
                <w:spacing w:val="-2"/>
              </w:rPr>
              <w:t>0.12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3"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16"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18.68</w:t>
            </w:r>
          </w:p>
        </w:tc>
        <w:tc>
          <w:tcPr>
            <w:tcW w:w="1274" w:type="dxa"/>
            <w:vAlign w:val="top"/>
          </w:tcPr>
          <w:p>
            <w:pPr>
              <w:ind w:right="21"/>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4"/>
              </w:rPr>
              <w:t>18.68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1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1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2"/>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12.86</w:t>
            </w:r>
          </w:p>
        </w:tc>
        <w:tc>
          <w:tcPr>
            <w:tcW w:w="1274" w:type="dxa"/>
            <w:vAlign w:val="top"/>
          </w:tcPr>
          <w:p>
            <w:pPr>
              <w:ind w:right="21"/>
              <w:spacing w:before="118" w:line="238" w:lineRule="auto"/>
              <w:jc w:val="right"/>
              <w:rPr>
                <w:rFonts w:ascii="SimSun" w:hAnsi="SimSun" w:eastAsia="SimSun" w:cs="SimSun"/>
                <w:sz w:val="18"/>
                <w:szCs w:val="18"/>
              </w:rPr>
            </w:pPr>
            <w:r>
              <w:rPr>
                <w:rFonts w:ascii="SimSun" w:hAnsi="SimSun" w:eastAsia="SimSun" w:cs="SimSun"/>
                <w:sz w:val="18"/>
                <w:szCs w:val="18"/>
                <w:color w:val="212529"/>
                <w:spacing w:val="-4"/>
              </w:rPr>
              <w:t>12.86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1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1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3"/>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5.82</w:t>
            </w:r>
          </w:p>
        </w:tc>
        <w:tc>
          <w:tcPr>
            <w:tcW w:w="1274" w:type="dxa"/>
            <w:vAlign w:val="top"/>
          </w:tcPr>
          <w:p>
            <w:pPr>
              <w:ind w:right="22"/>
              <w:spacing w:before="119" w:line="238" w:lineRule="auto"/>
              <w:jc w:val="right"/>
              <w:rPr>
                <w:rFonts w:ascii="SimSun" w:hAnsi="SimSun" w:eastAsia="SimSun" w:cs="SimSun"/>
                <w:sz w:val="18"/>
                <w:szCs w:val="18"/>
              </w:rPr>
            </w:pPr>
            <w:r>
              <w:rPr>
                <w:rFonts w:ascii="SimSun" w:hAnsi="SimSun" w:eastAsia="SimSun" w:cs="SimSun"/>
                <w:sz w:val="18"/>
                <w:szCs w:val="18"/>
                <w:color w:val="212529"/>
                <w:spacing w:val="-2"/>
              </w:rPr>
              <w:t>5.82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0"/>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19"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274" w:type="dxa"/>
            <w:vAlign w:val="top"/>
          </w:tcPr>
          <w:p>
            <w:pPr>
              <w:ind w:right="23"/>
              <w:spacing w:before="120"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0"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20"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274" w:type="dxa"/>
            <w:vAlign w:val="top"/>
          </w:tcPr>
          <w:p>
            <w:pPr>
              <w:ind w:right="23"/>
              <w:spacing w:before="121"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1" w:hRule="atLeast"/>
        </w:trPr>
        <w:tc>
          <w:tcPr>
            <w:tcW w:w="1431" w:type="dxa"/>
            <w:vAlign w:val="top"/>
          </w:tcPr>
          <w:p>
            <w:pPr>
              <w:ind w:left="9"/>
              <w:spacing w:before="121"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22"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274" w:type="dxa"/>
            <w:vAlign w:val="top"/>
          </w:tcPr>
          <w:p>
            <w:pPr>
              <w:ind w:right="23"/>
              <w:spacing w:before="122" w:line="238" w:lineRule="auto"/>
              <w:jc w:val="right"/>
              <w:rPr>
                <w:rFonts w:ascii="SimSun" w:hAnsi="SimSun" w:eastAsia="SimSun" w:cs="SimSun"/>
                <w:sz w:val="18"/>
                <w:szCs w:val="18"/>
              </w:rPr>
            </w:pPr>
            <w:r>
              <w:rPr>
                <w:rFonts w:ascii="SimSun" w:hAnsi="SimSun" w:eastAsia="SimSun" w:cs="SimSun"/>
                <w:sz w:val="18"/>
                <w:szCs w:val="18"/>
                <w:color w:val="212529"/>
                <w:spacing w:val="-2"/>
              </w:rPr>
              <w:t>29.04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footerReference w:type="default" r:id="rId12"/>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55"/>
        <w:gridCol w:w="3326"/>
        <w:gridCol w:w="1393"/>
        <w:gridCol w:w="1339"/>
        <w:gridCol w:w="1345"/>
      </w:tblGrid>
      <w:tr>
        <w:trPr>
          <w:trHeight w:val="320" w:hRule="atLeast"/>
        </w:trPr>
        <w:tc>
          <w:tcPr>
            <w:tcW w:w="175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45" w:type="dxa"/>
            <w:vAlign w:val="top"/>
            <w:tcBorders>
              <w:bottom w:val="single" w:color="FFFFFF" w:sz="4" w:space="0"/>
              <w:top w:val="single" w:color="FFFFFF" w:sz="4" w:space="0"/>
              <w:left w:val="single" w:color="FFFFFF" w:sz="2" w:space="0"/>
              <w:right w:val="single" w:color="FFFFFF" w:sz="2" w:space="0"/>
            </w:tcBorders>
          </w:tcPr>
          <w:p>
            <w:pPr>
              <w:ind w:left="60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5" w:line="200" w:lineRule="exact"/>
              <w:outlineLvl w:val="1"/>
              <w:rPr>
                <w:rFonts w:ascii="Microsoft YaHei" w:hAnsi="Microsoft YaHei" w:eastAsia="Microsoft YaHei" w:cs="Microsoft YaHei"/>
                <w:sz w:val="19"/>
                <w:szCs w:val="19"/>
              </w:rPr>
            </w:pPr>
            <w:bookmarkStart w:name="bookmark39" w:id="11"/>
            <w:bookmarkEnd w:id="11"/>
            <w:bookmarkStart w:name="bookmark8" w:id="12"/>
            <w:bookmarkEnd w:id="12"/>
            <w:r>
              <w:rPr>
                <w:rFonts w:ascii="Microsoft YaHei" w:hAnsi="Microsoft YaHei" w:eastAsia="Microsoft YaHei" w:cs="Microsoft YaHei"/>
                <w:sz w:val="19"/>
                <w:szCs w:val="19"/>
                <w:color w:val="212529"/>
                <w:spacing w:val="2"/>
                <w:position w:val="-1"/>
              </w:rPr>
              <w:t>2026年预算支出总表</w:t>
            </w:r>
          </w:p>
        </w:tc>
      </w:tr>
      <w:tr>
        <w:trPr>
          <w:trHeight w:val="314" w:hRule="atLeast"/>
        </w:trPr>
        <w:tc>
          <w:tcPr>
            <w:tcW w:w="6474" w:type="dxa"/>
            <w:vAlign w:val="top"/>
            <w:gridSpan w:val="3"/>
            <w:tcBorders>
              <w:top w:val="single" w:color="FFFFFF" w:sz="4" w:space="0"/>
              <w:left w:val="single" w:color="FFFFFF" w:sz="2" w:space="0"/>
              <w:right w:val="single" w:color="FFFFFF" w:sz="2" w:space="0"/>
            </w:tcBorders>
          </w:tcPr>
          <w:p>
            <w:pPr>
              <w:ind w:left="9"/>
              <w:spacing w:before="8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45" w:type="dxa"/>
            <w:vAlign w:val="top"/>
            <w:tcBorders>
              <w:top w:val="single" w:color="FFFFFF" w:sz="4" w:space="0"/>
              <w:left w:val="single" w:color="FFFFFF" w:sz="2" w:space="0"/>
              <w:right w:val="single" w:color="FFFFFF" w:sz="2" w:space="0"/>
            </w:tcBorders>
          </w:tcPr>
          <w:p>
            <w:pPr>
              <w:ind w:left="672"/>
              <w:spacing w:before="9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81" w:type="dxa"/>
            <w:vAlign w:val="top"/>
            <w:gridSpan w:val="2"/>
          </w:tcPr>
          <w:p>
            <w:pPr>
              <w:ind w:left="2368"/>
              <w:spacing w:before="7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77" w:type="dxa"/>
            <w:vAlign w:val="top"/>
            <w:gridSpan w:val="3"/>
          </w:tcPr>
          <w:p>
            <w:pPr>
              <w:ind w:left="1545"/>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14" w:hRule="atLeast"/>
        </w:trPr>
        <w:tc>
          <w:tcPr>
            <w:tcW w:w="1755" w:type="dxa"/>
            <w:vAlign w:val="top"/>
          </w:tcPr>
          <w:p>
            <w:pPr>
              <w:ind w:left="537"/>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26" w:type="dxa"/>
            <w:vAlign w:val="top"/>
          </w:tcPr>
          <w:p>
            <w:pPr>
              <w:ind w:left="1324"/>
              <w:spacing w:before="7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93" w:type="dxa"/>
            <w:vAlign w:val="top"/>
          </w:tcPr>
          <w:p>
            <w:pPr>
              <w:ind w:left="526"/>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45" w:type="dxa"/>
            <w:vAlign w:val="top"/>
          </w:tcPr>
          <w:p>
            <w:pPr>
              <w:ind w:left="337"/>
              <w:spacing w:before="7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81" w:type="dxa"/>
            <w:vAlign w:val="top"/>
            <w:gridSpan w:val="2"/>
          </w:tcPr>
          <w:p>
            <w:pPr>
              <w:ind w:left="2370"/>
              <w:spacing w:before="7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pStyle w:val="TableText"/>
              <w:ind w:left="881"/>
              <w:spacing w:before="9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1339" w:type="dxa"/>
            <w:vAlign w:val="top"/>
          </w:tcPr>
          <w:p>
            <w:pPr>
              <w:pStyle w:val="TableText"/>
              <w:ind w:left="831"/>
              <w:spacing w:before="96" w:line="186" w:lineRule="auto"/>
              <w:rPr>
                <w:sz w:val="13"/>
                <w:szCs w:val="13"/>
              </w:rPr>
            </w:pPr>
            <w:r>
              <w:rPr>
                <w:sz w:val="13"/>
                <w:szCs w:val="13"/>
                <w:color w:val="212529"/>
                <w:spacing w:val="5"/>
              </w:rPr>
              <w:t>258.</w:t>
            </w:r>
            <w:r>
              <w:rPr>
                <w:sz w:val="13"/>
                <w:szCs w:val="13"/>
                <w:color w:val="212529"/>
                <w:spacing w:val="9"/>
              </w:rPr>
              <w:t xml:space="preserve"> </w:t>
            </w:r>
            <w:r>
              <w:rPr>
                <w:sz w:val="13"/>
                <w:szCs w:val="13"/>
                <w:color w:val="212529"/>
                <w:spacing w:val="5"/>
              </w:rPr>
              <w:t>65</w:t>
            </w:r>
          </w:p>
        </w:tc>
        <w:tc>
          <w:tcPr>
            <w:tcW w:w="1345" w:type="dxa"/>
            <w:vAlign w:val="top"/>
          </w:tcPr>
          <w:p>
            <w:pPr>
              <w:pStyle w:val="TableText"/>
              <w:ind w:left="844"/>
              <w:spacing w:before="96" w:line="186" w:lineRule="auto"/>
              <w:rPr>
                <w:sz w:val="13"/>
                <w:szCs w:val="13"/>
              </w:rPr>
            </w:pPr>
            <w:r>
              <w:rPr>
                <w:sz w:val="13"/>
                <w:szCs w:val="13"/>
                <w:color w:val="212529"/>
                <w:spacing w:val="2"/>
              </w:rPr>
              <w:t>189.</w:t>
            </w:r>
            <w:r>
              <w:rPr>
                <w:sz w:val="13"/>
                <w:szCs w:val="13"/>
                <w:color w:val="212529"/>
                <w:spacing w:val="16"/>
                <w:w w:val="101"/>
              </w:rPr>
              <w:t xml:space="preserve"> </w:t>
            </w:r>
            <w:r>
              <w:rPr>
                <w:sz w:val="13"/>
                <w:szCs w:val="13"/>
                <w:color w:val="212529"/>
                <w:spacing w:val="2"/>
              </w:rPr>
              <w:t>63</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326" w:type="dxa"/>
            <w:vAlign w:val="top"/>
          </w:tcPr>
          <w:p>
            <w:pPr>
              <w:ind w:left="2"/>
              <w:spacing w:before="77"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1339" w:type="dxa"/>
            <w:vAlign w:val="top"/>
          </w:tcPr>
          <w:p>
            <w:pPr>
              <w:pStyle w:val="TableText"/>
              <w:ind w:left="841"/>
              <w:spacing w:before="96" w:line="162" w:lineRule="auto"/>
              <w:rPr>
                <w:sz w:val="15"/>
                <w:szCs w:val="15"/>
              </w:rPr>
            </w:pPr>
            <w:r>
              <w:rPr>
                <w:sz w:val="15"/>
                <w:szCs w:val="15"/>
                <w:color w:val="212529"/>
                <w:spacing w:val="1"/>
              </w:rPr>
              <w:t>143.84</w:t>
            </w:r>
          </w:p>
        </w:tc>
        <w:tc>
          <w:tcPr>
            <w:tcW w:w="1345" w:type="dxa"/>
            <w:vAlign w:val="top"/>
          </w:tcPr>
          <w:p>
            <w:pPr>
              <w:pStyle w:val="TableText"/>
              <w:ind w:left="844"/>
              <w:spacing w:before="96" w:line="187" w:lineRule="auto"/>
              <w:rPr>
                <w:sz w:val="13"/>
                <w:szCs w:val="13"/>
              </w:rPr>
            </w:pPr>
            <w:r>
              <w:rPr>
                <w:sz w:val="13"/>
                <w:szCs w:val="13"/>
                <w:color w:val="212529"/>
                <w:spacing w:val="2"/>
              </w:rPr>
              <w:t>189.</w:t>
            </w:r>
            <w:r>
              <w:rPr>
                <w:sz w:val="13"/>
                <w:szCs w:val="13"/>
                <w:color w:val="212529"/>
                <w:spacing w:val="16"/>
                <w:w w:val="101"/>
              </w:rPr>
              <w:t xml:space="preserve"> </w:t>
            </w:r>
            <w:r>
              <w:rPr>
                <w:sz w:val="13"/>
                <w:szCs w:val="13"/>
                <w:color w:val="212529"/>
                <w:spacing w:val="2"/>
              </w:rPr>
              <w:t>63</w:t>
            </w:r>
          </w:p>
        </w:tc>
      </w:tr>
      <w:tr>
        <w:trPr>
          <w:trHeight w:val="314" w:hRule="atLeast"/>
        </w:trPr>
        <w:tc>
          <w:tcPr>
            <w:tcW w:w="1755" w:type="dxa"/>
            <w:vAlign w:val="top"/>
          </w:tcPr>
          <w:p>
            <w:pPr>
              <w:ind w:left="8"/>
              <w:spacing w:before="77"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326" w:type="dxa"/>
            <w:vAlign w:val="top"/>
          </w:tcPr>
          <w:p>
            <w:pPr>
              <w:ind w:left="1"/>
              <w:spacing w:before="78"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393" w:type="dxa"/>
            <w:vAlign w:val="top"/>
          </w:tcPr>
          <w:p>
            <w:pPr>
              <w:ind w:right="22"/>
              <w:spacing w:before="7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302.47</w:t>
            </w:r>
          </w:p>
        </w:tc>
        <w:tc>
          <w:tcPr>
            <w:tcW w:w="1339" w:type="dxa"/>
            <w:vAlign w:val="top"/>
          </w:tcPr>
          <w:p>
            <w:pPr>
              <w:pStyle w:val="TableText"/>
              <w:ind w:left="841"/>
              <w:spacing w:before="96" w:line="162" w:lineRule="auto"/>
              <w:rPr>
                <w:sz w:val="15"/>
                <w:szCs w:val="15"/>
              </w:rPr>
            </w:pPr>
            <w:r>
              <w:rPr>
                <w:sz w:val="15"/>
                <w:szCs w:val="15"/>
                <w:color w:val="212529"/>
                <w:spacing w:val="1"/>
              </w:rPr>
              <w:t>143.84</w:t>
            </w:r>
          </w:p>
        </w:tc>
        <w:tc>
          <w:tcPr>
            <w:tcW w:w="1345" w:type="dxa"/>
            <w:vAlign w:val="top"/>
          </w:tcPr>
          <w:p>
            <w:pPr>
              <w:pStyle w:val="TableText"/>
              <w:ind w:left="844"/>
              <w:spacing w:before="96" w:line="186" w:lineRule="auto"/>
              <w:rPr>
                <w:sz w:val="13"/>
                <w:szCs w:val="13"/>
              </w:rPr>
            </w:pPr>
            <w:r>
              <w:rPr>
                <w:sz w:val="13"/>
                <w:szCs w:val="13"/>
                <w:color w:val="212529"/>
                <w:spacing w:val="2"/>
              </w:rPr>
              <w:t>158.</w:t>
            </w:r>
            <w:r>
              <w:rPr>
                <w:sz w:val="13"/>
                <w:szCs w:val="13"/>
                <w:color w:val="212529"/>
                <w:spacing w:val="16"/>
                <w:w w:val="101"/>
              </w:rPr>
              <w:t xml:space="preserve"> </w:t>
            </w:r>
            <w:r>
              <w:rPr>
                <w:sz w:val="13"/>
                <w:szCs w:val="13"/>
                <w:color w:val="212529"/>
                <w:spacing w:val="2"/>
              </w:rPr>
              <w:t>63</w:t>
            </w:r>
          </w:p>
        </w:tc>
      </w:tr>
      <w:tr>
        <w:trPr>
          <w:trHeight w:val="314" w:hRule="atLeast"/>
        </w:trPr>
        <w:tc>
          <w:tcPr>
            <w:tcW w:w="1755" w:type="dxa"/>
            <w:vAlign w:val="top"/>
          </w:tcPr>
          <w:p>
            <w:pPr>
              <w:ind w:left="8"/>
              <w:spacing w:before="78"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326" w:type="dxa"/>
            <w:vAlign w:val="top"/>
          </w:tcPr>
          <w:p>
            <w:pPr>
              <w:ind w:left="2"/>
              <w:spacing w:before="78"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339" w:type="dxa"/>
            <w:vAlign w:val="top"/>
          </w:tcPr>
          <w:p>
            <w:pPr>
              <w:ind w:right="20"/>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345" w:type="dxa"/>
            <w:vAlign w:val="top"/>
          </w:tcPr>
          <w:p>
            <w:pPr>
              <w:pStyle w:val="TableText"/>
              <w:rPr/>
            </w:pPr>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326" w:type="dxa"/>
            <w:vAlign w:val="top"/>
          </w:tcPr>
          <w:p>
            <w:pPr>
              <w:spacing w:before="78"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c>
          <w:tcPr>
            <w:tcW w:w="1339" w:type="dxa"/>
            <w:vAlign w:val="top"/>
          </w:tcPr>
          <w:p>
            <w:pPr>
              <w:pStyle w:val="TableText"/>
              <w:rPr/>
            </w:pPr>
            <w:r/>
          </w:p>
        </w:tc>
        <w:tc>
          <w:tcPr>
            <w:tcW w:w="1345" w:type="dxa"/>
            <w:vAlign w:val="top"/>
          </w:tcPr>
          <w:p>
            <w:pPr>
              <w:ind w:right="24"/>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r>
      <w:tr>
        <w:trPr>
          <w:trHeight w:val="314" w:hRule="atLeast"/>
        </w:trPr>
        <w:tc>
          <w:tcPr>
            <w:tcW w:w="1755" w:type="dxa"/>
            <w:vAlign w:val="top"/>
          </w:tcPr>
          <w:p>
            <w:pPr>
              <w:ind w:left="8"/>
              <w:spacing w:before="78"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326" w:type="dxa"/>
            <w:vAlign w:val="top"/>
          </w:tcPr>
          <w:p>
            <w:pPr>
              <w:ind w:left="2"/>
              <w:spacing w:before="78"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393" w:type="dxa"/>
            <w:vAlign w:val="top"/>
          </w:tcPr>
          <w:p>
            <w:pPr>
              <w:ind w:right="22"/>
              <w:spacing w:before="7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pStyle w:val="TableText"/>
              <w:ind w:left="997"/>
              <w:spacing w:before="98" w:line="186" w:lineRule="auto"/>
              <w:rPr>
                <w:sz w:val="13"/>
                <w:szCs w:val="13"/>
              </w:rPr>
            </w:pPr>
            <w:r>
              <w:rPr>
                <w:sz w:val="13"/>
                <w:szCs w:val="13"/>
                <w:color w:val="212529"/>
                <w:spacing w:val="2"/>
              </w:rPr>
              <w:t>5.</w:t>
            </w:r>
            <w:r>
              <w:rPr>
                <w:sz w:val="13"/>
                <w:szCs w:val="13"/>
                <w:color w:val="212529"/>
                <w:spacing w:val="14"/>
              </w:rPr>
              <w:t xml:space="preserve"> </w:t>
            </w:r>
            <w:r>
              <w:rPr>
                <w:sz w:val="13"/>
                <w:szCs w:val="13"/>
                <w:color w:val="212529"/>
                <w:spacing w:val="2"/>
              </w:rPr>
              <w:t>00</w:t>
            </w:r>
          </w:p>
        </w:tc>
      </w:tr>
      <w:tr>
        <w:trPr>
          <w:trHeight w:val="314" w:hRule="atLeast"/>
        </w:trPr>
        <w:tc>
          <w:tcPr>
            <w:tcW w:w="1755" w:type="dxa"/>
            <w:vAlign w:val="top"/>
          </w:tcPr>
          <w:p>
            <w:pPr>
              <w:ind w:left="8"/>
              <w:spacing w:before="79" w:line="202"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39" w:type="dxa"/>
            <w:vAlign w:val="top"/>
          </w:tcPr>
          <w:p>
            <w:pPr>
              <w:pStyle w:val="TableText"/>
              <w:rPr/>
            </w:pPr>
            <w:r/>
          </w:p>
        </w:tc>
        <w:tc>
          <w:tcPr>
            <w:tcW w:w="1345" w:type="dxa"/>
            <w:vAlign w:val="top"/>
          </w:tcPr>
          <w:p>
            <w:pPr>
              <w:ind w:right="24"/>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314" w:hRule="atLeast"/>
        </w:trPr>
        <w:tc>
          <w:tcPr>
            <w:tcW w:w="1755"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326"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39" w:type="dxa"/>
            <w:vAlign w:val="top"/>
          </w:tcPr>
          <w:p>
            <w:pPr>
              <w:pStyle w:val="TableText"/>
              <w:rPr/>
            </w:pPr>
            <w:r/>
          </w:p>
        </w:tc>
        <w:tc>
          <w:tcPr>
            <w:tcW w:w="1345" w:type="dxa"/>
            <w:vAlign w:val="top"/>
          </w:tcPr>
          <w:p>
            <w:pPr>
              <w:pStyle w:val="TableText"/>
              <w:ind w:left="915"/>
              <w:spacing w:before="98" w:line="186" w:lineRule="auto"/>
              <w:rPr>
                <w:sz w:val="13"/>
                <w:szCs w:val="13"/>
              </w:rPr>
            </w:pPr>
            <w:r>
              <w:rPr>
                <w:sz w:val="13"/>
                <w:szCs w:val="13"/>
                <w:color w:val="212529"/>
                <w:spacing w:val="4"/>
              </w:rPr>
              <w:t>26.</w:t>
            </w:r>
            <w:r>
              <w:rPr>
                <w:sz w:val="13"/>
                <w:szCs w:val="13"/>
                <w:color w:val="212529"/>
                <w:spacing w:val="11"/>
                <w:w w:val="101"/>
              </w:rPr>
              <w:t xml:space="preserve"> </w:t>
            </w:r>
            <w:r>
              <w:rPr>
                <w:sz w:val="13"/>
                <w:szCs w:val="13"/>
                <w:color w:val="212529"/>
                <w:spacing w:val="4"/>
              </w:rPr>
              <w:t>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393" w:type="dxa"/>
            <w:vAlign w:val="top"/>
          </w:tcPr>
          <w:p>
            <w:pPr>
              <w:ind w:right="22"/>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39" w:type="dxa"/>
            <w:vAlign w:val="top"/>
          </w:tcPr>
          <w:p>
            <w:pPr>
              <w:pStyle w:val="TableText"/>
              <w:rPr/>
            </w:pPr>
            <w:r/>
          </w:p>
        </w:tc>
        <w:tc>
          <w:tcPr>
            <w:tcW w:w="1345" w:type="dxa"/>
            <w:vAlign w:val="top"/>
          </w:tcPr>
          <w:p>
            <w:pPr>
              <w:ind w:right="24"/>
              <w:spacing w:before="80"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r>
      <w:tr>
        <w:trPr>
          <w:trHeight w:val="314" w:hRule="atLeast"/>
        </w:trPr>
        <w:tc>
          <w:tcPr>
            <w:tcW w:w="1755"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26" w:type="dxa"/>
            <w:vAlign w:val="top"/>
          </w:tcPr>
          <w:p>
            <w:pPr>
              <w:ind w:left="2"/>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66.96</w:t>
            </w:r>
          </w:p>
        </w:tc>
        <w:tc>
          <w:tcPr>
            <w:tcW w:w="1339" w:type="dxa"/>
            <w:vAlign w:val="top"/>
          </w:tcPr>
          <w:p>
            <w:pPr>
              <w:pStyle w:val="TableText"/>
              <w:rPr/>
            </w:pPr>
            <w:r/>
          </w:p>
        </w:tc>
        <w:tc>
          <w:tcPr>
            <w:tcW w:w="1345" w:type="dxa"/>
            <w:vAlign w:val="top"/>
          </w:tcPr>
          <w:p>
            <w:pPr>
              <w:pStyle w:val="TableText"/>
              <w:rPr/>
            </w:pPr>
            <w:r/>
          </w:p>
        </w:tc>
      </w:tr>
      <w:tr>
        <w:trPr>
          <w:trHeight w:val="314" w:hRule="atLeast"/>
        </w:trPr>
        <w:tc>
          <w:tcPr>
            <w:tcW w:w="1755"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26"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93" w:type="dxa"/>
            <w:vAlign w:val="top"/>
          </w:tcPr>
          <w:p>
            <w:pPr>
              <w:ind w:right="22"/>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62.85</w:t>
            </w:r>
          </w:p>
        </w:tc>
        <w:tc>
          <w:tcPr>
            <w:tcW w:w="1339" w:type="dxa"/>
            <w:vAlign w:val="top"/>
          </w:tcPr>
          <w:p>
            <w:pPr>
              <w:pStyle w:val="TableText"/>
              <w:ind w:left="912"/>
              <w:spacing w:before="99" w:line="186" w:lineRule="auto"/>
              <w:rPr>
                <w:sz w:val="13"/>
                <w:szCs w:val="13"/>
              </w:rPr>
            </w:pPr>
            <w:r>
              <w:rPr>
                <w:sz w:val="13"/>
                <w:szCs w:val="13"/>
                <w:color w:val="212529"/>
                <w:spacing w:val="4"/>
              </w:rPr>
              <w:t>62.</w:t>
            </w:r>
            <w:r>
              <w:rPr>
                <w:sz w:val="13"/>
                <w:szCs w:val="13"/>
                <w:color w:val="212529"/>
                <w:spacing w:val="10"/>
                <w:w w:val="101"/>
              </w:rPr>
              <w:t xml:space="preserve"> </w:t>
            </w:r>
            <w:r>
              <w:rPr>
                <w:sz w:val="13"/>
                <w:szCs w:val="13"/>
                <w:color w:val="212529"/>
                <w:spacing w:val="4"/>
              </w:rPr>
              <w:t>85</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26" w:type="dxa"/>
            <w:vAlign w:val="top"/>
          </w:tcPr>
          <w:p>
            <w:pPr>
              <w:ind w:left="2"/>
              <w:spacing w:before="8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93" w:type="dxa"/>
            <w:vAlign w:val="top"/>
          </w:tcPr>
          <w:p>
            <w:pPr>
              <w:ind w:right="22"/>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339" w:type="dxa"/>
            <w:vAlign w:val="top"/>
          </w:tcPr>
          <w:p>
            <w:pPr>
              <w:ind w:right="20"/>
              <w:spacing w:before="81"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345" w:type="dxa"/>
            <w:vAlign w:val="top"/>
          </w:tcPr>
          <w:p>
            <w:pPr>
              <w:pStyle w:val="TableText"/>
              <w:rPr/>
            </w:pPr>
            <w:r/>
          </w:p>
        </w:tc>
      </w:tr>
      <w:tr>
        <w:trPr>
          <w:trHeight w:val="314" w:hRule="atLeast"/>
        </w:trPr>
        <w:tc>
          <w:tcPr>
            <w:tcW w:w="1755"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345" w:type="dxa"/>
            <w:vAlign w:val="top"/>
          </w:tcPr>
          <w:p>
            <w:pPr>
              <w:pStyle w:val="TableText"/>
              <w:rPr/>
            </w:pPr>
            <w:r/>
          </w:p>
        </w:tc>
      </w:tr>
      <w:tr>
        <w:trPr>
          <w:trHeight w:val="314" w:hRule="atLeast"/>
        </w:trPr>
        <w:tc>
          <w:tcPr>
            <w:tcW w:w="1755"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326"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393" w:type="dxa"/>
            <w:vAlign w:val="top"/>
          </w:tcPr>
          <w:p>
            <w:pPr>
              <w:ind w:right="22"/>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339" w:type="dxa"/>
            <w:vAlign w:val="top"/>
          </w:tcPr>
          <w:p>
            <w:pPr>
              <w:ind w:right="20"/>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326" w:type="dxa"/>
            <w:vAlign w:val="top"/>
          </w:tcPr>
          <w:p>
            <w:pPr>
              <w:spacing w:before="81"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393" w:type="dxa"/>
            <w:vAlign w:val="top"/>
          </w:tcPr>
          <w:p>
            <w:pPr>
              <w:ind w:right="22"/>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39" w:type="dxa"/>
            <w:vAlign w:val="top"/>
          </w:tcPr>
          <w:p>
            <w:pPr>
              <w:pStyle w:val="TableText"/>
              <w:ind w:left="995"/>
              <w:spacing w:before="101" w:line="186" w:lineRule="auto"/>
              <w:rPr>
                <w:sz w:val="13"/>
                <w:szCs w:val="13"/>
              </w:rPr>
            </w:pPr>
            <w:r>
              <w:rPr>
                <w:sz w:val="13"/>
                <w:szCs w:val="13"/>
                <w:color w:val="212529"/>
                <w:spacing w:val="1"/>
              </w:rPr>
              <w:t>3.</w:t>
            </w:r>
            <w:r>
              <w:rPr>
                <w:sz w:val="13"/>
                <w:szCs w:val="13"/>
                <w:color w:val="212529"/>
                <w:spacing w:val="16"/>
                <w:w w:val="101"/>
              </w:rPr>
              <w:t xml:space="preserve"> </w:t>
            </w:r>
            <w:r>
              <w:rPr>
                <w:sz w:val="13"/>
                <w:szCs w:val="13"/>
                <w:color w:val="212529"/>
                <w:spacing w:val="1"/>
              </w:rPr>
              <w:t>57</w:t>
            </w:r>
          </w:p>
        </w:tc>
        <w:tc>
          <w:tcPr>
            <w:tcW w:w="1345" w:type="dxa"/>
            <w:vAlign w:val="top"/>
          </w:tcPr>
          <w:p>
            <w:pPr>
              <w:pStyle w:val="TableText"/>
              <w:rPr/>
            </w:pPr>
            <w:r/>
          </w:p>
        </w:tc>
      </w:tr>
      <w:tr>
        <w:trPr>
          <w:trHeight w:val="314" w:hRule="atLeast"/>
        </w:trPr>
        <w:tc>
          <w:tcPr>
            <w:tcW w:w="1755"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326"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39" w:type="dxa"/>
            <w:vAlign w:val="top"/>
          </w:tcPr>
          <w:p>
            <w:pPr>
              <w:ind w:right="20"/>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45" w:type="dxa"/>
            <w:vAlign w:val="top"/>
          </w:tcPr>
          <w:p>
            <w:pPr>
              <w:pStyle w:val="TableText"/>
              <w:rPr/>
            </w:pPr>
            <w:r/>
          </w:p>
        </w:tc>
      </w:tr>
      <w:tr>
        <w:trPr>
          <w:trHeight w:val="314" w:hRule="atLeast"/>
        </w:trPr>
        <w:tc>
          <w:tcPr>
            <w:tcW w:w="1755"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326"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39" w:type="dxa"/>
            <w:vAlign w:val="top"/>
          </w:tcPr>
          <w:p>
            <w:pPr>
              <w:pStyle w:val="TableText"/>
              <w:ind w:left="993"/>
              <w:spacing w:before="101" w:line="186" w:lineRule="auto"/>
              <w:rPr>
                <w:sz w:val="13"/>
                <w:szCs w:val="13"/>
              </w:rPr>
            </w:pPr>
            <w:r>
              <w:rPr>
                <w:sz w:val="13"/>
                <w:szCs w:val="13"/>
                <w:color w:val="212529"/>
                <w:spacing w:val="4"/>
              </w:rPr>
              <w:t>0.</w:t>
            </w:r>
            <w:r>
              <w:rPr>
                <w:sz w:val="13"/>
                <w:szCs w:val="13"/>
                <w:color w:val="212529"/>
                <w:spacing w:val="9"/>
                <w:w w:val="102"/>
              </w:rPr>
              <w:t xml:space="preserve"> </w:t>
            </w:r>
            <w:r>
              <w:rPr>
                <w:sz w:val="13"/>
                <w:szCs w:val="13"/>
                <w:color w:val="212529"/>
                <w:spacing w:val="4"/>
              </w:rPr>
              <w:t>54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326"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393" w:type="dxa"/>
            <w:vAlign w:val="top"/>
          </w:tcPr>
          <w:p>
            <w:pPr>
              <w:ind w:right="22"/>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39" w:type="dxa"/>
            <w:vAlign w:val="top"/>
          </w:tcPr>
          <w:p>
            <w:pPr>
              <w:ind w:right="20"/>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45" w:type="dxa"/>
            <w:vAlign w:val="top"/>
          </w:tcPr>
          <w:p>
            <w:pPr>
              <w:pStyle w:val="TableText"/>
              <w:rPr/>
            </w:pPr>
            <w:r/>
          </w:p>
        </w:tc>
      </w:tr>
      <w:tr>
        <w:trPr>
          <w:trHeight w:val="314" w:hRule="atLeast"/>
        </w:trPr>
        <w:tc>
          <w:tcPr>
            <w:tcW w:w="1755"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26" w:type="dxa"/>
            <w:vAlign w:val="top"/>
          </w:tcPr>
          <w:p>
            <w:pPr>
              <w:ind w:left="2"/>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339" w:type="dxa"/>
            <w:vAlign w:val="top"/>
          </w:tcPr>
          <w:p>
            <w:pPr>
              <w:pStyle w:val="TableText"/>
              <w:ind w:left="922"/>
              <w:spacing w:before="101" w:line="162" w:lineRule="auto"/>
              <w:rPr>
                <w:sz w:val="15"/>
                <w:szCs w:val="15"/>
              </w:rPr>
            </w:pPr>
            <w:r>
              <w:rPr>
                <w:sz w:val="15"/>
                <w:szCs w:val="15"/>
                <w:color w:val="212529"/>
                <w:spacing w:val="1"/>
              </w:rPr>
              <w:t>18.80</w:t>
            </w:r>
          </w:p>
        </w:tc>
        <w:tc>
          <w:tcPr>
            <w:tcW w:w="1345" w:type="dxa"/>
            <w:vAlign w:val="top"/>
          </w:tcPr>
          <w:p>
            <w:pPr>
              <w:pStyle w:val="TableText"/>
              <w:rPr/>
            </w:pPr>
            <w:r/>
          </w:p>
        </w:tc>
      </w:tr>
      <w:tr>
        <w:trPr>
          <w:trHeight w:val="314" w:hRule="atLeast"/>
        </w:trPr>
        <w:tc>
          <w:tcPr>
            <w:tcW w:w="1755"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21007</w:t>
            </w:r>
          </w:p>
        </w:tc>
        <w:tc>
          <w:tcPr>
            <w:tcW w:w="3326"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393"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39" w:type="dxa"/>
            <w:vAlign w:val="top"/>
          </w:tcPr>
          <w:p>
            <w:pPr>
              <w:pStyle w:val="TableText"/>
              <w:ind w:left="993"/>
              <w:spacing w:before="102" w:line="186" w:lineRule="auto"/>
              <w:rPr>
                <w:sz w:val="13"/>
                <w:szCs w:val="13"/>
              </w:rPr>
            </w:pPr>
            <w:r>
              <w:rPr>
                <w:sz w:val="13"/>
                <w:szCs w:val="13"/>
                <w:color w:val="212529"/>
                <w:spacing w:val="3"/>
              </w:rPr>
              <w:t>0.</w:t>
            </w:r>
            <w:r>
              <w:rPr>
                <w:sz w:val="13"/>
                <w:szCs w:val="13"/>
                <w:color w:val="212529"/>
                <w:spacing w:val="10"/>
              </w:rPr>
              <w:t xml:space="preserve"> </w:t>
            </w:r>
            <w:r>
              <w:rPr>
                <w:sz w:val="13"/>
                <w:szCs w:val="13"/>
                <w:color w:val="212529"/>
                <w:spacing w:val="3"/>
              </w:rPr>
              <w:t>12</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2100799</w:t>
            </w:r>
          </w:p>
        </w:tc>
        <w:tc>
          <w:tcPr>
            <w:tcW w:w="3326"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39"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45" w:type="dxa"/>
            <w:vAlign w:val="top"/>
          </w:tcPr>
          <w:p>
            <w:pPr>
              <w:pStyle w:val="TableText"/>
              <w:rPr/>
            </w:pPr>
            <w:r/>
          </w:p>
        </w:tc>
      </w:tr>
      <w:tr>
        <w:trPr>
          <w:trHeight w:val="314" w:hRule="atLeast"/>
        </w:trPr>
        <w:tc>
          <w:tcPr>
            <w:tcW w:w="1755"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26"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18.68</w:t>
            </w:r>
          </w:p>
        </w:tc>
        <w:tc>
          <w:tcPr>
            <w:tcW w:w="1339" w:type="dxa"/>
            <w:vAlign w:val="top"/>
          </w:tcPr>
          <w:p>
            <w:pPr>
              <w:pStyle w:val="TableText"/>
              <w:ind w:left="922"/>
              <w:spacing w:before="102" w:line="162" w:lineRule="auto"/>
              <w:rPr>
                <w:sz w:val="15"/>
                <w:szCs w:val="15"/>
              </w:rPr>
            </w:pPr>
            <w:r>
              <w:rPr>
                <w:sz w:val="15"/>
                <w:szCs w:val="15"/>
                <w:color w:val="212529"/>
                <w:spacing w:val="1"/>
              </w:rPr>
              <w:t>18.68</w:t>
            </w:r>
          </w:p>
        </w:tc>
        <w:tc>
          <w:tcPr>
            <w:tcW w:w="1345" w:type="dxa"/>
            <w:vAlign w:val="top"/>
          </w:tcPr>
          <w:p>
            <w:pPr>
              <w:pStyle w:val="TableText"/>
              <w:rPr/>
            </w:pPr>
            <w:r/>
          </w:p>
        </w:tc>
      </w:tr>
      <w:tr>
        <w:trPr>
          <w:trHeight w:val="314" w:hRule="atLeast"/>
        </w:trPr>
        <w:tc>
          <w:tcPr>
            <w:tcW w:w="1755"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26"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93"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339" w:type="dxa"/>
            <w:vAlign w:val="top"/>
          </w:tcPr>
          <w:p>
            <w:pPr>
              <w:ind w:right="20"/>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345" w:type="dxa"/>
            <w:vAlign w:val="top"/>
          </w:tcPr>
          <w:p>
            <w:pPr>
              <w:pStyle w:val="TableText"/>
              <w:rPr/>
            </w:pPr>
            <w:r/>
          </w:p>
        </w:tc>
      </w:tr>
      <w:tr>
        <w:trPr>
          <w:trHeight w:val="314" w:hRule="atLeast"/>
        </w:trPr>
        <w:tc>
          <w:tcPr>
            <w:tcW w:w="1755"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326" w:type="dxa"/>
            <w:vAlign w:val="top"/>
          </w:tcPr>
          <w:p>
            <w:pPr>
              <w:ind w:left="5"/>
              <w:spacing w:before="8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339" w:type="dxa"/>
            <w:vAlign w:val="top"/>
          </w:tcPr>
          <w:p>
            <w:pPr>
              <w:ind w:right="20"/>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345" w:type="dxa"/>
            <w:vAlign w:val="top"/>
          </w:tcPr>
          <w:p>
            <w:pPr>
              <w:pStyle w:val="TableText"/>
              <w:rPr/>
            </w:pPr>
            <w:r/>
          </w:p>
        </w:tc>
      </w:tr>
      <w:tr>
        <w:trPr>
          <w:trHeight w:val="314" w:hRule="atLeast"/>
        </w:trPr>
        <w:tc>
          <w:tcPr>
            <w:tcW w:w="1755"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39" w:type="dxa"/>
            <w:vAlign w:val="top"/>
          </w:tcPr>
          <w:p>
            <w:pPr>
              <w:pStyle w:val="TableText"/>
              <w:ind w:left="913"/>
              <w:spacing w:before="105" w:line="172" w:lineRule="auto"/>
              <w:rPr>
                <w:sz w:val="14"/>
                <w:szCs w:val="14"/>
              </w:rPr>
            </w:pPr>
            <w:r>
              <w:rPr>
                <w:sz w:val="14"/>
                <w:szCs w:val="14"/>
                <w:color w:val="212529"/>
              </w:rPr>
              <w:t>29.</w:t>
            </w:r>
            <w:r>
              <w:rPr>
                <w:sz w:val="14"/>
                <w:szCs w:val="14"/>
                <w:color w:val="212529"/>
                <w:spacing w:val="6"/>
              </w:rPr>
              <w:t xml:space="preserve"> </w:t>
            </w:r>
            <w:r>
              <w:rPr>
                <w:sz w:val="14"/>
                <w:szCs w:val="14"/>
                <w:color w:val="212529"/>
              </w:rPr>
              <w:t>04</w:t>
            </w:r>
          </w:p>
        </w:tc>
        <w:tc>
          <w:tcPr>
            <w:tcW w:w="1345" w:type="dxa"/>
            <w:vAlign w:val="top"/>
          </w:tcPr>
          <w:p>
            <w:pPr>
              <w:pStyle w:val="TableText"/>
              <w:rPr/>
            </w:pPr>
            <w:r/>
          </w:p>
        </w:tc>
      </w:tr>
      <w:tr>
        <w:trPr>
          <w:trHeight w:val="314" w:hRule="atLeast"/>
        </w:trPr>
        <w:tc>
          <w:tcPr>
            <w:tcW w:w="1755"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26" w:type="dxa"/>
            <w:vAlign w:val="top"/>
          </w:tcPr>
          <w:p>
            <w:pPr>
              <w:ind w:left="1"/>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93"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39" w:type="dxa"/>
            <w:vAlign w:val="top"/>
          </w:tcPr>
          <w:p>
            <w:pPr>
              <w:pStyle w:val="TableText"/>
              <w:ind w:left="913"/>
              <w:spacing w:before="105" w:line="172" w:lineRule="auto"/>
              <w:rPr>
                <w:sz w:val="14"/>
                <w:szCs w:val="14"/>
              </w:rPr>
            </w:pPr>
            <w:r>
              <w:rPr>
                <w:sz w:val="14"/>
                <w:szCs w:val="14"/>
                <w:color w:val="212529"/>
              </w:rPr>
              <w:t>29.</w:t>
            </w:r>
            <w:r>
              <w:rPr>
                <w:sz w:val="14"/>
                <w:szCs w:val="14"/>
                <w:color w:val="212529"/>
                <w:spacing w:val="6"/>
              </w:rPr>
              <w:t xml:space="preserve"> </w:t>
            </w:r>
            <w:r>
              <w:rPr>
                <w:sz w:val="14"/>
                <w:szCs w:val="14"/>
                <w:color w:val="212529"/>
              </w:rPr>
              <w:t>04</w:t>
            </w:r>
          </w:p>
        </w:tc>
        <w:tc>
          <w:tcPr>
            <w:tcW w:w="1345" w:type="dxa"/>
            <w:vAlign w:val="top"/>
          </w:tcPr>
          <w:p>
            <w:pPr>
              <w:pStyle w:val="TableText"/>
              <w:rPr/>
            </w:pPr>
            <w:r/>
          </w:p>
        </w:tc>
      </w:tr>
      <w:tr>
        <w:trPr>
          <w:trHeight w:val="319" w:hRule="atLeast"/>
        </w:trPr>
        <w:tc>
          <w:tcPr>
            <w:tcW w:w="1755"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26" w:type="dxa"/>
            <w:vAlign w:val="top"/>
          </w:tcPr>
          <w:p>
            <w:pPr>
              <w:ind w:left="1"/>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93" w:type="dxa"/>
            <w:vAlign w:val="top"/>
          </w:tcPr>
          <w:p>
            <w:pPr>
              <w:ind w:right="22"/>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39" w:type="dxa"/>
            <w:vAlign w:val="top"/>
          </w:tcPr>
          <w:p>
            <w:pPr>
              <w:ind w:right="20"/>
              <w:spacing w:before="8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45"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40" w:id="13"/>
            <w:bookmarkEnd w:id="13"/>
            <w:bookmarkStart w:name="bookmark9" w:id="14"/>
            <w:bookmarkEnd w:id="14"/>
            <w:r>
              <w:rPr>
                <w:rFonts w:ascii="Microsoft YaHei" w:hAnsi="Microsoft YaHei" w:eastAsia="Microsoft YaHei" w:cs="Microsoft YaHei"/>
                <w:sz w:val="20"/>
                <w:szCs w:val="20"/>
                <w:color w:val="212529"/>
                <w:spacing w:val="-5"/>
                <w:position w:val="-1"/>
              </w:rPr>
              <w:t>2026年财政拨款收支总表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297" w:right="67" w:hanging="240"/>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0"/>
              </w:rPr>
              <w:t>预算</w:t>
            </w:r>
          </w:p>
        </w:tc>
        <w:tc>
          <w:tcPr>
            <w:tcW w:w="1074" w:type="dxa"/>
            <w:vAlign w:val="top"/>
          </w:tcPr>
          <w:p>
            <w:pPr>
              <w:ind w:left="360" w:right="59" w:hanging="304"/>
              <w:spacing w:before="21"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国有资本经营</w:t>
            </w: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448.28</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66.96</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1"/>
              <w:spacing w:before="138"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69"/>
              <w:spacing w:before="138" w:line="172" w:lineRule="auto"/>
              <w:rPr>
                <w:sz w:val="14"/>
                <w:szCs w:val="14"/>
              </w:rPr>
            </w:pPr>
            <w:r>
              <w:rPr>
                <w:sz w:val="14"/>
                <w:szCs w:val="14"/>
                <w:color w:val="212529"/>
                <w:spacing w:val="1"/>
              </w:rPr>
              <w:t>448.</w:t>
            </w:r>
            <w:r>
              <w:rPr>
                <w:sz w:val="14"/>
                <w:szCs w:val="14"/>
                <w:color w:val="212529"/>
                <w:spacing w:val="1"/>
              </w:rPr>
              <w:t xml:space="preserve"> </w:t>
            </w:r>
            <w:r>
              <w:rPr>
                <w:sz w:val="14"/>
                <w:szCs w:val="14"/>
                <w:color w:val="212529"/>
                <w:spacing w:val="1"/>
              </w:rPr>
              <w:t>28</w:t>
            </w:r>
          </w:p>
        </w:tc>
        <w:tc>
          <w:tcPr>
            <w:tcW w:w="1069" w:type="dxa"/>
            <w:vAlign w:val="top"/>
          </w:tcPr>
          <w:p>
            <w:pPr>
              <w:pStyle w:val="TableText"/>
              <w:ind w:left="283"/>
              <w:spacing w:before="138"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90"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1"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1"/>
              <w:spacing w:before="13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69"/>
              <w:spacing w:before="13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1069" w:type="dxa"/>
            <w:vAlign w:val="top"/>
          </w:tcPr>
          <w:p>
            <w:pPr>
              <w:pStyle w:val="TableText"/>
              <w:ind w:left="283"/>
              <w:spacing w:before="136"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3294"/>
        <w:gridCol w:w="1480"/>
        <w:gridCol w:w="1361"/>
        <w:gridCol w:w="1409"/>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2" w:id="16"/>
            <w:bookmarkEnd w:id="16"/>
            <w:bookmarkStart w:name="bookmark10" w:id="17"/>
            <w:bookmarkEnd w:id="17"/>
            <w:r>
              <w:rPr>
                <w:rFonts w:ascii="Microsoft YaHei" w:hAnsi="Microsoft YaHei" w:eastAsia="Microsoft YaHei" w:cs="Microsoft YaHei"/>
                <w:sz w:val="20"/>
                <w:szCs w:val="20"/>
                <w:color w:val="212529"/>
                <w:position w:val="-1"/>
              </w:rPr>
              <w:t>2026年一般公共预算支出预算表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49"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409" w:type="dxa"/>
            <w:vAlign w:val="top"/>
            <w:tcBorders>
              <w:top w:val="single" w:color="FFFFFF" w:sz="4" w:space="0"/>
              <w:left w:val="single" w:color="FFFFFF" w:sz="2" w:space="0"/>
              <w:right w:val="single" w:color="FFFFFF" w:sz="2" w:space="0"/>
            </w:tcBorders>
          </w:tcPr>
          <w:p>
            <w:pPr>
              <w:ind w:left="736"/>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08" w:type="dxa"/>
            <w:vAlign w:val="top"/>
            <w:gridSpan w:val="2"/>
          </w:tcPr>
          <w:p>
            <w:pPr>
              <w:ind w:left="2282"/>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250" w:type="dxa"/>
            <w:vAlign w:val="top"/>
            <w:gridSpan w:val="3"/>
          </w:tcPr>
          <w:p>
            <w:pPr>
              <w:ind w:left="163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1614" w:type="dxa"/>
            <w:vAlign w:val="top"/>
          </w:tcPr>
          <w:p>
            <w:pPr>
              <w:ind w:left="46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9"/>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80" w:type="dxa"/>
            <w:vAlign w:val="top"/>
          </w:tcPr>
          <w:p>
            <w:pPr>
              <w:ind w:left="572"/>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409" w:type="dxa"/>
            <w:vAlign w:val="top"/>
          </w:tcPr>
          <w:p>
            <w:pPr>
              <w:ind w:left="371"/>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08" w:type="dxa"/>
            <w:vAlign w:val="top"/>
            <w:gridSpan w:val="2"/>
          </w:tcPr>
          <w:p>
            <w:pPr>
              <w:ind w:left="2284"/>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80" w:type="dxa"/>
            <w:vAlign w:val="top"/>
          </w:tcPr>
          <w:p>
            <w:pPr>
              <w:pStyle w:val="TableText"/>
              <w:ind w:left="972"/>
              <w:spacing w:before="87" w:line="172" w:lineRule="auto"/>
              <w:rPr>
                <w:sz w:val="14"/>
                <w:szCs w:val="14"/>
              </w:rPr>
            </w:pPr>
            <w:r>
              <w:rPr>
                <w:sz w:val="14"/>
                <w:szCs w:val="14"/>
                <w:color w:val="212529"/>
              </w:rPr>
              <w:t>448.</w:t>
            </w:r>
            <w:r>
              <w:rPr>
                <w:sz w:val="14"/>
                <w:szCs w:val="14"/>
                <w:color w:val="212529"/>
                <w:spacing w:val="8"/>
              </w:rPr>
              <w:t xml:space="preserve"> </w:t>
            </w:r>
            <w:r>
              <w:rPr>
                <w:sz w:val="14"/>
                <w:szCs w:val="14"/>
                <w:color w:val="212529"/>
              </w:rPr>
              <w:t>28</w:t>
            </w:r>
          </w:p>
        </w:tc>
        <w:tc>
          <w:tcPr>
            <w:tcW w:w="1361" w:type="dxa"/>
            <w:vAlign w:val="top"/>
          </w:tcPr>
          <w:p>
            <w:pPr>
              <w:pStyle w:val="TableText"/>
              <w:ind w:left="856"/>
              <w:spacing w:before="87" w:line="186" w:lineRule="auto"/>
              <w:rPr>
                <w:sz w:val="13"/>
                <w:szCs w:val="13"/>
              </w:rPr>
            </w:pPr>
            <w:r>
              <w:rPr>
                <w:sz w:val="13"/>
                <w:szCs w:val="13"/>
                <w:color w:val="212529"/>
                <w:spacing w:val="5"/>
              </w:rPr>
              <w:t>258.</w:t>
            </w:r>
            <w:r>
              <w:rPr>
                <w:sz w:val="13"/>
                <w:szCs w:val="13"/>
                <w:color w:val="212529"/>
                <w:spacing w:val="9"/>
              </w:rPr>
              <w:t xml:space="preserve"> </w:t>
            </w:r>
            <w:r>
              <w:rPr>
                <w:sz w:val="13"/>
                <w:szCs w:val="13"/>
                <w:color w:val="212529"/>
                <w:spacing w:val="5"/>
              </w:rPr>
              <w:t>65</w:t>
            </w:r>
          </w:p>
        </w:tc>
        <w:tc>
          <w:tcPr>
            <w:tcW w:w="1409" w:type="dxa"/>
            <w:vAlign w:val="top"/>
          </w:tcPr>
          <w:p>
            <w:pPr>
              <w:pStyle w:val="TableText"/>
              <w:ind w:left="908"/>
              <w:spacing w:before="87" w:line="186" w:lineRule="auto"/>
              <w:rPr>
                <w:sz w:val="13"/>
                <w:szCs w:val="13"/>
              </w:rPr>
            </w:pPr>
            <w:r>
              <w:rPr>
                <w:sz w:val="13"/>
                <w:szCs w:val="13"/>
                <w:color w:val="212529"/>
                <w:spacing w:val="2"/>
              </w:rPr>
              <w:t>189.</w:t>
            </w:r>
            <w:r>
              <w:rPr>
                <w:sz w:val="13"/>
                <w:szCs w:val="13"/>
                <w:color w:val="212529"/>
                <w:spacing w:val="16"/>
                <w:w w:val="101"/>
              </w:rPr>
              <w:t xml:space="preserve"> </w:t>
            </w:r>
            <w:r>
              <w:rPr>
                <w:sz w:val="13"/>
                <w:szCs w:val="13"/>
                <w:color w:val="212529"/>
                <w:spacing w:val="2"/>
              </w:rPr>
              <w:t>63</w:t>
            </w:r>
          </w:p>
        </w:tc>
      </w:tr>
      <w:tr>
        <w:trPr>
          <w:trHeight w:val="292" w:hRule="atLeast"/>
        </w:trPr>
        <w:tc>
          <w:tcPr>
            <w:tcW w:w="1614"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ind w:left="3"/>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80"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333.47</w:t>
            </w:r>
          </w:p>
        </w:tc>
        <w:tc>
          <w:tcPr>
            <w:tcW w:w="1361" w:type="dxa"/>
            <w:vAlign w:val="top"/>
          </w:tcPr>
          <w:p>
            <w:pPr>
              <w:ind w:right="17"/>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409"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r>
      <w:tr>
        <w:trPr>
          <w:trHeight w:val="292" w:hRule="atLeast"/>
        </w:trPr>
        <w:tc>
          <w:tcPr>
            <w:tcW w:w="1614"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20103</w:t>
            </w:r>
          </w:p>
        </w:tc>
        <w:tc>
          <w:tcPr>
            <w:tcW w:w="3294" w:type="dxa"/>
            <w:vAlign w:val="top"/>
          </w:tcPr>
          <w:p>
            <w:pPr>
              <w:ind w:left="2"/>
              <w:spacing w:before="69" w:line="228" w:lineRule="auto"/>
              <w:rPr>
                <w:rFonts w:ascii="SimSun" w:hAnsi="SimSun" w:eastAsia="SimSun" w:cs="SimSun"/>
                <w:sz w:val="15"/>
                <w:szCs w:val="15"/>
              </w:rPr>
            </w:pPr>
            <w:r>
              <w:rPr>
                <w:rFonts w:ascii="SimSun" w:hAnsi="SimSun" w:eastAsia="SimSun" w:cs="SimSun"/>
                <w:sz w:val="15"/>
                <w:szCs w:val="15"/>
                <w:color w:val="212529"/>
                <w:spacing w:val="11"/>
              </w:rPr>
              <w:t>政府办公厅（室）及相关机构事务</w:t>
            </w:r>
          </w:p>
        </w:tc>
        <w:tc>
          <w:tcPr>
            <w:tcW w:w="1480"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302.47</w:t>
            </w:r>
          </w:p>
        </w:tc>
        <w:tc>
          <w:tcPr>
            <w:tcW w:w="1361" w:type="dxa"/>
            <w:vAlign w:val="top"/>
          </w:tcPr>
          <w:p>
            <w:pPr>
              <w:ind w:right="17"/>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409"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r>
      <w:tr>
        <w:trPr>
          <w:trHeight w:val="292" w:hRule="atLeast"/>
        </w:trPr>
        <w:tc>
          <w:tcPr>
            <w:tcW w:w="1614"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2010350</w:t>
            </w:r>
          </w:p>
        </w:tc>
        <w:tc>
          <w:tcPr>
            <w:tcW w:w="3294" w:type="dxa"/>
            <w:vAlign w:val="top"/>
          </w:tcPr>
          <w:p>
            <w:pPr>
              <w:ind w:left="3"/>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80"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361" w:type="dxa"/>
            <w:vAlign w:val="top"/>
          </w:tcPr>
          <w:p>
            <w:pPr>
              <w:ind w:right="17"/>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143.84</w:t>
            </w:r>
          </w:p>
        </w:tc>
        <w:tc>
          <w:tcPr>
            <w:tcW w:w="1409" w:type="dxa"/>
            <w:vAlign w:val="top"/>
          </w:tcPr>
          <w:p>
            <w:pPr>
              <w:pStyle w:val="TableText"/>
              <w:rPr/>
            </w:pPr>
            <w:r/>
          </w:p>
        </w:tc>
      </w:tr>
      <w:tr>
        <w:trPr>
          <w:trHeight w:val="292" w:hRule="atLeast"/>
        </w:trPr>
        <w:tc>
          <w:tcPr>
            <w:tcW w:w="1614"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2010399</w:t>
            </w:r>
          </w:p>
        </w:tc>
        <w:tc>
          <w:tcPr>
            <w:tcW w:w="3294" w:type="dxa"/>
            <w:vAlign w:val="top"/>
          </w:tcPr>
          <w:p>
            <w:pPr>
              <w:ind w:left="1"/>
              <w:spacing w:before="71" w:line="228" w:lineRule="auto"/>
              <w:rPr>
                <w:rFonts w:ascii="SimSun" w:hAnsi="SimSun" w:eastAsia="SimSun" w:cs="SimSun"/>
                <w:sz w:val="15"/>
                <w:szCs w:val="15"/>
              </w:rPr>
            </w:pPr>
            <w:r>
              <w:rPr>
                <w:rFonts w:ascii="SimSun" w:hAnsi="SimSun" w:eastAsia="SimSun" w:cs="SimSun"/>
                <w:sz w:val="15"/>
                <w:szCs w:val="15"/>
                <w:color w:val="212529"/>
                <w:spacing w:val="11"/>
              </w:rPr>
              <w:t>其他政府办公厅（室）及相关机构事务支出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158.63</w:t>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20105</w:t>
            </w:r>
          </w:p>
        </w:tc>
        <w:tc>
          <w:tcPr>
            <w:tcW w:w="3294" w:type="dxa"/>
            <w:vAlign w:val="top"/>
          </w:tcPr>
          <w:p>
            <w:pPr>
              <w:ind w:left="3"/>
              <w:spacing w:before="71" w:line="229" w:lineRule="auto"/>
              <w:rPr>
                <w:rFonts w:ascii="SimSun" w:hAnsi="SimSun" w:eastAsia="SimSun" w:cs="SimSun"/>
                <w:sz w:val="15"/>
                <w:szCs w:val="15"/>
              </w:rPr>
            </w:pPr>
            <w:r>
              <w:rPr>
                <w:rFonts w:ascii="SimSun" w:hAnsi="SimSun" w:eastAsia="SimSun" w:cs="SimSun"/>
                <w:sz w:val="15"/>
                <w:szCs w:val="15"/>
                <w:color w:val="212529"/>
                <w:spacing w:val="10"/>
              </w:rPr>
              <w:t>统计信息事务</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2010507</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0"/>
              </w:rPr>
              <w:t>专项普查活动</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361" w:type="dxa"/>
            <w:vAlign w:val="top"/>
          </w:tcPr>
          <w:p>
            <w:pPr>
              <w:pStyle w:val="TableText"/>
              <w:rPr/>
            </w:pPr>
            <w:r/>
          </w:p>
        </w:tc>
        <w:tc>
          <w:tcPr>
            <w:tcW w:w="1409"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61" w:type="dxa"/>
            <w:vAlign w:val="top"/>
          </w:tcPr>
          <w:p>
            <w:pPr>
              <w:pStyle w:val="TableText"/>
              <w:rPr/>
            </w:pPr>
            <w:r/>
          </w:p>
        </w:tc>
        <w:tc>
          <w:tcPr>
            <w:tcW w:w="1409"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r>
      <w:tr>
        <w:trPr>
          <w:trHeight w:val="293"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480" w:type="dxa"/>
            <w:vAlign w:val="top"/>
          </w:tcPr>
          <w:p>
            <w:pPr>
              <w:ind w:right="17"/>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26.00</w:t>
            </w:r>
          </w:p>
        </w:tc>
        <w:tc>
          <w:tcPr>
            <w:tcW w:w="1361" w:type="dxa"/>
            <w:vAlign w:val="top"/>
          </w:tcPr>
          <w:p>
            <w:pPr>
              <w:pStyle w:val="TableText"/>
              <w:rPr/>
            </w:pPr>
            <w:r/>
          </w:p>
        </w:tc>
        <w:tc>
          <w:tcPr>
            <w:tcW w:w="1409" w:type="dxa"/>
            <w:vAlign w:val="top"/>
          </w:tcPr>
          <w:p>
            <w:pPr>
              <w:ind w:right="24"/>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r>
      <w:tr>
        <w:trPr>
          <w:trHeight w:val="293" w:hRule="atLeast"/>
        </w:trPr>
        <w:tc>
          <w:tcPr>
            <w:tcW w:w="1614" w:type="dxa"/>
            <w:vAlign w:val="top"/>
          </w:tcPr>
          <w:p>
            <w:pPr>
              <w:pStyle w:val="TableText"/>
              <w:rPr/>
            </w:pPr>
            <w:r/>
          </w:p>
        </w:tc>
        <w:tc>
          <w:tcPr>
            <w:tcW w:w="3294" w:type="dxa"/>
            <w:vAlign w:val="top"/>
          </w:tcPr>
          <w:p>
            <w:pPr>
              <w:ind w:left="3"/>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66.96</w:t>
            </w:r>
          </w:p>
        </w:tc>
        <w:tc>
          <w:tcPr>
            <w:tcW w:w="1361" w:type="dxa"/>
            <w:vAlign w:val="top"/>
          </w:tcPr>
          <w:p>
            <w:pPr>
              <w:ind w:left="937"/>
              <w:spacing w:before="72" w:line="202" w:lineRule="exact"/>
              <w:rPr>
                <w:rFonts w:ascii="SimSun" w:hAnsi="SimSun" w:eastAsia="SimSun" w:cs="SimSun"/>
                <w:sz w:val="15"/>
                <w:szCs w:val="15"/>
              </w:rPr>
            </w:pPr>
            <w:r>
              <w:rPr>
                <w:rFonts w:ascii="SimSun" w:hAnsi="SimSun" w:eastAsia="SimSun" w:cs="SimSun"/>
                <w:sz w:val="15"/>
                <w:szCs w:val="15"/>
                <w:color w:val="212529"/>
                <w:spacing w:val="2"/>
                <w:position w:val="1"/>
              </w:rPr>
              <w:t>66.</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ind w:left="2"/>
              <w:spacing w:before="72"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62.85</w:t>
            </w:r>
          </w:p>
        </w:tc>
        <w:tc>
          <w:tcPr>
            <w:tcW w:w="1361" w:type="dxa"/>
            <w:vAlign w:val="top"/>
          </w:tcPr>
          <w:p>
            <w:pPr>
              <w:ind w:left="1102"/>
              <w:spacing w:before="188"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09" w:type="dxa"/>
            <w:vAlign w:val="top"/>
          </w:tcPr>
          <w:p>
            <w:pPr>
              <w:pStyle w:val="TableText"/>
              <w:rPr/>
            </w:pPr>
            <w:r/>
          </w:p>
        </w:tc>
      </w:tr>
      <w:tr>
        <w:trPr>
          <w:trHeight w:val="293"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ind w:left="3"/>
              <w:spacing w:before="7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w:t>
            </w:r>
          </w:p>
        </w:tc>
        <w:tc>
          <w:tcPr>
            <w:tcW w:w="1409" w:type="dxa"/>
            <w:vAlign w:val="top"/>
          </w:tcPr>
          <w:p>
            <w:pPr>
              <w:pStyle w:val="TableText"/>
              <w:rPr/>
            </w:pPr>
            <w:r/>
          </w:p>
        </w:tc>
      </w:tr>
      <w:tr>
        <w:trPr>
          <w:trHeight w:val="292" w:hRule="atLeast"/>
        </w:trPr>
        <w:tc>
          <w:tcPr>
            <w:tcW w:w="1614"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80"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361" w:type="dxa"/>
            <w:vAlign w:val="top"/>
          </w:tcPr>
          <w:p>
            <w:pPr>
              <w:ind w:right="17"/>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409" w:type="dxa"/>
            <w:vAlign w:val="top"/>
          </w:tcPr>
          <w:p>
            <w:pPr>
              <w:pStyle w:val="TableText"/>
              <w:rPr/>
            </w:pPr>
            <w:r/>
          </w:p>
        </w:tc>
      </w:tr>
      <w:tr>
        <w:trPr>
          <w:trHeight w:val="292" w:hRule="atLeast"/>
        </w:trPr>
        <w:tc>
          <w:tcPr>
            <w:tcW w:w="1614" w:type="dxa"/>
            <w:vAlign w:val="top"/>
          </w:tcPr>
          <w:p>
            <w:pPr>
              <w:ind w:left="8"/>
              <w:spacing w:before="72" w:line="202" w:lineRule="exact"/>
              <w:rPr>
                <w:rFonts w:ascii="SimSun" w:hAnsi="SimSun" w:eastAsia="SimSun" w:cs="SimSun"/>
                <w:sz w:val="15"/>
                <w:szCs w:val="15"/>
              </w:rPr>
            </w:pPr>
            <w:r>
              <w:rPr>
                <w:rFonts w:ascii="SimSun" w:hAnsi="SimSun" w:eastAsia="SimSun" w:cs="SimSun"/>
                <w:sz w:val="15"/>
                <w:szCs w:val="15"/>
                <w:color w:val="212529"/>
                <w:spacing w:val="4"/>
                <w:position w:val="1"/>
              </w:rPr>
              <w:t>20811</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残疾人事业</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09" w:type="dxa"/>
            <w:vAlign w:val="top"/>
          </w:tcPr>
          <w:p>
            <w:pPr>
              <w:pStyle w:val="TableText"/>
              <w:rPr/>
            </w:pPr>
            <w:r/>
          </w:p>
        </w:tc>
      </w:tr>
      <w:tr>
        <w:trPr>
          <w:trHeight w:val="293"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2081105</w:t>
            </w:r>
          </w:p>
        </w:tc>
        <w:tc>
          <w:tcPr>
            <w:tcW w:w="3294" w:type="dxa"/>
            <w:vAlign w:val="top"/>
          </w:tcPr>
          <w:p>
            <w:pPr>
              <w:ind w:left="1"/>
              <w:spacing w:before="72" w:line="230" w:lineRule="auto"/>
              <w:rPr>
                <w:rFonts w:ascii="SimSun" w:hAnsi="SimSun" w:eastAsia="SimSun" w:cs="SimSun"/>
                <w:sz w:val="15"/>
                <w:szCs w:val="15"/>
              </w:rPr>
            </w:pPr>
            <w:r>
              <w:rPr>
                <w:rFonts w:ascii="SimSun" w:hAnsi="SimSun" w:eastAsia="SimSun" w:cs="SimSun"/>
                <w:sz w:val="15"/>
                <w:szCs w:val="15"/>
                <w:color w:val="212529"/>
                <w:spacing w:val="10"/>
              </w:rPr>
              <w:t>残疾人就业</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409" w:type="dxa"/>
            <w:vAlign w:val="top"/>
          </w:tcPr>
          <w:p>
            <w:pPr>
              <w:pStyle w:val="TableText"/>
              <w:rPr/>
            </w:pPr>
            <w:r/>
          </w:p>
        </w:tc>
      </w:tr>
      <w:tr>
        <w:trPr>
          <w:trHeight w:val="293"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294" w:type="dxa"/>
            <w:vAlign w:val="top"/>
          </w:tcPr>
          <w:p>
            <w:pPr>
              <w:ind w:left="1"/>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409" w:type="dxa"/>
            <w:vAlign w:val="top"/>
          </w:tcPr>
          <w:p>
            <w:pPr>
              <w:pStyle w:val="TableText"/>
              <w:rPr/>
            </w:pPr>
            <w:r/>
          </w:p>
        </w:tc>
      </w:tr>
      <w:tr>
        <w:trPr>
          <w:trHeight w:val="292" w:hRule="atLeast"/>
        </w:trPr>
        <w:tc>
          <w:tcPr>
            <w:tcW w:w="1614"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294" w:type="dxa"/>
            <w:vAlign w:val="top"/>
          </w:tcPr>
          <w:p>
            <w:pPr>
              <w:ind w:left="1"/>
              <w:spacing w:before="72"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80"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361" w:type="dxa"/>
            <w:vAlign w:val="top"/>
          </w:tcPr>
          <w:p>
            <w:pPr>
              <w:ind w:right="17"/>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0.54</w:t>
            </w:r>
          </w:p>
        </w:tc>
        <w:tc>
          <w:tcPr>
            <w:tcW w:w="1409" w:type="dxa"/>
            <w:vAlign w:val="top"/>
          </w:tcPr>
          <w:p>
            <w:pPr>
              <w:pStyle w:val="TableText"/>
              <w:rPr/>
            </w:pPr>
            <w:r/>
          </w:p>
        </w:tc>
      </w:tr>
      <w:tr>
        <w:trPr>
          <w:trHeight w:val="292" w:hRule="atLeast"/>
        </w:trPr>
        <w:tc>
          <w:tcPr>
            <w:tcW w:w="1614"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ind w:left="3"/>
              <w:spacing w:before="7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18.80</w:t>
            </w:r>
          </w:p>
        </w:tc>
        <w:tc>
          <w:tcPr>
            <w:tcW w:w="1409" w:type="dxa"/>
            <w:vAlign w:val="top"/>
          </w:tcPr>
          <w:p>
            <w:pPr>
              <w:pStyle w:val="TableText"/>
              <w:rPr/>
            </w:pPr>
            <w:r/>
          </w:p>
        </w:tc>
      </w:tr>
      <w:tr>
        <w:trPr>
          <w:trHeight w:val="293"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21007</w:t>
            </w:r>
          </w:p>
        </w:tc>
        <w:tc>
          <w:tcPr>
            <w:tcW w:w="3294" w:type="dxa"/>
            <w:vAlign w:val="top"/>
          </w:tcPr>
          <w:p>
            <w:pPr>
              <w:ind w:left="2"/>
              <w:spacing w:before="74" w:line="229" w:lineRule="auto"/>
              <w:rPr>
                <w:rFonts w:ascii="SimSun" w:hAnsi="SimSun" w:eastAsia="SimSun" w:cs="SimSun"/>
                <w:sz w:val="15"/>
                <w:szCs w:val="15"/>
              </w:rPr>
            </w:pPr>
            <w:r>
              <w:rPr>
                <w:rFonts w:ascii="SimSun" w:hAnsi="SimSun" w:eastAsia="SimSun" w:cs="SimSun"/>
                <w:sz w:val="15"/>
                <w:szCs w:val="15"/>
                <w:color w:val="212529"/>
                <w:spacing w:val="10"/>
              </w:rPr>
              <w:t>计划生育事务</w:t>
            </w:r>
          </w:p>
        </w:tc>
        <w:tc>
          <w:tcPr>
            <w:tcW w:w="1480"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61" w:type="dxa"/>
            <w:vAlign w:val="top"/>
          </w:tcPr>
          <w:p>
            <w:pPr>
              <w:ind w:right="17"/>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09" w:type="dxa"/>
            <w:vAlign w:val="top"/>
          </w:tcPr>
          <w:p>
            <w:pPr>
              <w:pStyle w:val="TableText"/>
              <w:rPr/>
            </w:pPr>
            <w:r/>
          </w:p>
        </w:tc>
      </w:tr>
      <w:tr>
        <w:trPr>
          <w:trHeight w:val="292" w:hRule="atLeast"/>
        </w:trPr>
        <w:tc>
          <w:tcPr>
            <w:tcW w:w="1614"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2100799</w:t>
            </w:r>
          </w:p>
        </w:tc>
        <w:tc>
          <w:tcPr>
            <w:tcW w:w="3294" w:type="dxa"/>
            <w:vAlign w:val="top"/>
          </w:tcPr>
          <w:p>
            <w:pPr>
              <w:ind w:left="1"/>
              <w:spacing w:before="73" w:line="229" w:lineRule="auto"/>
              <w:rPr>
                <w:rFonts w:ascii="SimSun" w:hAnsi="SimSun" w:eastAsia="SimSun" w:cs="SimSun"/>
                <w:sz w:val="15"/>
                <w:szCs w:val="15"/>
              </w:rPr>
            </w:pPr>
            <w:r>
              <w:rPr>
                <w:rFonts w:ascii="SimSun" w:hAnsi="SimSun" w:eastAsia="SimSun" w:cs="SimSun"/>
                <w:sz w:val="15"/>
                <w:szCs w:val="15"/>
                <w:color w:val="212529"/>
                <w:spacing w:val="11"/>
              </w:rPr>
              <w:t>其他计划生育事务支出</w:t>
            </w:r>
          </w:p>
        </w:tc>
        <w:tc>
          <w:tcPr>
            <w:tcW w:w="1480"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361" w:type="dxa"/>
            <w:vAlign w:val="top"/>
          </w:tcPr>
          <w:p>
            <w:pPr>
              <w:ind w:right="17"/>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409" w:type="dxa"/>
            <w:vAlign w:val="top"/>
          </w:tcPr>
          <w:p>
            <w:pPr>
              <w:pStyle w:val="TableText"/>
              <w:rPr/>
            </w:pPr>
            <w:r/>
          </w:p>
        </w:tc>
      </w:tr>
      <w:tr>
        <w:trPr>
          <w:trHeight w:val="292" w:hRule="atLeast"/>
        </w:trPr>
        <w:tc>
          <w:tcPr>
            <w:tcW w:w="1614"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ind w:left="2"/>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18.68</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18.68</w:t>
            </w:r>
          </w:p>
        </w:tc>
        <w:tc>
          <w:tcPr>
            <w:tcW w:w="1409" w:type="dxa"/>
            <w:vAlign w:val="top"/>
          </w:tcPr>
          <w:p>
            <w:pPr>
              <w:pStyle w:val="TableText"/>
              <w:rPr/>
            </w:pPr>
            <w:r/>
          </w:p>
        </w:tc>
      </w:tr>
      <w:tr>
        <w:trPr>
          <w:trHeight w:val="293" w:hRule="atLeast"/>
        </w:trPr>
        <w:tc>
          <w:tcPr>
            <w:tcW w:w="1614"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ind w:left="3"/>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12.86</w:t>
            </w:r>
          </w:p>
        </w:tc>
        <w:tc>
          <w:tcPr>
            <w:tcW w:w="1409" w:type="dxa"/>
            <w:vAlign w:val="top"/>
          </w:tcPr>
          <w:p>
            <w:pPr>
              <w:pStyle w:val="TableText"/>
              <w:rPr/>
            </w:pPr>
            <w:r/>
          </w:p>
        </w:tc>
      </w:tr>
      <w:tr>
        <w:trPr>
          <w:trHeight w:val="292" w:hRule="atLeast"/>
        </w:trPr>
        <w:tc>
          <w:tcPr>
            <w:tcW w:w="1614"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6"/>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80"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361" w:type="dxa"/>
            <w:vAlign w:val="top"/>
          </w:tcPr>
          <w:p>
            <w:pPr>
              <w:ind w:right="17"/>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409" w:type="dxa"/>
            <w:vAlign w:val="top"/>
          </w:tcPr>
          <w:p>
            <w:pPr>
              <w:pStyle w:val="TableText"/>
              <w:rPr/>
            </w:pPr>
            <w:r/>
          </w:p>
        </w:tc>
      </w:tr>
      <w:tr>
        <w:trPr>
          <w:trHeight w:val="292" w:hRule="atLeast"/>
        </w:trPr>
        <w:tc>
          <w:tcPr>
            <w:tcW w:w="1614"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8"/>
              </w:rPr>
              <w:t>住房保</w:t>
            </w:r>
          </w:p>
        </w:tc>
        <w:tc>
          <w:tcPr>
            <w:tcW w:w="1480"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61" w:type="dxa"/>
            <w:vAlign w:val="top"/>
          </w:tcPr>
          <w:p>
            <w:pPr>
              <w:ind w:right="17"/>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409" w:type="dxa"/>
            <w:vAlign w:val="top"/>
          </w:tcPr>
          <w:p>
            <w:pPr>
              <w:pStyle w:val="TableText"/>
              <w:rPr/>
            </w:pPr>
            <w:r/>
          </w:p>
        </w:tc>
      </w:tr>
      <w:tr>
        <w:trPr>
          <w:trHeight w:val="293"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ind w:left="651"/>
              <w:spacing w:before="76" w:line="230" w:lineRule="auto"/>
              <w:rPr>
                <w:rFonts w:ascii="SimSun" w:hAnsi="SimSun" w:eastAsia="SimSun" w:cs="SimSun"/>
                <w:sz w:val="15"/>
                <w:szCs w:val="15"/>
              </w:rPr>
            </w:pPr>
            <w:r>
              <w:rPr>
                <w:rFonts w:ascii="SimSun" w:hAnsi="SimSun" w:eastAsia="SimSun" w:cs="SimSun"/>
                <w:sz w:val="15"/>
                <w:szCs w:val="15"/>
                <w:color w:val="212529"/>
                <w:spacing w:val="6"/>
              </w:rPr>
              <w:t>支出</w:t>
            </w:r>
          </w:p>
        </w:tc>
        <w:tc>
          <w:tcPr>
            <w:tcW w:w="1480"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61" w:type="dxa"/>
            <w:vAlign w:val="top"/>
          </w:tcPr>
          <w:p>
            <w:pPr>
              <w:ind w:right="17"/>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409" w:type="dxa"/>
            <w:vAlign w:val="top"/>
          </w:tcPr>
          <w:p>
            <w:pPr>
              <w:pStyle w:val="TableText"/>
              <w:rPr/>
            </w:pPr>
            <w:r/>
          </w:p>
        </w:tc>
      </w:tr>
      <w:tr>
        <w:trPr>
          <w:trHeight w:val="298" w:hRule="atLeast"/>
        </w:trPr>
        <w:tc>
          <w:tcPr>
            <w:tcW w:w="1614"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ind w:left="165"/>
              <w:spacing w:before="75" w:line="230" w:lineRule="auto"/>
              <w:rPr>
                <w:rFonts w:ascii="SimSun" w:hAnsi="SimSun" w:eastAsia="SimSun" w:cs="SimSun"/>
                <w:sz w:val="15"/>
                <w:szCs w:val="15"/>
              </w:rPr>
            </w:pPr>
            <w:r>
              <w:rPr>
                <w:rFonts w:ascii="SimSun" w:hAnsi="SimSun" w:eastAsia="SimSun" w:cs="SimSun"/>
                <w:sz w:val="15"/>
                <w:szCs w:val="15"/>
                <w:color w:val="212529"/>
                <w:spacing w:val="9"/>
              </w:rPr>
              <w:t>房公积金</w:t>
            </w:r>
          </w:p>
        </w:tc>
        <w:tc>
          <w:tcPr>
            <w:tcW w:w="1480"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361" w:type="dxa"/>
            <w:vAlign w:val="top"/>
          </w:tcPr>
          <w:p>
            <w:pPr>
              <w:ind w:right="17"/>
              <w:spacing w:before="7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409"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3" w:id="18"/>
            <w:bookmarkEnd w:id="18"/>
            <w:bookmarkStart w:name="bookmark11" w:id="19"/>
            <w:bookmarkEnd w:id="19"/>
            <w:bookmarkStart w:name="bookmark12" w:id="20"/>
            <w:bookmarkEnd w:id="20"/>
            <w:r>
              <w:rPr>
                <w:rFonts w:ascii="Microsoft YaHei" w:hAnsi="Microsoft YaHei" w:eastAsia="Microsoft YaHei" w:cs="Microsoft YaHei"/>
                <w:sz w:val="20"/>
                <w:szCs w:val="20"/>
                <w:color w:val="212529"/>
                <w:spacing w:val="1"/>
                <w:position w:val="-1"/>
              </w:rPr>
              <w:t>2026年一般公共预算安排基本支出分经济科目表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86" w:lineRule="auto"/>
              <w:rPr>
                <w:sz w:val="13"/>
                <w:szCs w:val="13"/>
              </w:rPr>
            </w:pPr>
            <w:r>
              <w:rPr>
                <w:sz w:val="13"/>
                <w:szCs w:val="13"/>
                <w:color w:val="212529"/>
                <w:spacing w:val="5"/>
              </w:rPr>
              <w:t>258.</w:t>
            </w:r>
            <w:r>
              <w:rPr>
                <w:sz w:val="13"/>
                <w:szCs w:val="13"/>
                <w:color w:val="212529"/>
                <w:spacing w:val="9"/>
              </w:rPr>
              <w:t xml:space="preserve"> </w:t>
            </w:r>
            <w:r>
              <w:rPr>
                <w:sz w:val="13"/>
                <w:szCs w:val="13"/>
                <w:color w:val="212529"/>
                <w:spacing w:val="5"/>
              </w:rPr>
              <w:t>65</w:t>
            </w:r>
          </w:p>
        </w:tc>
        <w:tc>
          <w:tcPr>
            <w:tcW w:w="1188" w:type="dxa"/>
            <w:vAlign w:val="top"/>
          </w:tcPr>
          <w:p>
            <w:pPr>
              <w:pStyle w:val="TableText"/>
              <w:ind w:left="684"/>
              <w:spacing w:before="87" w:line="186" w:lineRule="auto"/>
              <w:rPr>
                <w:sz w:val="13"/>
                <w:szCs w:val="13"/>
              </w:rPr>
            </w:pPr>
            <w:r>
              <w:rPr>
                <w:sz w:val="13"/>
                <w:szCs w:val="13"/>
                <w:color w:val="212529"/>
                <w:spacing w:val="4"/>
              </w:rPr>
              <w:t>242.</w:t>
            </w:r>
            <w:r>
              <w:rPr>
                <w:sz w:val="13"/>
                <w:szCs w:val="13"/>
                <w:color w:val="212529"/>
                <w:spacing w:val="9"/>
              </w:rPr>
              <w:t xml:space="preserve"> </w:t>
            </w:r>
            <w:r>
              <w:rPr>
                <w:sz w:val="13"/>
                <w:szCs w:val="13"/>
                <w:color w:val="212529"/>
                <w:spacing w:val="4"/>
              </w:rPr>
              <w:t>71</w:t>
            </w:r>
          </w:p>
        </w:tc>
        <w:tc>
          <w:tcPr>
            <w:tcW w:w="1118" w:type="dxa"/>
            <w:vAlign w:val="top"/>
          </w:tcPr>
          <w:p>
            <w:pPr>
              <w:pStyle w:val="TableText"/>
              <w:ind w:left="699"/>
              <w:spacing w:before="87" w:line="186" w:lineRule="auto"/>
              <w:rPr>
                <w:sz w:val="13"/>
                <w:szCs w:val="13"/>
              </w:rPr>
            </w:pPr>
            <w:r>
              <w:rPr>
                <w:sz w:val="13"/>
                <w:szCs w:val="13"/>
                <w:color w:val="212529"/>
                <w:spacing w:val="1"/>
              </w:rPr>
              <w:t>15.</w:t>
            </w:r>
            <w:r>
              <w:rPr>
                <w:sz w:val="13"/>
                <w:szCs w:val="13"/>
                <w:color w:val="212529"/>
                <w:spacing w:val="14"/>
                <w:w w:val="102"/>
              </w:rPr>
              <w:t xml:space="preserve"> </w:t>
            </w:r>
            <w:r>
              <w:rPr>
                <w:sz w:val="13"/>
                <w:szCs w:val="13"/>
                <w:color w:val="212529"/>
                <w:spacing w:val="1"/>
              </w:rPr>
              <w:t>93</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236.50</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236.50</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74.72</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74.72</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7.86</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7.86</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41.28</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37.83</w:t>
            </w:r>
          </w:p>
        </w:tc>
        <w:tc>
          <w:tcPr>
            <w:tcW w:w="1118" w:type="dxa"/>
            <w:vAlign w:val="top"/>
          </w:tcPr>
          <w:p>
            <w:pPr>
              <w:pStyle w:val="TableText"/>
              <w:rPr/>
            </w:pPr>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18.92</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12.67</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12.67</w:t>
            </w:r>
          </w:p>
        </w:tc>
        <w:tc>
          <w:tcPr>
            <w:tcW w:w="1118" w:type="dxa"/>
            <w:vAlign w:val="top"/>
          </w:tcPr>
          <w:p>
            <w:pPr>
              <w:pStyle w:val="TableText"/>
              <w:rPr/>
            </w:pPr>
            <w:r/>
          </w:p>
        </w:tc>
      </w:tr>
      <w:tr>
        <w:trPr>
          <w:trHeight w:val="293" w:hRule="atLeast"/>
        </w:trPr>
        <w:tc>
          <w:tcPr>
            <w:tcW w:w="3310" w:type="dxa"/>
            <w:vAlign w:val="top"/>
          </w:tcPr>
          <w:p>
            <w:pPr>
              <w:ind w:left="661"/>
              <w:spacing w:before="73" w:line="229" w:lineRule="auto"/>
              <w:rPr>
                <w:rFonts w:ascii="SimSun" w:hAnsi="SimSun" w:eastAsia="SimSun" w:cs="SimSun"/>
                <w:sz w:val="15"/>
                <w:szCs w:val="15"/>
              </w:rPr>
            </w:pPr>
            <w:r>
              <w:rPr>
                <w:rFonts w:ascii="SimSun" w:hAnsi="SimSun" w:eastAsia="SimSun" w:cs="SimSun"/>
                <w:sz w:val="15"/>
                <w:szCs w:val="15"/>
                <w:color w:val="212529"/>
                <w:spacing w:val="9"/>
              </w:rPr>
              <w:t>员医疗补助缴费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188" w:type="dxa"/>
            <w:vAlign w:val="top"/>
          </w:tcPr>
          <w:p>
            <w:pPr>
              <w:ind w:right="16"/>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5.82</w:t>
            </w:r>
          </w:p>
        </w:tc>
        <w:tc>
          <w:tcPr>
            <w:tcW w:w="1118" w:type="dxa"/>
            <w:vAlign w:val="top"/>
          </w:tcPr>
          <w:p>
            <w:pPr>
              <w:pStyle w:val="TableText"/>
              <w:rPr/>
            </w:pPr>
            <w:r/>
          </w:p>
        </w:tc>
      </w:tr>
      <w:tr>
        <w:trPr>
          <w:trHeight w:val="293"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0.72</w:t>
            </w:r>
          </w:p>
        </w:tc>
        <w:tc>
          <w:tcPr>
            <w:tcW w:w="1188" w:type="dxa"/>
            <w:vAlign w:val="top"/>
          </w:tcPr>
          <w:p>
            <w:pPr>
              <w:ind w:left="930"/>
              <w:spacing w:before="189"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29.04</w:t>
            </w:r>
          </w:p>
        </w:tc>
        <w:tc>
          <w:tcPr>
            <w:tcW w:w="1188" w:type="dxa"/>
            <w:vAlign w:val="top"/>
          </w:tcPr>
          <w:p>
            <w:pPr>
              <w:ind w:left="930"/>
              <w:spacing w:before="188"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left="845"/>
              <w:spacing w:before="72"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7.64</w:t>
            </w:r>
          </w:p>
        </w:tc>
        <w:tc>
          <w:tcPr>
            <w:tcW w:w="1118" w:type="dxa"/>
            <w:vAlign w:val="top"/>
          </w:tcPr>
          <w:p>
            <w:pPr>
              <w:pStyle w:val="TableText"/>
              <w:rPr/>
            </w:pPr>
            <w:r/>
          </w:p>
        </w:tc>
      </w:tr>
      <w:tr>
        <w:trPr>
          <w:trHeight w:val="292" w:hRule="atLeast"/>
        </w:trPr>
        <w:tc>
          <w:tcPr>
            <w:tcW w:w="3310"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left="772"/>
              <w:spacing w:before="71" w:line="202" w:lineRule="exact"/>
              <w:rPr>
                <w:rFonts w:ascii="SimSun" w:hAnsi="SimSun" w:eastAsia="SimSun" w:cs="SimSun"/>
                <w:sz w:val="15"/>
                <w:szCs w:val="15"/>
              </w:rPr>
            </w:pPr>
            <w:r>
              <w:rPr>
                <w:rFonts w:ascii="SimSun" w:hAnsi="SimSun" w:eastAsia="SimSun" w:cs="SimSun"/>
                <w:sz w:val="15"/>
                <w:szCs w:val="15"/>
                <w:color w:val="212529"/>
                <w:spacing w:val="-1"/>
                <w:position w:val="1"/>
              </w:rPr>
              <w:t>12.</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12.21</w:t>
            </w:r>
          </w:p>
        </w:tc>
      </w:tr>
      <w:tr>
        <w:trPr>
          <w:trHeight w:val="293" w:hRule="atLeast"/>
        </w:trPr>
        <w:tc>
          <w:tcPr>
            <w:tcW w:w="3310"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3.18</w:t>
            </w:r>
          </w:p>
        </w:tc>
      </w:tr>
      <w:tr>
        <w:trPr>
          <w:trHeight w:val="292"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8"/>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3" w:hRule="atLeast"/>
        </w:trPr>
        <w:tc>
          <w:tcPr>
            <w:tcW w:w="3310"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3.36</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3.36</w:t>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278" w:type="dxa"/>
            <w:vAlign w:val="top"/>
          </w:tcPr>
          <w:p>
            <w:pPr>
              <w:ind w:left="328"/>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3.57</w:t>
            </w:r>
          </w:p>
        </w:tc>
      </w:tr>
      <w:tr>
        <w:trPr>
          <w:trHeight w:val="292" w:hRule="atLeast"/>
        </w:trPr>
        <w:tc>
          <w:tcPr>
            <w:tcW w:w="3310"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6.22</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6.22</w:t>
            </w:r>
          </w:p>
        </w:tc>
        <w:tc>
          <w:tcPr>
            <w:tcW w:w="1118" w:type="dxa"/>
            <w:vAlign w:val="top"/>
          </w:tcPr>
          <w:p>
            <w:pPr>
              <w:pStyle w:val="TableText"/>
              <w:rPr/>
            </w:pPr>
            <w:r/>
          </w:p>
        </w:tc>
      </w:tr>
      <w:tr>
        <w:trPr>
          <w:trHeight w:val="293" w:hRule="atLeast"/>
        </w:trPr>
        <w:tc>
          <w:tcPr>
            <w:tcW w:w="3310"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6.10</w:t>
            </w:r>
          </w:p>
        </w:tc>
        <w:tc>
          <w:tcPr>
            <w:tcW w:w="1118" w:type="dxa"/>
            <w:vAlign w:val="top"/>
          </w:tcPr>
          <w:p>
            <w:pPr>
              <w:pStyle w:val="TableText"/>
              <w:rPr/>
            </w:pPr>
            <w:r/>
          </w:p>
        </w:tc>
      </w:tr>
      <w:tr>
        <w:trPr>
          <w:trHeight w:val="292" w:hRule="atLeast"/>
        </w:trPr>
        <w:tc>
          <w:tcPr>
            <w:tcW w:w="3310" w:type="dxa"/>
            <w:vAlign w:val="top"/>
          </w:tcPr>
          <w:p>
            <w:pPr>
              <w:ind w:left="332"/>
              <w:spacing w:before="73"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278" w:type="dxa"/>
            <w:vAlign w:val="top"/>
          </w:tcPr>
          <w:p>
            <w:pPr>
              <w:ind w:left="327"/>
              <w:spacing w:before="73"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18" w:type="dxa"/>
            <w:vAlign w:val="top"/>
          </w:tcPr>
          <w:p>
            <w:pPr>
              <w:pStyle w:val="TableText"/>
              <w:rPr/>
            </w:pPr>
            <w:r/>
          </w:p>
        </w:tc>
      </w:tr>
      <w:tr>
        <w:trPr>
          <w:trHeight w:val="292" w:hRule="atLeast"/>
        </w:trPr>
        <w:tc>
          <w:tcPr>
            <w:tcW w:w="3310" w:type="dxa"/>
            <w:vAlign w:val="top"/>
          </w:tcPr>
          <w:p>
            <w:pPr>
              <w:ind w:left="13"/>
              <w:spacing w:before="74"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2278" w:type="dxa"/>
            <w:vAlign w:val="top"/>
          </w:tcPr>
          <w:p>
            <w:pPr>
              <w:pStyle w:val="TableText"/>
              <w:rPr/>
            </w:pPr>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r>
      <w:tr>
        <w:trPr>
          <w:trHeight w:val="298" w:hRule="atLeast"/>
        </w:trPr>
        <w:tc>
          <w:tcPr>
            <w:tcW w:w="3310" w:type="dxa"/>
            <w:vAlign w:val="top"/>
          </w:tcPr>
          <w:p>
            <w:pPr>
              <w:ind w:left="334"/>
              <w:spacing w:before="75" w:line="229" w:lineRule="auto"/>
              <w:rPr>
                <w:rFonts w:ascii="SimSun" w:hAnsi="SimSun" w:eastAsia="SimSun" w:cs="SimSun"/>
                <w:sz w:val="15"/>
                <w:szCs w:val="15"/>
              </w:rPr>
            </w:pPr>
            <w:r>
              <w:rPr>
                <w:rFonts w:ascii="SimSun" w:hAnsi="SimSun" w:eastAsia="SimSun" w:cs="SimSun"/>
                <w:sz w:val="15"/>
                <w:szCs w:val="15"/>
                <w:color w:val="212529"/>
                <w:spacing w:val="10"/>
              </w:rPr>
              <w:t>办公设备购置</w:t>
            </w:r>
          </w:p>
        </w:tc>
        <w:tc>
          <w:tcPr>
            <w:tcW w:w="2278" w:type="dxa"/>
            <w:vAlign w:val="top"/>
          </w:tcPr>
          <w:p>
            <w:pPr>
              <w:ind w:left="332"/>
              <w:spacing w:before="75" w:line="228" w:lineRule="auto"/>
              <w:rPr>
                <w:rFonts w:ascii="SimSun" w:hAnsi="SimSun" w:eastAsia="SimSun" w:cs="SimSun"/>
                <w:sz w:val="15"/>
                <w:szCs w:val="15"/>
              </w:rPr>
            </w:pPr>
            <w:r>
              <w:rPr>
                <w:rFonts w:ascii="SimSun" w:hAnsi="SimSun" w:eastAsia="SimSun" w:cs="SimSun"/>
                <w:sz w:val="15"/>
                <w:szCs w:val="15"/>
                <w:color w:val="212529"/>
                <w:spacing w:val="8"/>
              </w:rPr>
              <w:t>资本性支出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w:t>
            </w:r>
          </w:p>
        </w:tc>
      </w:tr>
    </w:tbl>
    <w:p>
      <w:pPr>
        <w:pStyle w:val="BodyText"/>
        <w:rPr/>
      </w:pPr>
      <w:r/>
    </w:p>
    <w:p>
      <w:pPr>
        <w:sectPr>
          <w:headerReference w:type="default" r:id="rId21"/>
          <w:footerReference w:type="default" r:id="rId2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1"/>
            <w:bookmarkEnd w:id="21"/>
            <w:bookmarkStart w:name="bookmark13" w:id="22"/>
            <w:bookmarkEnd w:id="22"/>
            <w:r>
              <w:rPr>
                <w:rFonts w:ascii="Microsoft YaHei" w:hAnsi="Microsoft YaHei" w:eastAsia="Microsoft YaHei" w:cs="Microsoft YaHei"/>
                <w:sz w:val="20"/>
                <w:szCs w:val="20"/>
                <w:color w:val="212529"/>
                <w:position w:val="-1"/>
              </w:rPr>
              <w:t>2026年政府性基金预算收入表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5" w:id="23"/>
            <w:bookmarkEnd w:id="23"/>
            <w:bookmarkStart w:name="bookmark14" w:id="24"/>
            <w:bookmarkEnd w:id="24"/>
            <w:r>
              <w:rPr>
                <w:rFonts w:ascii="Microsoft YaHei" w:hAnsi="Microsoft YaHei" w:eastAsia="Microsoft YaHei" w:cs="Microsoft YaHei"/>
                <w:sz w:val="20"/>
                <w:szCs w:val="20"/>
                <w:color w:val="212529"/>
                <w:position w:val="-1"/>
              </w:rPr>
              <w:t>2026年政府性基金预算支出表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outlineLvl w:val="0"/>
              <w:rPr>
                <w:rFonts w:ascii="Microsoft YaHei" w:hAnsi="Microsoft YaHei" w:eastAsia="Microsoft YaHei" w:cs="Microsoft YaHei"/>
                <w:sz w:val="20"/>
                <w:szCs w:val="20"/>
              </w:rPr>
            </w:pPr>
            <w:bookmarkStart w:name="bookmark46" w:id="25"/>
            <w:bookmarkEnd w:id="25"/>
            <w:bookmarkStart w:name="bookmark15" w:id="26"/>
            <w:bookmarkEnd w:id="26"/>
            <w:r>
              <w:rPr>
                <w:rFonts w:ascii="Microsoft YaHei" w:hAnsi="Microsoft YaHei" w:eastAsia="Microsoft YaHei" w:cs="Microsoft YaHei"/>
                <w:sz w:val="20"/>
                <w:szCs w:val="20"/>
                <w:color w:val="212529"/>
                <w:position w:val="-1"/>
              </w:rPr>
              <w:t>2026年国有资本经营预算收支预算表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75" w:right="93" w:firstLine="14"/>
              <w:spacing w:before="218" w:line="16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国有资本经</w:t>
            </w: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rPr>
                <w:rFonts w:ascii="Microsoft YaHei" w:hAnsi="Microsoft YaHei" w:eastAsia="Microsoft YaHei" w:cs="Microsoft YaHei"/>
                <w:sz w:val="19"/>
                <w:szCs w:val="19"/>
              </w:rPr>
            </w:pPr>
            <w:r>
              <w:rPr>
                <w:rFonts w:ascii="Microsoft YaHei" w:hAnsi="Microsoft YaHei" w:eastAsia="Microsoft YaHei" w:cs="Microsoft YaHei"/>
                <w:sz w:val="19"/>
                <w:szCs w:val="19"/>
                <w:color w:val="212529"/>
                <w:spacing w:val="9"/>
                <w:position w:val="-1"/>
              </w:rPr>
              <w:t>2026年财政拨款安排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2026年预算数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7" w:id="27"/>
            <w:bookmarkEnd w:id="27"/>
            <w:bookmarkStart w:name="bookmark17" w:id="28"/>
            <w:bookmarkEnd w:id="28"/>
            <w:r>
              <w:rPr>
                <w:rFonts w:ascii="Microsoft YaHei" w:hAnsi="Microsoft YaHei" w:eastAsia="Microsoft YaHei" w:cs="Microsoft YaHei"/>
                <w:sz w:val="20"/>
                <w:szCs w:val="20"/>
                <w:color w:val="212529"/>
                <w:spacing w:val="-3"/>
                <w:position w:val="-1"/>
              </w:rPr>
              <w:t>2026年财政拨款安排机关运行经费预算表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2026预算数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05"/>
        <w:gridCol w:w="1177"/>
        <w:gridCol w:w="1188"/>
        <w:gridCol w:w="843"/>
        <w:gridCol w:w="1274"/>
        <w:gridCol w:w="1102"/>
        <w:gridCol w:w="869"/>
      </w:tblGrid>
      <w:tr>
        <w:trPr>
          <w:trHeight w:val="384" w:hRule="atLeast"/>
        </w:trPr>
        <w:tc>
          <w:tcPr>
            <w:tcW w:w="27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8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7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8" w:id="29"/>
            <w:bookmarkEnd w:id="29"/>
            <w:bookmarkStart w:name="bookmark18" w:id="30"/>
            <w:bookmarkEnd w:id="30"/>
            <w:r>
              <w:rPr>
                <w:rFonts w:ascii="Microsoft YaHei" w:hAnsi="Microsoft YaHei" w:eastAsia="Microsoft YaHei" w:cs="Microsoft YaHei"/>
                <w:sz w:val="20"/>
                <w:szCs w:val="20"/>
                <w:color w:val="212529"/>
                <w:spacing w:val="-1"/>
                <w:position w:val="-1"/>
              </w:rPr>
              <w:t>2026年项目支出预算表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187"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971" w:type="dxa"/>
            <w:vAlign w:val="top"/>
            <w:gridSpan w:val="2"/>
            <w:tcBorders>
              <w:top w:val="single" w:color="FFFFFF" w:sz="4" w:space="0"/>
              <w:left w:val="single" w:color="FFFFFF" w:sz="2" w:space="0"/>
              <w:right w:val="single" w:color="FFFFFF" w:sz="2" w:space="0"/>
            </w:tcBorders>
          </w:tcPr>
          <w:p>
            <w:pPr>
              <w:ind w:left="1298"/>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705" w:type="dxa"/>
            <w:vAlign w:val="top"/>
            <w:vMerge w:val="restart"/>
            <w:tcBorders>
              <w:bottom w:val="nil"/>
            </w:tcBorders>
          </w:tcPr>
          <w:p>
            <w:pPr>
              <w:ind w:left="101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77" w:type="dxa"/>
            <w:vAlign w:val="top"/>
            <w:vMerge w:val="restart"/>
            <w:tcBorders>
              <w:bottom w:val="nil"/>
            </w:tcBorders>
          </w:tcPr>
          <w:p>
            <w:pPr>
              <w:ind w:left="417"/>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305" w:type="dxa"/>
            <w:vAlign w:val="top"/>
            <w:gridSpan w:val="3"/>
          </w:tcPr>
          <w:p>
            <w:pPr>
              <w:ind w:left="107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c>
          <w:tcPr>
            <w:tcW w:w="1102" w:type="dxa"/>
            <w:vAlign w:val="top"/>
            <w:vMerge w:val="restart"/>
            <w:tcBorders>
              <w:bottom w:val="nil"/>
            </w:tcBorders>
          </w:tcPr>
          <w:p>
            <w:pPr>
              <w:ind w:left="385" w:right="67" w:hanging="32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财政专户管理</w:t>
            </w:r>
            <w:r>
              <w:rPr>
                <w:rFonts w:ascii="Microsoft YaHei" w:hAnsi="Microsoft YaHei" w:eastAsia="Microsoft YaHei" w:cs="Microsoft YaHei"/>
                <w:sz w:val="15"/>
                <w:szCs w:val="15"/>
                <w:color w:val="212529"/>
                <w:spacing w:val="5"/>
              </w:rPr>
              <w:t>资金</w:t>
            </w:r>
          </w:p>
        </w:tc>
        <w:tc>
          <w:tcPr>
            <w:tcW w:w="869" w:type="dxa"/>
            <w:vAlign w:val="top"/>
            <w:vMerge w:val="restart"/>
            <w:tcBorders>
              <w:bottom w:val="nil"/>
            </w:tcBorders>
          </w:tcPr>
          <w:p>
            <w:pPr>
              <w:ind w:left="9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705" w:type="dxa"/>
            <w:vAlign w:val="top"/>
            <w:vMerge w:val="continue"/>
            <w:tcBorders>
              <w:top w:val="nil"/>
            </w:tcBorders>
          </w:tcPr>
          <w:p>
            <w:pPr>
              <w:pStyle w:val="TableText"/>
              <w:rPr/>
            </w:pPr>
            <w:r/>
          </w:p>
        </w:tc>
        <w:tc>
          <w:tcPr>
            <w:tcW w:w="1177" w:type="dxa"/>
            <w:vAlign w:val="top"/>
            <w:vMerge w:val="continue"/>
            <w:tcBorders>
              <w:top w:val="nil"/>
            </w:tcBorders>
          </w:tcPr>
          <w:p>
            <w:pPr>
              <w:pStyle w:val="TableText"/>
              <w:rPr/>
            </w:pPr>
            <w:r/>
          </w:p>
        </w:tc>
        <w:tc>
          <w:tcPr>
            <w:tcW w:w="1188" w:type="dxa"/>
            <w:vAlign w:val="top"/>
          </w:tcPr>
          <w:p>
            <w:pPr>
              <w:ind w:left="9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43" w:type="dxa"/>
            <w:vAlign w:val="top"/>
          </w:tcPr>
          <w:p>
            <w:pPr>
              <w:ind w:left="164" w:right="104"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11"/>
              </w:rPr>
              <w:t>金预算</w:t>
            </w:r>
          </w:p>
        </w:tc>
        <w:tc>
          <w:tcPr>
            <w:tcW w:w="1274" w:type="dxa"/>
            <w:vAlign w:val="top"/>
          </w:tcPr>
          <w:p>
            <w:pPr>
              <w:ind w:left="539" w:right="75" w:hanging="466"/>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rPr>
              <w:t>国有资本经营预</w:t>
            </w:r>
            <w:r>
              <w:rPr>
                <w:rFonts w:ascii="Microsoft YaHei" w:hAnsi="Microsoft YaHei" w:eastAsia="Microsoft YaHei" w:cs="Microsoft YaHei"/>
                <w:sz w:val="15"/>
                <w:szCs w:val="15"/>
                <w:color w:val="212529"/>
                <w:spacing w:val="10"/>
              </w:rPr>
              <w:t>算</w:t>
            </w:r>
          </w:p>
        </w:tc>
        <w:tc>
          <w:tcPr>
            <w:tcW w:w="1102" w:type="dxa"/>
            <w:vAlign w:val="top"/>
            <w:vMerge w:val="continue"/>
            <w:tcBorders>
              <w:top w:val="nil"/>
            </w:tcBorders>
          </w:tcPr>
          <w:p>
            <w:pPr>
              <w:pStyle w:val="TableText"/>
              <w:rPr/>
            </w:pPr>
            <w:r/>
          </w:p>
        </w:tc>
        <w:tc>
          <w:tcPr>
            <w:tcW w:w="869" w:type="dxa"/>
            <w:vAlign w:val="top"/>
            <w:vMerge w:val="continue"/>
            <w:tcBorders>
              <w:top w:val="nil"/>
            </w:tcBorders>
          </w:tcPr>
          <w:p>
            <w:pPr>
              <w:pStyle w:val="TableText"/>
              <w:rPr/>
            </w:pPr>
            <w:r/>
          </w:p>
        </w:tc>
      </w:tr>
      <w:tr>
        <w:trPr>
          <w:trHeight w:val="379" w:hRule="atLeast"/>
        </w:trPr>
        <w:tc>
          <w:tcPr>
            <w:tcW w:w="2705" w:type="dxa"/>
            <w:vAlign w:val="top"/>
          </w:tcPr>
          <w:p>
            <w:pPr>
              <w:ind w:left="131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77" w:type="dxa"/>
            <w:vAlign w:val="top"/>
          </w:tcPr>
          <w:p>
            <w:pPr>
              <w:ind w:left="541"/>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88" w:type="dxa"/>
            <w:vAlign w:val="top"/>
          </w:tcPr>
          <w:p>
            <w:pPr>
              <w:ind w:left="549"/>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43" w:type="dxa"/>
            <w:vAlign w:val="top"/>
          </w:tcPr>
          <w:p>
            <w:pPr>
              <w:ind w:left="369"/>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74" w:type="dxa"/>
            <w:vAlign w:val="top"/>
          </w:tcPr>
          <w:p>
            <w:pPr>
              <w:ind w:left="588"/>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102" w:type="dxa"/>
            <w:vAlign w:val="top"/>
          </w:tcPr>
          <w:p>
            <w:pPr>
              <w:ind w:left="503"/>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69" w:type="dxa"/>
            <w:vAlign w:val="top"/>
          </w:tcPr>
          <w:p>
            <w:pPr>
              <w:ind w:left="38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705" w:type="dxa"/>
            <w:vAlign w:val="top"/>
          </w:tcPr>
          <w:p>
            <w:pPr>
              <w:ind w:left="6" w:right="103"/>
              <w:spacing w:before="27" w:line="210" w:lineRule="auto"/>
              <w:rPr>
                <w:rFonts w:ascii="SimSun" w:hAnsi="SimSun" w:eastAsia="SimSun" w:cs="SimSun"/>
                <w:sz w:val="15"/>
                <w:szCs w:val="15"/>
              </w:rPr>
            </w:pPr>
            <w:r>
              <w:rPr>
                <w:rFonts w:ascii="SimSun" w:hAnsi="SimSun" w:eastAsia="SimSun" w:cs="SimSun"/>
                <w:sz w:val="15"/>
                <w:szCs w:val="15"/>
                <w:color w:val="212529"/>
                <w:spacing w:val="11"/>
              </w:rPr>
              <w:t>长治高新区老顶山物流园事业服务中</w:t>
            </w:r>
            <w:r>
              <w:rPr>
                <w:rFonts w:ascii="SimSun" w:hAnsi="SimSun" w:eastAsia="SimSun" w:cs="SimSun"/>
                <w:sz w:val="15"/>
                <w:szCs w:val="15"/>
                <w:color w:val="212529"/>
                <w:spacing w:val="2"/>
              </w:rPr>
              <w:t>心</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c>
          <w:tcPr>
            <w:tcW w:w="118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20" w:right="184" w:firstLine="68"/>
              <w:spacing w:before="27" w:line="210" w:lineRule="auto"/>
              <w:rPr>
                <w:rFonts w:ascii="SimSun" w:hAnsi="SimSun" w:eastAsia="SimSun" w:cs="SimSun"/>
                <w:sz w:val="15"/>
                <w:szCs w:val="15"/>
              </w:rPr>
            </w:pPr>
            <w:r>
              <w:rPr>
                <w:rFonts w:ascii="SimSun" w:hAnsi="SimSun" w:eastAsia="SimSun" w:cs="SimSun"/>
                <w:sz w:val="15"/>
                <w:szCs w:val="15"/>
                <w:color w:val="212529"/>
                <w:spacing w:val="11"/>
              </w:rPr>
              <w:t>长治高新区老顶山物流园事业服务</w:t>
            </w:r>
            <w:r>
              <w:rPr>
                <w:rFonts w:ascii="SimSun" w:hAnsi="SimSun" w:eastAsia="SimSun" w:cs="SimSun"/>
                <w:sz w:val="15"/>
                <w:szCs w:val="15"/>
                <w:color w:val="212529"/>
              </w:rPr>
              <w:t>中心</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c>
          <w:tcPr>
            <w:tcW w:w="118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189.63</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75"/>
              <w:spacing w:before="114" w:line="230" w:lineRule="auto"/>
              <w:rPr>
                <w:rFonts w:ascii="SimSun" w:hAnsi="SimSun" w:eastAsia="SimSun" w:cs="SimSun"/>
                <w:sz w:val="15"/>
                <w:szCs w:val="15"/>
              </w:rPr>
            </w:pPr>
            <w:r>
              <w:rPr>
                <w:rFonts w:ascii="SimSun" w:hAnsi="SimSun" w:eastAsia="SimSun" w:cs="SimSun"/>
                <w:sz w:val="15"/>
                <w:szCs w:val="15"/>
                <w:color w:val="212529"/>
                <w:spacing w:val="6"/>
              </w:rPr>
              <w:t>暖气费</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1.04</w:t>
            </w:r>
          </w:p>
        </w:tc>
        <w:tc>
          <w:tcPr>
            <w:tcW w:w="118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1.04</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82"/>
              <w:spacing w:before="114" w:line="229" w:lineRule="auto"/>
              <w:rPr>
                <w:rFonts w:ascii="SimSun" w:hAnsi="SimSun" w:eastAsia="SimSun" w:cs="SimSun"/>
                <w:sz w:val="15"/>
                <w:szCs w:val="15"/>
              </w:rPr>
            </w:pPr>
            <w:r>
              <w:rPr>
                <w:rFonts w:ascii="SimSun" w:hAnsi="SimSun" w:eastAsia="SimSun" w:cs="SimSun"/>
                <w:sz w:val="15"/>
                <w:szCs w:val="15"/>
                <w:color w:val="212529"/>
                <w:spacing w:val="8"/>
              </w:rPr>
              <w:t>园区办公电费</w:t>
            </w:r>
          </w:p>
        </w:tc>
        <w:tc>
          <w:tcPr>
            <w:tcW w:w="1177" w:type="dxa"/>
            <w:vAlign w:val="top"/>
          </w:tcPr>
          <w:p>
            <w:pPr>
              <w:ind w:right="19"/>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1188" w:type="dxa"/>
            <w:vAlign w:val="top"/>
          </w:tcPr>
          <w:p>
            <w:pPr>
              <w:ind w:right="23"/>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656"/>
              <w:spacing w:before="115" w:line="229" w:lineRule="auto"/>
              <w:rPr>
                <w:rFonts w:ascii="SimSun" w:hAnsi="SimSun" w:eastAsia="SimSun" w:cs="SimSun"/>
                <w:sz w:val="15"/>
                <w:szCs w:val="15"/>
              </w:rPr>
            </w:pPr>
            <w:r>
              <w:rPr>
                <w:rFonts w:ascii="SimSun" w:hAnsi="SimSun" w:eastAsia="SimSun" w:cs="SimSun"/>
                <w:sz w:val="15"/>
                <w:szCs w:val="15"/>
                <w:color w:val="212529"/>
                <w:spacing w:val="9"/>
              </w:rPr>
              <w:t>家劳务费</w:t>
            </w:r>
          </w:p>
        </w:tc>
        <w:tc>
          <w:tcPr>
            <w:tcW w:w="1177" w:type="dxa"/>
            <w:vAlign w:val="top"/>
          </w:tcPr>
          <w:p>
            <w:pPr>
              <w:ind w:right="19"/>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188" w:type="dxa"/>
            <w:vAlign w:val="top"/>
          </w:tcPr>
          <w:p>
            <w:pPr>
              <w:ind w:right="23"/>
              <w:spacing w:before="11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5" w:right="103" w:firstLine="327"/>
              <w:spacing w:before="29" w:line="209" w:lineRule="auto"/>
              <w:rPr>
                <w:rFonts w:ascii="SimSun" w:hAnsi="SimSun" w:eastAsia="SimSun" w:cs="SimSun"/>
                <w:sz w:val="15"/>
                <w:szCs w:val="15"/>
              </w:rPr>
            </w:pPr>
            <w:r>
              <w:rPr>
                <w:rFonts w:ascii="SimSun" w:hAnsi="SimSun" w:eastAsia="SimSun" w:cs="SimSun"/>
                <w:sz w:val="15"/>
                <w:szCs w:val="15"/>
                <w:color w:val="212529"/>
                <w:spacing w:val="11"/>
              </w:rPr>
              <w:t>新药物研发和产业化项目活动策</w:t>
            </w:r>
            <w:r>
              <w:rPr>
                <w:rFonts w:ascii="SimSun" w:hAnsi="SimSun" w:eastAsia="SimSun" w:cs="SimSun"/>
                <w:sz w:val="15"/>
                <w:szCs w:val="15"/>
                <w:color w:val="212529"/>
                <w:spacing w:val="9"/>
              </w:rPr>
              <w:t>划经费</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98.69</w:t>
            </w:r>
          </w:p>
        </w:tc>
        <w:tc>
          <w:tcPr>
            <w:tcW w:w="118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98.69</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705" w:type="dxa"/>
            <w:vAlign w:val="top"/>
          </w:tcPr>
          <w:p>
            <w:pPr>
              <w:ind w:left="179"/>
              <w:spacing w:before="115" w:line="229" w:lineRule="auto"/>
              <w:rPr>
                <w:rFonts w:ascii="SimSun" w:hAnsi="SimSun" w:eastAsia="SimSun" w:cs="SimSun"/>
                <w:sz w:val="15"/>
                <w:szCs w:val="15"/>
              </w:rPr>
            </w:pPr>
            <w:r>
              <w:rPr>
                <w:rFonts w:ascii="SimSun" w:hAnsi="SimSun" w:eastAsia="SimSun" w:cs="SimSun"/>
                <w:sz w:val="15"/>
                <w:szCs w:val="15"/>
                <w:color w:val="212529"/>
                <w:spacing w:val="9"/>
              </w:rPr>
              <w:t>临聘人员工作经费</w:t>
            </w:r>
          </w:p>
        </w:tc>
        <w:tc>
          <w:tcPr>
            <w:tcW w:w="1177"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1188" w:type="dxa"/>
            <w:vAlign w:val="top"/>
          </w:tcPr>
          <w:p>
            <w:pPr>
              <w:ind w:right="23"/>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11"/>
              </w:rPr>
              <w:t>市级开发区考核奖励资金</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7" w:right="130" w:firstLine="164"/>
              <w:spacing w:before="31" w:line="208" w:lineRule="auto"/>
              <w:rPr>
                <w:rFonts w:ascii="SimSun" w:hAnsi="SimSun" w:eastAsia="SimSun" w:cs="SimSun"/>
                <w:sz w:val="15"/>
                <w:szCs w:val="15"/>
              </w:rPr>
            </w:pPr>
            <w:r>
              <w:rPr>
                <w:rFonts w:ascii="SimSun" w:hAnsi="SimSun" w:eastAsia="SimSun" w:cs="SimSun"/>
                <w:sz w:val="15"/>
                <w:szCs w:val="15"/>
                <w:color w:val="212529"/>
                <w:spacing w:val="9"/>
              </w:rPr>
              <w:t>非公党支部工作经费、支部书记、</w:t>
            </w:r>
            <w:r>
              <w:rPr>
                <w:rFonts w:ascii="SimSun" w:hAnsi="SimSun" w:eastAsia="SimSun" w:cs="SimSun"/>
                <w:sz w:val="15"/>
                <w:szCs w:val="15"/>
                <w:color w:val="212529"/>
                <w:spacing w:val="11"/>
              </w:rPr>
              <w:t>党务工作者补助党支部活动经费</w:t>
            </w:r>
          </w:p>
        </w:tc>
        <w:tc>
          <w:tcPr>
            <w:tcW w:w="1177"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118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9" w:hRule="atLeast"/>
        </w:trPr>
        <w:tc>
          <w:tcPr>
            <w:tcW w:w="2705" w:type="dxa"/>
            <w:vAlign w:val="top"/>
          </w:tcPr>
          <w:p>
            <w:pPr>
              <w:ind w:left="182"/>
              <w:spacing w:before="117" w:line="229" w:lineRule="auto"/>
              <w:rPr>
                <w:rFonts w:ascii="SimSun" w:hAnsi="SimSun" w:eastAsia="SimSun" w:cs="SimSun"/>
                <w:sz w:val="15"/>
                <w:szCs w:val="15"/>
              </w:rPr>
            </w:pPr>
            <w:r>
              <w:rPr>
                <w:rFonts w:ascii="SimSun" w:hAnsi="SimSun" w:eastAsia="SimSun" w:cs="SimSun"/>
                <w:sz w:val="15"/>
                <w:szCs w:val="15"/>
                <w:color w:val="212529"/>
                <w:spacing w:val="9"/>
              </w:rPr>
              <w:t>园区非公党委水电暖费</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118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78" w:hRule="atLeast"/>
        </w:trPr>
        <w:tc>
          <w:tcPr>
            <w:tcW w:w="2705" w:type="dxa"/>
            <w:vAlign w:val="top"/>
          </w:tcPr>
          <w:p>
            <w:pPr>
              <w:ind w:left="171"/>
              <w:spacing w:before="117" w:line="230" w:lineRule="auto"/>
              <w:rPr>
                <w:rFonts w:ascii="SimSun" w:hAnsi="SimSun" w:eastAsia="SimSun" w:cs="SimSun"/>
                <w:sz w:val="15"/>
                <w:szCs w:val="15"/>
              </w:rPr>
            </w:pPr>
            <w:r>
              <w:rPr>
                <w:rFonts w:ascii="SimSun" w:hAnsi="SimSun" w:eastAsia="SimSun" w:cs="SimSun"/>
                <w:sz w:val="15"/>
                <w:szCs w:val="15"/>
                <w:color w:val="212529"/>
                <w:spacing w:val="9"/>
              </w:rPr>
              <w:t>差旅经费</w:t>
            </w:r>
          </w:p>
        </w:tc>
        <w:tc>
          <w:tcPr>
            <w:tcW w:w="1177"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r>
        <w:trPr>
          <w:trHeight w:val="384" w:hRule="atLeast"/>
        </w:trPr>
        <w:tc>
          <w:tcPr>
            <w:tcW w:w="2705" w:type="dxa"/>
            <w:vAlign w:val="top"/>
          </w:tcPr>
          <w:p>
            <w:pPr>
              <w:ind w:left="171"/>
              <w:spacing w:before="118"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1177"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1188" w:type="dxa"/>
            <w:vAlign w:val="top"/>
          </w:tcPr>
          <w:p>
            <w:pPr>
              <w:ind w:right="23"/>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48.00</w:t>
            </w:r>
          </w:p>
        </w:tc>
        <w:tc>
          <w:tcPr>
            <w:tcW w:w="843" w:type="dxa"/>
            <w:vAlign w:val="top"/>
          </w:tcPr>
          <w:p>
            <w:pPr>
              <w:pStyle w:val="TableText"/>
              <w:rPr/>
            </w:pPr>
            <w:r/>
          </w:p>
        </w:tc>
        <w:tc>
          <w:tcPr>
            <w:tcW w:w="1274" w:type="dxa"/>
            <w:vAlign w:val="top"/>
          </w:tcPr>
          <w:p>
            <w:pPr>
              <w:pStyle w:val="TableText"/>
              <w:rPr/>
            </w:pPr>
            <w:r/>
          </w:p>
        </w:tc>
        <w:tc>
          <w:tcPr>
            <w:tcW w:w="1102" w:type="dxa"/>
            <w:vAlign w:val="top"/>
          </w:tcPr>
          <w:p>
            <w:pPr>
              <w:pStyle w:val="TableText"/>
              <w:rPr/>
            </w:pPr>
            <w:r/>
          </w:p>
        </w:tc>
        <w:tc>
          <w:tcPr>
            <w:tcW w:w="869"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9" w:id="31"/>
            <w:bookmarkEnd w:id="31"/>
            <w:bookmarkStart w:name="bookmark19" w:id="32"/>
            <w:bookmarkEnd w:id="32"/>
            <w:r>
              <w:rPr>
                <w:rFonts w:ascii="Microsoft YaHei" w:hAnsi="Microsoft YaHei" w:eastAsia="Microsoft YaHei" w:cs="Microsoft YaHei"/>
                <w:sz w:val="20"/>
                <w:szCs w:val="20"/>
                <w:color w:val="212529"/>
                <w:position w:val="-1"/>
              </w:rPr>
              <w:t>2026年项目支出预算表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部门名称：长治高新区老顶山物流园事业服务中心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2026年财政拨款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509" w:right="286" w:hanging="240"/>
              <w:spacing w:before="25"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政府性基金</w:t>
            </w: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93"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3987"/>
        <w:spacing w:before="98" w:line="240" w:lineRule="exact"/>
        <w:outlineLvl w:val="0"/>
        <w:rPr>
          <w:rFonts w:ascii="Microsoft YaHei" w:hAnsi="Microsoft YaHei" w:eastAsia="Microsoft YaHei" w:cs="Microsoft YaHei"/>
          <w:sz w:val="23"/>
          <w:szCs w:val="23"/>
        </w:rPr>
      </w:pPr>
      <w:bookmarkStart w:name="bookmark20" w:id="33"/>
      <w:bookmarkEnd w:id="33"/>
      <w:r>
        <w:rPr>
          <w:rFonts w:ascii="Microsoft YaHei" w:hAnsi="Microsoft YaHei" w:eastAsia="Microsoft YaHei" w:cs="Microsoft YaHei"/>
          <w:sz w:val="23"/>
          <w:szCs w:val="23"/>
          <w:spacing w:val="4"/>
          <w:position w:val="-1"/>
        </w:rPr>
        <w:t>第三部分</w:t>
      </w:r>
      <w:r>
        <w:rPr>
          <w:rFonts w:ascii="Microsoft YaHei" w:hAnsi="Microsoft YaHei" w:eastAsia="Microsoft YaHei" w:cs="Microsoft YaHei"/>
          <w:sz w:val="23"/>
          <w:szCs w:val="23"/>
          <w:spacing w:val="41"/>
          <w:position w:val="-1"/>
        </w:rPr>
        <w:t xml:space="preserve"> </w:t>
      </w:r>
      <w:r>
        <w:rPr>
          <w:rFonts w:ascii="Microsoft YaHei" w:hAnsi="Microsoft YaHei" w:eastAsia="Microsoft YaHei" w:cs="Microsoft YaHei"/>
          <w:sz w:val="23"/>
          <w:szCs w:val="23"/>
          <w:spacing w:val="4"/>
          <w:position w:val="-1"/>
        </w:rPr>
        <w:t>2026年度部门预算情况说明</w:t>
      </w:r>
    </w:p>
    <w:p>
      <w:pPr>
        <w:pStyle w:val="BodyText"/>
        <w:spacing w:line="334" w:lineRule="auto"/>
        <w:rPr/>
      </w:pPr>
      <w:r/>
    </w:p>
    <w:p>
      <w:pPr>
        <w:ind w:left="1513"/>
        <w:spacing w:before="99" w:line="238" w:lineRule="exact"/>
        <w:outlineLvl w:val="1"/>
        <w:rPr>
          <w:rFonts w:ascii="Microsoft YaHei" w:hAnsi="Microsoft YaHei" w:eastAsia="Microsoft YaHei" w:cs="Microsoft YaHei"/>
          <w:sz w:val="23"/>
          <w:szCs w:val="23"/>
        </w:rPr>
      </w:pPr>
      <w:bookmarkStart w:name="bookmark21" w:id="34"/>
      <w:bookmarkEnd w:id="34"/>
      <w:r>
        <w:rPr>
          <w:rFonts w:ascii="Microsoft YaHei" w:hAnsi="Microsoft YaHei" w:eastAsia="Microsoft YaHei" w:cs="Microsoft YaHei"/>
          <w:sz w:val="23"/>
          <w:szCs w:val="23"/>
          <w:spacing w:val="8"/>
          <w:position w:val="-1"/>
        </w:rPr>
        <w:t>一、部门预算收支数据变动情况及原因</w:t>
      </w:r>
    </w:p>
    <w:p>
      <w:pPr>
        <w:ind w:left="1513" w:right="1474" w:firstLine="478"/>
        <w:spacing w:before="230" w:line="354" w:lineRule="auto"/>
        <w:jc w:val="both"/>
        <w:rPr>
          <w:rFonts w:ascii="FangSong" w:hAnsi="FangSong" w:eastAsia="FangSong" w:cs="FangSong"/>
          <w:sz w:val="24"/>
          <w:szCs w:val="24"/>
        </w:rPr>
      </w:pPr>
      <w:r>
        <w:rPr>
          <w:rFonts w:ascii="FangSong" w:hAnsi="FangSong" w:eastAsia="FangSong" w:cs="FangSong"/>
          <w:sz w:val="24"/>
          <w:szCs w:val="24"/>
          <w:spacing w:val="7"/>
        </w:rPr>
        <w:t>2026年度长治高新区老顶山物流园事业服务中心预算收入总计448.28万元，其</w:t>
      </w:r>
      <w:r>
        <w:rPr>
          <w:rFonts w:ascii="FangSong" w:hAnsi="FangSong" w:eastAsia="FangSong" w:cs="FangSong"/>
          <w:sz w:val="24"/>
          <w:szCs w:val="24"/>
          <w:spacing w:val="1"/>
        </w:rPr>
        <w:t>中：本年收入448.28万元，上年结转0万元，比上年减少91.</w:t>
      </w:r>
      <w:r>
        <w:rPr>
          <w:rFonts w:ascii="FangSong" w:hAnsi="FangSong" w:eastAsia="FangSong" w:cs="FangSong"/>
          <w:sz w:val="24"/>
          <w:szCs w:val="24"/>
        </w:rPr>
        <w:t>14万元，下降16.90%，主</w:t>
      </w:r>
      <w:r>
        <w:rPr>
          <w:rFonts w:ascii="FangSong" w:hAnsi="FangSong" w:eastAsia="FangSong" w:cs="FangSong"/>
          <w:sz w:val="24"/>
          <w:szCs w:val="24"/>
          <w:spacing w:val="1"/>
        </w:rPr>
        <w:t>要原因是今年因非公党委党支部项目经费、园区房租项目及党群服务</w:t>
      </w:r>
      <w:r>
        <w:rPr>
          <w:rFonts w:ascii="FangSong" w:hAnsi="FangSong" w:eastAsia="FangSong" w:cs="FangSong"/>
          <w:sz w:val="24"/>
          <w:szCs w:val="24"/>
        </w:rPr>
        <w:t>中心房租项目经</w:t>
      </w:r>
      <w:r>
        <w:rPr>
          <w:rFonts w:ascii="FangSong" w:hAnsi="FangSong" w:eastAsia="FangSong" w:cs="FangSong"/>
          <w:sz w:val="24"/>
          <w:szCs w:val="24"/>
          <w:spacing w:val="1"/>
        </w:rPr>
        <w:t>费减少，故较上年有所减少；本年部门预算支出总计448.28万元</w:t>
      </w:r>
      <w:r>
        <w:rPr>
          <w:rFonts w:ascii="FangSong" w:hAnsi="FangSong" w:eastAsia="FangSong" w:cs="FangSong"/>
          <w:sz w:val="24"/>
          <w:szCs w:val="24"/>
        </w:rPr>
        <w:t>，其中：本年预算安</w:t>
      </w:r>
      <w:r>
        <w:rPr>
          <w:rFonts w:ascii="FangSong" w:hAnsi="FangSong" w:eastAsia="FangSong" w:cs="FangSong"/>
          <w:sz w:val="24"/>
          <w:szCs w:val="24"/>
          <w:spacing w:val="1"/>
        </w:rPr>
        <w:t>排448.28万元，上年结转0万元，比上年减少91.14万元，</w:t>
      </w:r>
      <w:r>
        <w:rPr>
          <w:rFonts w:ascii="FangSong" w:hAnsi="FangSong" w:eastAsia="FangSong" w:cs="FangSong"/>
          <w:sz w:val="24"/>
          <w:szCs w:val="24"/>
        </w:rPr>
        <w:t>下降16.90%，主要原因是今</w:t>
      </w:r>
      <w:r>
        <w:rPr>
          <w:rFonts w:ascii="FangSong" w:hAnsi="FangSong" w:eastAsia="FangSong" w:cs="FangSong"/>
          <w:sz w:val="24"/>
          <w:szCs w:val="24"/>
          <w:spacing w:val="1"/>
        </w:rPr>
        <w:t>年因非公党委党支部项目经费、园区房租项目及党群服务中心房租项</w:t>
      </w:r>
      <w:r>
        <w:rPr>
          <w:rFonts w:ascii="FangSong" w:hAnsi="FangSong" w:eastAsia="FangSong" w:cs="FangSong"/>
          <w:sz w:val="24"/>
          <w:szCs w:val="24"/>
        </w:rPr>
        <w:t>目经费减少，故</w:t>
      </w:r>
      <w:r>
        <w:rPr>
          <w:rFonts w:ascii="FangSong" w:hAnsi="FangSong" w:eastAsia="FangSong" w:cs="FangSong"/>
          <w:sz w:val="24"/>
          <w:szCs w:val="24"/>
          <w:spacing w:val="-2"/>
        </w:rPr>
        <w:t>较上年有所减少</w:t>
      </w:r>
    </w:p>
    <w:p>
      <w:pPr>
        <w:ind w:left="1513"/>
        <w:spacing w:line="239" w:lineRule="exact"/>
        <w:outlineLvl w:val="1"/>
        <w:rPr>
          <w:rFonts w:ascii="Microsoft YaHei" w:hAnsi="Microsoft YaHei" w:eastAsia="Microsoft YaHei" w:cs="Microsoft YaHei"/>
          <w:sz w:val="23"/>
          <w:szCs w:val="23"/>
        </w:rPr>
      </w:pPr>
      <w:bookmarkStart w:name="bookmark22" w:id="35"/>
      <w:bookmarkEnd w:id="35"/>
      <w:r>
        <w:rPr>
          <w:rFonts w:ascii="Microsoft YaHei" w:hAnsi="Microsoft YaHei" w:eastAsia="Microsoft YaHei" w:cs="Microsoft YaHei"/>
          <w:sz w:val="23"/>
          <w:szCs w:val="23"/>
          <w:spacing w:val="7"/>
          <w:position w:val="-1"/>
        </w:rPr>
        <w:t>二、收入预算情况说明</w:t>
      </w:r>
    </w:p>
    <w:p>
      <w:pPr>
        <w:ind w:left="1991"/>
        <w:spacing w:before="214" w:line="221"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2026年度长治高新区老顶山物流园事业服务中心预算收入</w:t>
      </w:r>
      <w:r>
        <w:rPr>
          <w:rFonts w:ascii="FangSong" w:hAnsi="FangSong" w:eastAsia="FangSong" w:cs="FangSong"/>
          <w:sz w:val="24"/>
          <w:szCs w:val="24"/>
          <w:spacing w:val="1"/>
        </w:rPr>
        <w:t xml:space="preserve">     </w:t>
      </w:r>
      <w:r>
        <w:rPr>
          <w:rFonts w:ascii="FangSong" w:hAnsi="FangSong" w:eastAsia="FangSong" w:cs="FangSong"/>
          <w:sz w:val="24"/>
          <w:szCs w:val="24"/>
        </w:rPr>
        <w:t xml:space="preserve"> </w:t>
      </w:r>
      <w:r>
        <w:rPr>
          <w:rFonts w:ascii="FangSong" w:hAnsi="FangSong" w:eastAsia="FangSong" w:cs="FangSong"/>
          <w:sz w:val="24"/>
          <w:szCs w:val="24"/>
        </w:rPr>
        <w:t>万元，主要包括</w:t>
      </w:r>
    </w:p>
    <w:p>
      <w:pPr>
        <w:ind w:left="1510" w:right="1474" w:firstLine="9"/>
        <w:spacing w:before="179" w:line="351" w:lineRule="auto"/>
        <w:rPr>
          <w:rFonts w:ascii="FangSong" w:hAnsi="FangSong" w:eastAsia="FangSong" w:cs="FangSong"/>
          <w:sz w:val="24"/>
          <w:szCs w:val="24"/>
        </w:rPr>
      </w:pPr>
      <w:r>
        <w:rPr>
          <w:rFonts w:ascii="FangSong" w:hAnsi="FangSong" w:eastAsia="FangSong" w:cs="FangSong"/>
          <w:sz w:val="24"/>
          <w:szCs w:val="24"/>
          <w:spacing w:val="-2"/>
        </w:rPr>
        <w:t>一般公共预算拨款收入448.28万元，</w:t>
      </w:r>
      <w:r>
        <w:rPr>
          <w:rFonts w:ascii="FangSong" w:hAnsi="FangSong" w:eastAsia="FangSong" w:cs="FangSong"/>
          <w:sz w:val="24"/>
          <w:szCs w:val="24"/>
          <w:spacing w:val="-62"/>
        </w:rPr>
        <w:t xml:space="preserve"> </w:t>
      </w:r>
      <w:r>
        <w:rPr>
          <w:rFonts w:ascii="FangSong" w:hAnsi="FangSong" w:eastAsia="FangSong" w:cs="FangSong"/>
          <w:sz w:val="24"/>
          <w:szCs w:val="24"/>
          <w:spacing w:val="-2"/>
        </w:rPr>
        <w:t>占100.00%；政府性基金预算拨款收入</w:t>
      </w:r>
      <w:r>
        <w:rPr>
          <w:rFonts w:ascii="FangSong" w:hAnsi="FangSong" w:eastAsia="FangSong" w:cs="FangSong"/>
          <w:sz w:val="24"/>
          <w:szCs w:val="24"/>
          <w:spacing w:val="-3"/>
        </w:rPr>
        <w:t>0万元，</w:t>
      </w:r>
      <w:r>
        <w:rPr>
          <w:rFonts w:ascii="FangSong" w:hAnsi="FangSong" w:eastAsia="FangSong" w:cs="FangSong"/>
          <w:sz w:val="24"/>
          <w:szCs w:val="24"/>
          <w:spacing w:val="-61"/>
        </w:rPr>
        <w:t xml:space="preserve"> </w:t>
      </w:r>
      <w:r>
        <w:rPr>
          <w:rFonts w:ascii="FangSong" w:hAnsi="FangSong" w:eastAsia="FangSong" w:cs="FangSong"/>
          <w:sz w:val="24"/>
          <w:szCs w:val="24"/>
          <w:spacing w:val="-3"/>
        </w:rPr>
        <w:t>占</w:t>
      </w:r>
      <w:r>
        <w:rPr>
          <w:rFonts w:ascii="FangSong" w:hAnsi="FangSong" w:eastAsia="FangSong" w:cs="FangSong"/>
          <w:sz w:val="24"/>
          <w:szCs w:val="24"/>
          <w:spacing w:val="-2"/>
        </w:rPr>
        <w:t>0%；国有资本经营预算拨款收入0万元，</w:t>
      </w:r>
      <w:r>
        <w:rPr>
          <w:rFonts w:ascii="FangSong" w:hAnsi="FangSong" w:eastAsia="FangSong" w:cs="FangSong"/>
          <w:sz w:val="24"/>
          <w:szCs w:val="24"/>
          <w:spacing w:val="-61"/>
        </w:rPr>
        <w:t xml:space="preserve"> </w:t>
      </w:r>
      <w:r>
        <w:rPr>
          <w:rFonts w:ascii="FangSong" w:hAnsi="FangSong" w:eastAsia="FangSong" w:cs="FangSong"/>
          <w:sz w:val="24"/>
          <w:szCs w:val="24"/>
          <w:spacing w:val="-2"/>
        </w:rPr>
        <w:t>占0%；财政专户管理资金收入0万元，</w:t>
      </w:r>
      <w:r>
        <w:rPr>
          <w:rFonts w:ascii="FangSong" w:hAnsi="FangSong" w:eastAsia="FangSong" w:cs="FangSong"/>
          <w:sz w:val="24"/>
          <w:szCs w:val="24"/>
          <w:spacing w:val="-62"/>
        </w:rPr>
        <w:t xml:space="preserve"> </w:t>
      </w:r>
      <w:r>
        <w:rPr>
          <w:rFonts w:ascii="FangSong" w:hAnsi="FangSong" w:eastAsia="FangSong" w:cs="FangSong"/>
          <w:sz w:val="24"/>
          <w:szCs w:val="24"/>
          <w:spacing w:val="-2"/>
        </w:rPr>
        <w:t>占</w:t>
      </w:r>
      <w:r>
        <w:rPr>
          <w:rFonts w:ascii="FangSong" w:hAnsi="FangSong" w:eastAsia="FangSong" w:cs="FangSong"/>
          <w:sz w:val="24"/>
          <w:szCs w:val="24"/>
          <w:spacing w:val="-3"/>
        </w:rPr>
        <w:t>0%；</w:t>
      </w:r>
      <w:r>
        <w:rPr>
          <w:rFonts w:ascii="FangSong" w:hAnsi="FangSong" w:eastAsia="FangSong" w:cs="FangSong"/>
          <w:sz w:val="24"/>
          <w:szCs w:val="24"/>
          <w:spacing w:val="-2"/>
        </w:rPr>
        <w:t>单位资金0万元，占0%；上年结转0万元，占0%。</w:t>
      </w:r>
    </w:p>
    <w:p>
      <w:pPr>
        <w:pStyle w:val="BodyText"/>
        <w:spacing w:line="450" w:lineRule="auto"/>
        <w:rPr/>
      </w:pPr>
      <w:r/>
    </w:p>
    <w:p>
      <w:pPr>
        <w:ind w:firstLine="2358"/>
        <w:spacing w:before="1" w:line="4145" w:lineRule="exact"/>
        <w:rPr/>
      </w:pPr>
      <w:r>
        <w:pict>
          <v:shape id="_x0000_s390" style="position:absolute;margin-left:86.92pt;margin-top:100.175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rPr>
          <w:position w:val="-82"/>
        </w:rPr>
        <w:drawing>
          <wp:inline distT="0" distB="0" distL="0" distR="0">
            <wp:extent cx="3702177" cy="2631852"/>
            <wp:effectExtent l="0" t="0" r="0" b="0"/>
            <wp:docPr id="2" name="IM 2"/>
            <wp:cNvGraphicFramePr/>
            <a:graphic>
              <a:graphicData uri="http://schemas.openxmlformats.org/drawingml/2006/picture">
                <pic:pic>
                  <pic:nvPicPr>
                    <pic:cNvPr id="2" name="IM 2"/>
                    <pic:cNvPicPr/>
                  </pic:nvPicPr>
                  <pic:blipFill>
                    <a:blip r:embed="rId37"/>
                    <a:stretch>
                      <a:fillRect/>
                    </a:stretch>
                  </pic:blipFill>
                  <pic:spPr>
                    <a:xfrm rot="0">
                      <a:off x="0" y="0"/>
                      <a:ext cx="3702177" cy="2631852"/>
                    </a:xfrm>
                    <a:prstGeom prst="rect">
                      <a:avLst/>
                    </a:prstGeom>
                  </pic:spPr>
                </pic:pic>
              </a:graphicData>
            </a:graphic>
          </wp:inline>
        </w:drawing>
      </w:r>
    </w:p>
    <w:p>
      <w:pPr>
        <w:pStyle w:val="BodyText"/>
        <w:spacing w:line="351" w:lineRule="auto"/>
        <w:rPr/>
      </w:pPr>
      <w:r/>
    </w:p>
    <w:p>
      <w:pPr>
        <w:pStyle w:val="BodyText"/>
        <w:spacing w:line="352" w:lineRule="auto"/>
        <w:rPr/>
      </w:pPr>
      <w:r/>
    </w:p>
    <w:p>
      <w:pPr>
        <w:ind w:left="1514"/>
        <w:spacing w:before="100" w:line="239" w:lineRule="exact"/>
        <w:outlineLvl w:val="1"/>
        <w:rPr>
          <w:rFonts w:ascii="Microsoft YaHei" w:hAnsi="Microsoft YaHei" w:eastAsia="Microsoft YaHei" w:cs="Microsoft YaHei"/>
          <w:sz w:val="23"/>
          <w:szCs w:val="23"/>
        </w:rPr>
      </w:pPr>
      <w:bookmarkStart w:name="bookmark23" w:id="36"/>
      <w:bookmarkEnd w:id="36"/>
      <w:r>
        <w:rPr>
          <w:rFonts w:ascii="Microsoft YaHei" w:hAnsi="Microsoft YaHei" w:eastAsia="Microsoft YaHei" w:cs="Microsoft YaHei"/>
          <w:sz w:val="23"/>
          <w:szCs w:val="23"/>
          <w:spacing w:val="7"/>
          <w:position w:val="-1"/>
        </w:rPr>
        <w:t>三、支出预算情况说明</w:t>
      </w:r>
    </w:p>
    <w:p>
      <w:pPr>
        <w:ind w:left="1516" w:right="1474" w:firstLine="474"/>
        <w:spacing w:before="230" w:line="347"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2026年度长治高新区老顶山物流园事业服务中心支出预算448.2</w:t>
      </w:r>
      <w:r>
        <w:rPr>
          <w:rFonts w:ascii="FangSong" w:hAnsi="FangSong" w:eastAsia="FangSong" w:cs="FangSong"/>
          <w:sz w:val="24"/>
          <w:szCs w:val="24"/>
        </w:rPr>
        <w:t>8万元，其中：基</w:t>
      </w:r>
      <w:r>
        <w:rPr>
          <w:rFonts w:ascii="FangSong" w:hAnsi="FangSong" w:eastAsia="FangSong" w:cs="FangSong"/>
          <w:sz w:val="24"/>
          <w:szCs w:val="24"/>
          <w:spacing w:val="-1"/>
        </w:rPr>
        <w:t>本支出258.65万元，占57.70%；项目支出189.63万元，占42.30%。</w:t>
      </w:r>
    </w:p>
    <w:p>
      <w:pPr>
        <w:ind w:left="1523"/>
        <w:spacing w:before="8" w:line="240" w:lineRule="exact"/>
        <w:outlineLvl w:val="1"/>
        <w:rPr>
          <w:rFonts w:ascii="Microsoft YaHei" w:hAnsi="Microsoft YaHei" w:eastAsia="Microsoft YaHei" w:cs="Microsoft YaHei"/>
          <w:sz w:val="23"/>
          <w:szCs w:val="23"/>
        </w:rPr>
      </w:pPr>
      <w:bookmarkStart w:name="bookmark24" w:id="37"/>
      <w:bookmarkEnd w:id="37"/>
      <w:r>
        <w:rPr>
          <w:rFonts w:ascii="Microsoft YaHei" w:hAnsi="Microsoft YaHei" w:eastAsia="Microsoft YaHei" w:cs="Microsoft YaHei"/>
          <w:sz w:val="23"/>
          <w:szCs w:val="23"/>
          <w:spacing w:val="7"/>
          <w:position w:val="-1"/>
        </w:rPr>
        <w:t>四、财政拨款收支预算总体情况说明</w:t>
      </w:r>
    </w:p>
    <w:p>
      <w:pPr>
        <w:spacing w:line="240" w:lineRule="exact"/>
        <w:sectPr>
          <w:headerReference w:type="default" r:id="rId35"/>
          <w:footerReference w:type="default" r:id="rId36"/>
          <w:pgSz w:w="11900" w:h="16840"/>
          <w:pgMar w:top="642" w:right="0" w:bottom="340" w:left="0" w:header="326" w:footer="91" w:gutter="0"/>
        </w:sectPr>
        <w:rPr>
          <w:rFonts w:ascii="Microsoft YaHei" w:hAnsi="Microsoft YaHei" w:eastAsia="Microsoft YaHei" w:cs="Microsoft YaHei"/>
          <w:sz w:val="23"/>
          <w:szCs w:val="23"/>
        </w:rPr>
      </w:pPr>
    </w:p>
    <w:p>
      <w:pPr>
        <w:pStyle w:val="BodyText"/>
        <w:spacing w:line="285" w:lineRule="auto"/>
        <w:rPr/>
      </w:pPr>
      <w:r/>
    </w:p>
    <w:p>
      <w:pPr>
        <w:pStyle w:val="BodyText"/>
        <w:spacing w:line="286" w:lineRule="auto"/>
        <w:rPr/>
      </w:pPr>
      <w:r/>
    </w:p>
    <w:p>
      <w:pPr>
        <w:ind w:left="2734"/>
        <w:spacing w:before="78" w:line="221" w:lineRule="auto"/>
        <w:rPr>
          <w:rFonts w:ascii="FangSong" w:hAnsi="FangSong" w:eastAsia="FangSong" w:cs="FangSong"/>
          <w:sz w:val="24"/>
          <w:szCs w:val="24"/>
        </w:rPr>
      </w:pPr>
      <w:r>
        <w:rPr>
          <w:rFonts w:ascii="FangSong" w:hAnsi="FangSong" w:eastAsia="FangSong" w:cs="FangSong"/>
          <w:sz w:val="24"/>
          <w:szCs w:val="24"/>
          <w:spacing w:val="8"/>
        </w:rPr>
        <w:t>度长治高新区老顶山物流园事业服务中心财政拨款收支总预算</w:t>
      </w:r>
    </w:p>
    <w:p>
      <w:pPr>
        <w:ind w:left="1516" w:right="1474" w:firstLine="2"/>
        <w:spacing w:before="178" w:line="351" w:lineRule="auto"/>
        <w:jc w:val="both"/>
        <w:rPr>
          <w:rFonts w:ascii="FangSong" w:hAnsi="FangSong" w:eastAsia="FangSong" w:cs="FangSong"/>
          <w:sz w:val="24"/>
          <w:szCs w:val="24"/>
        </w:rPr>
      </w:pPr>
      <w:r>
        <w:rPr>
          <w:rFonts w:ascii="FangSong" w:hAnsi="FangSong" w:eastAsia="FangSong" w:cs="FangSong"/>
          <w:sz w:val="24"/>
          <w:szCs w:val="24"/>
          <w:spacing w:val="2"/>
        </w:rPr>
        <w:t>元。其中：一般公共预算拨款448.28万元，政府性基金预算拨款0万元，</w:t>
      </w:r>
      <w:r>
        <w:rPr>
          <w:rFonts w:ascii="FangSong" w:hAnsi="FangSong" w:eastAsia="FangSong" w:cs="FangSong"/>
          <w:sz w:val="24"/>
          <w:szCs w:val="24"/>
          <w:spacing w:val="-56"/>
        </w:rPr>
        <w:t xml:space="preserve"> </w:t>
      </w:r>
      <w:r>
        <w:rPr>
          <w:rFonts w:ascii="FangSong" w:hAnsi="FangSong" w:eastAsia="FangSong" w:cs="FangSong"/>
          <w:sz w:val="24"/>
          <w:szCs w:val="24"/>
          <w:spacing w:val="2"/>
        </w:rPr>
        <w:t>国有资本经</w:t>
      </w:r>
      <w:r>
        <w:rPr>
          <w:rFonts w:ascii="FangSong" w:hAnsi="FangSong" w:eastAsia="FangSong" w:cs="FangSong"/>
          <w:sz w:val="24"/>
          <w:szCs w:val="24"/>
          <w:spacing w:val="5"/>
        </w:rPr>
        <w:t>营预算拨款0万元。其中：</w:t>
      </w:r>
      <w:r>
        <w:rPr>
          <w:rFonts w:ascii="FangSong" w:hAnsi="FangSong" w:eastAsia="FangSong" w:cs="FangSong"/>
          <w:sz w:val="24"/>
          <w:szCs w:val="24"/>
          <w:spacing w:val="-53"/>
        </w:rPr>
        <w:t xml:space="preserve"> </w:t>
      </w:r>
      <w:r>
        <w:rPr>
          <w:rFonts w:ascii="FangSong" w:hAnsi="FangSong" w:eastAsia="FangSong" w:cs="FangSong"/>
          <w:sz w:val="24"/>
          <w:szCs w:val="24"/>
          <w:spacing w:val="5"/>
        </w:rPr>
        <w:t>当年拨款收入448.28万元，上年结转收入0万元。支出包</w:t>
      </w:r>
      <w:r>
        <w:rPr>
          <w:rFonts w:ascii="FangSong" w:hAnsi="FangSong" w:eastAsia="FangSong" w:cs="FangSong"/>
          <w:sz w:val="24"/>
          <w:szCs w:val="24"/>
          <w:spacing w:val="4"/>
        </w:rPr>
        <w:t>括：一般公共服务支出333.47万元、社会</w:t>
      </w:r>
      <w:r>
        <w:rPr>
          <w:rFonts w:ascii="FangSong" w:hAnsi="FangSong" w:eastAsia="FangSong" w:cs="FangSong"/>
          <w:sz w:val="24"/>
          <w:szCs w:val="24"/>
          <w:spacing w:val="3"/>
        </w:rPr>
        <w:t>保障和就业支出66.96万元、卫生健康支出</w:t>
      </w:r>
      <w:r>
        <w:rPr>
          <w:rFonts w:ascii="FangSong" w:hAnsi="FangSong" w:eastAsia="FangSong" w:cs="FangSong"/>
          <w:sz w:val="24"/>
          <w:szCs w:val="24"/>
          <w:spacing w:val="-2"/>
        </w:rPr>
        <w:t>18.80万元、住房保障支出29.04万元等。</w:t>
      </w:r>
    </w:p>
    <w:p>
      <w:pPr>
        <w:ind w:left="1515"/>
        <w:spacing w:line="239" w:lineRule="exact"/>
        <w:outlineLvl w:val="1"/>
        <w:rPr>
          <w:rFonts w:ascii="Microsoft YaHei" w:hAnsi="Microsoft YaHei" w:eastAsia="Microsoft YaHei" w:cs="Microsoft YaHei"/>
          <w:sz w:val="23"/>
          <w:szCs w:val="23"/>
        </w:rPr>
      </w:pPr>
      <w:bookmarkStart w:name="bookmark25" w:id="38"/>
      <w:bookmarkEnd w:id="38"/>
      <w:r>
        <w:rPr>
          <w:rFonts w:ascii="Microsoft YaHei" w:hAnsi="Microsoft YaHei" w:eastAsia="Microsoft YaHei" w:cs="Microsoft YaHei"/>
          <w:sz w:val="23"/>
          <w:szCs w:val="23"/>
          <w:spacing w:val="7"/>
          <w:position w:val="-1"/>
        </w:rPr>
        <w:t>五、一般公共预算支出情况说明</w:t>
      </w:r>
    </w:p>
    <w:p>
      <w:pPr>
        <w:ind w:left="1995"/>
        <w:spacing w:before="229" w:line="222" w:lineRule="auto"/>
        <w:rPr>
          <w:rFonts w:ascii="FangSong" w:hAnsi="FangSong" w:eastAsia="FangSong" w:cs="FangSong"/>
          <w:sz w:val="24"/>
          <w:szCs w:val="24"/>
        </w:rPr>
      </w:pPr>
      <w:r>
        <w:rPr>
          <w:rFonts w:ascii="FangSong" w:hAnsi="FangSong" w:eastAsia="FangSong" w:cs="FangSong"/>
          <w:sz w:val="24"/>
          <w:szCs w:val="24"/>
          <w:spacing w:val="-1"/>
        </w:rPr>
        <w:t>（一）一般公共预算当年支出规模变化情况</w:t>
      </w:r>
    </w:p>
    <w:p>
      <w:pPr>
        <w:ind w:left="1519" w:right="1475" w:firstLine="471"/>
        <w:spacing w:before="177" w:line="347"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2026年度长治高新区老顶山物流园事业服务中心一般公共预算当年支</w:t>
      </w:r>
      <w:r>
        <w:rPr>
          <w:rFonts w:ascii="FangSong" w:hAnsi="FangSong" w:eastAsia="FangSong" w:cs="FangSong"/>
          <w:sz w:val="24"/>
          <w:szCs w:val="24"/>
        </w:rPr>
        <w:t>出448.28万</w:t>
      </w:r>
      <w:r>
        <w:rPr>
          <w:rFonts w:ascii="FangSong" w:hAnsi="FangSong" w:eastAsia="FangSong" w:cs="FangSong"/>
          <w:sz w:val="24"/>
          <w:szCs w:val="24"/>
          <w:spacing w:val="-1"/>
        </w:rPr>
        <w:t>元,比上年减少91.14万元，下降16.9%。</w:t>
      </w:r>
    </w:p>
    <w:p>
      <w:pPr>
        <w:ind w:left="1995"/>
        <w:spacing w:before="11" w:line="222" w:lineRule="auto"/>
        <w:rPr>
          <w:rFonts w:ascii="FangSong" w:hAnsi="FangSong" w:eastAsia="FangSong" w:cs="FangSong"/>
          <w:sz w:val="24"/>
          <w:szCs w:val="24"/>
        </w:rPr>
      </w:pPr>
      <w:r>
        <w:rPr>
          <w:rFonts w:ascii="FangSong" w:hAnsi="FangSong" w:eastAsia="FangSong" w:cs="FangSong"/>
          <w:sz w:val="24"/>
          <w:szCs w:val="24"/>
          <w:spacing w:val="-1"/>
        </w:rPr>
        <w:t>（二）一般公共预算当年支出结构情况</w:t>
      </w:r>
    </w:p>
    <w:p>
      <w:pPr>
        <w:ind w:left="1519" w:right="1474" w:firstLine="471"/>
        <w:spacing w:before="178" w:line="346" w:lineRule="auto"/>
        <w:rPr>
          <w:rFonts w:ascii="FangSong" w:hAnsi="FangSong" w:eastAsia="FangSong" w:cs="FangSong"/>
          <w:sz w:val="24"/>
          <w:szCs w:val="24"/>
        </w:rPr>
      </w:pPr>
      <w:r>
        <w:rPr>
          <w:rFonts w:ascii="FangSong" w:hAnsi="FangSong" w:eastAsia="FangSong" w:cs="FangSong"/>
          <w:sz w:val="24"/>
          <w:szCs w:val="24"/>
          <w:spacing w:val="1"/>
        </w:rPr>
        <w:t>2026年度长治高新区老顶山物流园事业服务中心一般公共预算当</w:t>
      </w:r>
      <w:r>
        <w:rPr>
          <w:rFonts w:ascii="FangSong" w:hAnsi="FangSong" w:eastAsia="FangSong" w:cs="FangSong"/>
          <w:sz w:val="24"/>
          <w:szCs w:val="24"/>
          <w:spacing w:val="1"/>
        </w:rPr>
        <w:t xml:space="preserve">  </w:t>
      </w:r>
      <w:r>
        <w:rPr>
          <w:rFonts w:ascii="FangSong" w:hAnsi="FangSong" w:eastAsia="FangSong" w:cs="FangSong"/>
          <w:sz w:val="24"/>
          <w:szCs w:val="24"/>
        </w:rPr>
        <w:t xml:space="preserve">  </w:t>
      </w:r>
      <w:r>
        <w:rPr>
          <w:rFonts w:ascii="FangSong" w:hAnsi="FangSong" w:eastAsia="FangSong" w:cs="FangSong"/>
          <w:sz w:val="24"/>
          <w:szCs w:val="24"/>
        </w:rPr>
        <w:t>出448.28万</w:t>
      </w:r>
      <w:r>
        <w:rPr>
          <w:rFonts w:ascii="FangSong" w:hAnsi="FangSong" w:eastAsia="FangSong" w:cs="FangSong"/>
          <w:sz w:val="24"/>
          <w:szCs w:val="24"/>
          <w:spacing w:val="2"/>
        </w:rPr>
        <w:t>元,主要用于以下方面：一般公共服务支出333.47万元，</w:t>
      </w:r>
      <w:r>
        <w:rPr>
          <w:rFonts w:ascii="FangSong" w:hAnsi="FangSong" w:eastAsia="FangSong" w:cs="FangSong"/>
          <w:sz w:val="24"/>
          <w:szCs w:val="24"/>
          <w:spacing w:val="-58"/>
        </w:rPr>
        <w:t xml:space="preserve"> </w:t>
      </w:r>
      <w:r>
        <w:rPr>
          <w:rFonts w:ascii="FangSong" w:hAnsi="FangSong" w:eastAsia="FangSong" w:cs="FangSong"/>
          <w:sz w:val="24"/>
          <w:szCs w:val="24"/>
          <w:spacing w:val="2"/>
        </w:rPr>
        <w:t>占74.</w:t>
      </w:r>
      <w:r>
        <w:rPr>
          <w:rFonts w:ascii="FangSong" w:hAnsi="FangSong" w:eastAsia="FangSong" w:cs="FangSong"/>
          <w:sz w:val="24"/>
          <w:szCs w:val="24"/>
          <w:spacing w:val="2"/>
        </w:rPr>
        <w:t xml:space="preserve">     </w:t>
      </w:r>
      <w:r>
        <w:rPr>
          <w:rFonts w:ascii="FangSong" w:hAnsi="FangSong" w:eastAsia="FangSong" w:cs="FangSong"/>
          <w:sz w:val="24"/>
          <w:szCs w:val="24"/>
          <w:spacing w:val="2"/>
        </w:rPr>
        <w:t>社</w:t>
      </w:r>
      <w:r>
        <w:rPr>
          <w:rFonts w:ascii="FangSong" w:hAnsi="FangSong" w:eastAsia="FangSong" w:cs="FangSong"/>
          <w:sz w:val="24"/>
          <w:szCs w:val="24"/>
          <w:spacing w:val="1"/>
        </w:rPr>
        <w:t>会保障和就业</w:t>
      </w:r>
    </w:p>
    <w:p>
      <w:pPr>
        <w:ind w:left="1516" w:right="1474" w:hanging="1"/>
        <w:spacing w:before="16" w:line="359" w:lineRule="auto"/>
        <w:rPr>
          <w:rFonts w:ascii="FangSong" w:hAnsi="FangSong" w:eastAsia="FangSong" w:cs="FangSong"/>
          <w:sz w:val="24"/>
          <w:szCs w:val="24"/>
        </w:rPr>
      </w:pPr>
      <w:r>
        <w:rPr>
          <w:rFonts w:ascii="FangSong" w:hAnsi="FangSong" w:eastAsia="FangSong" w:cs="FangSong"/>
          <w:sz w:val="24"/>
          <w:szCs w:val="24"/>
          <w:spacing w:val="-2"/>
        </w:rPr>
        <w:t>支出66.96万元，</w:t>
      </w:r>
      <w:r>
        <w:rPr>
          <w:rFonts w:ascii="FangSong" w:hAnsi="FangSong" w:eastAsia="FangSong" w:cs="FangSong"/>
          <w:sz w:val="24"/>
          <w:szCs w:val="24"/>
          <w:spacing w:val="-51"/>
        </w:rPr>
        <w:t xml:space="preserve"> </w:t>
      </w:r>
      <w:r>
        <w:rPr>
          <w:rFonts w:ascii="FangSong" w:hAnsi="FangSong" w:eastAsia="FangSong" w:cs="FangSong"/>
          <w:sz w:val="24"/>
          <w:szCs w:val="24"/>
          <w:spacing w:val="-2"/>
        </w:rPr>
        <w:t>占14.94%；卫生健康支出18.80万元，</w:t>
      </w:r>
      <w:r>
        <w:rPr>
          <w:rFonts w:ascii="FangSong" w:hAnsi="FangSong" w:eastAsia="FangSong" w:cs="FangSong"/>
          <w:sz w:val="24"/>
          <w:szCs w:val="24"/>
          <w:spacing w:val="-61"/>
        </w:rPr>
        <w:t xml:space="preserve"> </w:t>
      </w:r>
      <w:r>
        <w:rPr>
          <w:rFonts w:ascii="FangSong" w:hAnsi="FangSong" w:eastAsia="FangSong" w:cs="FangSong"/>
          <w:sz w:val="24"/>
          <w:szCs w:val="24"/>
          <w:spacing w:val="-2"/>
        </w:rPr>
        <w:t>占4.19%；住房保障支出29.04</w:t>
      </w:r>
      <w:r>
        <w:rPr>
          <w:rFonts w:ascii="FangSong" w:hAnsi="FangSong" w:eastAsia="FangSong" w:cs="FangSong"/>
          <w:sz w:val="24"/>
          <w:szCs w:val="24"/>
          <w:spacing w:val="-4"/>
        </w:rPr>
        <w:t>万元，占6.48%等。</w:t>
      </w:r>
    </w:p>
    <w:p>
      <w:pPr>
        <w:ind w:firstLine="2777"/>
        <w:spacing w:before="145" w:line="3126" w:lineRule="exact"/>
        <w:rPr/>
      </w:pPr>
      <w:r>
        <w:pict>
          <v:shape id="_x0000_s418" style="position:absolute;margin-left:86.92pt;margin-top:144.611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62"/>
        </w:rPr>
        <w:drawing>
          <wp:inline distT="0" distB="0" distL="0" distR="0">
            <wp:extent cx="3803607" cy="1985077"/>
            <wp:effectExtent l="0" t="0" r="0" b="0"/>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3803607" cy="1985077"/>
                    </a:xfrm>
                    <a:prstGeom prst="rect">
                      <a:avLst/>
                    </a:prstGeom>
                  </pic:spPr>
                </pic:pic>
              </a:graphicData>
            </a:graphic>
          </wp:inline>
        </w:drawing>
      </w: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1513"/>
        <w:spacing w:before="99" w:line="239" w:lineRule="exact"/>
        <w:outlineLvl w:val="1"/>
        <w:rPr>
          <w:rFonts w:ascii="Microsoft YaHei" w:hAnsi="Microsoft YaHei" w:eastAsia="Microsoft YaHei" w:cs="Microsoft YaHei"/>
          <w:sz w:val="23"/>
          <w:szCs w:val="23"/>
        </w:rPr>
      </w:pPr>
      <w:bookmarkStart w:name="bookmark26" w:id="39"/>
      <w:bookmarkEnd w:id="39"/>
      <w:r>
        <w:rPr>
          <w:rFonts w:ascii="Microsoft YaHei" w:hAnsi="Microsoft YaHei" w:eastAsia="Microsoft YaHei" w:cs="Microsoft YaHei"/>
          <w:sz w:val="23"/>
          <w:szCs w:val="23"/>
          <w:spacing w:val="8"/>
          <w:position w:val="-1"/>
        </w:rPr>
        <w:t>六、一般公共预算基本支出情况说明</w:t>
      </w:r>
    </w:p>
    <w:p>
      <w:pPr>
        <w:ind w:left="1511" w:right="1475" w:firstLine="480"/>
        <w:spacing w:before="230" w:line="352" w:lineRule="auto"/>
        <w:rPr>
          <w:rFonts w:ascii="FangSong" w:hAnsi="FangSong" w:eastAsia="FangSong" w:cs="FangSong"/>
          <w:sz w:val="24"/>
          <w:szCs w:val="24"/>
        </w:rPr>
      </w:pPr>
      <w:r>
        <w:rPr>
          <w:rFonts w:ascii="FangSong" w:hAnsi="FangSong" w:eastAsia="FangSong" w:cs="FangSong"/>
          <w:sz w:val="24"/>
          <w:szCs w:val="24"/>
          <w:spacing w:val="15"/>
        </w:rPr>
        <w:t>2026年度长治高新区老顶山物流园事业服务中</w:t>
      </w:r>
      <w:r>
        <w:rPr>
          <w:rFonts w:ascii="FangSong" w:hAnsi="FangSong" w:eastAsia="FangSong" w:cs="FangSong"/>
          <w:sz w:val="24"/>
          <w:szCs w:val="24"/>
          <w:spacing w:val="14"/>
        </w:rPr>
        <w:t>心一般公共预算安排基本支出</w:t>
      </w:r>
      <w:r>
        <w:rPr>
          <w:rFonts w:ascii="FangSong" w:hAnsi="FangSong" w:eastAsia="FangSong" w:cs="FangSong"/>
          <w:sz w:val="24"/>
          <w:szCs w:val="24"/>
          <w:spacing w:val="-5"/>
        </w:rPr>
        <w:t>258.65万元，其中：</w:t>
      </w:r>
    </w:p>
    <w:p>
      <w:pPr>
        <w:ind w:left="1515" w:right="1473" w:firstLine="483"/>
        <w:spacing w:before="4" w:line="351" w:lineRule="auto"/>
        <w:jc w:val="both"/>
        <w:rPr>
          <w:rFonts w:ascii="FangSong" w:hAnsi="FangSong" w:eastAsia="FangSong" w:cs="FangSong"/>
          <w:sz w:val="24"/>
          <w:szCs w:val="24"/>
        </w:rPr>
      </w:pPr>
      <w:r>
        <w:rPr>
          <w:rFonts w:ascii="FangSong" w:hAnsi="FangSong" w:eastAsia="FangSong" w:cs="FangSong"/>
          <w:sz w:val="24"/>
          <w:szCs w:val="24"/>
          <w:spacing w:val="1"/>
        </w:rPr>
        <w:t>人员经费242.71万元，主要包括：其他工资福利</w:t>
      </w:r>
      <w:r>
        <w:rPr>
          <w:rFonts w:ascii="FangSong" w:hAnsi="FangSong" w:eastAsia="FangSong" w:cs="FangSong"/>
          <w:sz w:val="24"/>
          <w:szCs w:val="24"/>
        </w:rPr>
        <w:t>支出、公务员医疗补助缴费、其</w:t>
      </w:r>
      <w:r>
        <w:rPr>
          <w:rFonts w:ascii="FangSong" w:hAnsi="FangSong" w:eastAsia="FangSong" w:cs="FangSong"/>
          <w:sz w:val="24"/>
          <w:szCs w:val="24"/>
          <w:spacing w:val="1"/>
        </w:rPr>
        <w:t>他社会保障缴费、绩效工资、基本工资、机关事业单位基本养老保</w:t>
      </w:r>
      <w:r>
        <w:rPr>
          <w:rFonts w:ascii="FangSong" w:hAnsi="FangSong" w:eastAsia="FangSong" w:cs="FangSong"/>
          <w:sz w:val="24"/>
          <w:szCs w:val="24"/>
        </w:rPr>
        <w:t>险缴费、住房公积</w:t>
      </w:r>
      <w:r>
        <w:rPr>
          <w:rFonts w:ascii="FangSong" w:hAnsi="FangSong" w:eastAsia="FangSong" w:cs="FangSong"/>
          <w:sz w:val="24"/>
          <w:szCs w:val="24"/>
          <w:spacing w:val="-1"/>
        </w:rPr>
        <w:t>金、退休费、奖励金、津贴补贴、职业年金缴费、职工</w:t>
      </w:r>
      <w:r>
        <w:rPr>
          <w:rFonts w:ascii="FangSong" w:hAnsi="FangSong" w:eastAsia="FangSong" w:cs="FangSong"/>
          <w:sz w:val="24"/>
          <w:szCs w:val="24"/>
          <w:spacing w:val="-2"/>
        </w:rPr>
        <w:t>基本医疗保险缴费等；</w:t>
      </w:r>
    </w:p>
    <w:p>
      <w:pPr>
        <w:ind w:left="1515" w:right="1475" w:firstLine="485"/>
        <w:spacing w:before="8" w:line="358" w:lineRule="auto"/>
        <w:rPr>
          <w:rFonts w:ascii="FangSong" w:hAnsi="FangSong" w:eastAsia="FangSong" w:cs="FangSong"/>
          <w:sz w:val="24"/>
          <w:szCs w:val="24"/>
        </w:rPr>
      </w:pPr>
      <w:r>
        <w:rPr>
          <w:rFonts w:ascii="FangSong" w:hAnsi="FangSong" w:eastAsia="FangSong" w:cs="FangSong"/>
          <w:sz w:val="24"/>
          <w:szCs w:val="24"/>
          <w:spacing w:val="4"/>
        </w:rPr>
        <w:t>公用经费15.93万元，主要包括：邮电费、办公费、办</w:t>
      </w:r>
      <w:r>
        <w:rPr>
          <w:rFonts w:ascii="FangSong" w:hAnsi="FangSong" w:eastAsia="FangSong" w:cs="FangSong"/>
          <w:sz w:val="24"/>
          <w:szCs w:val="24"/>
          <w:spacing w:val="3"/>
        </w:rPr>
        <w:t>公设备购置、其他</w:t>
      </w:r>
      <w:r>
        <w:rPr>
          <w:rFonts w:ascii="FangSong" w:hAnsi="FangSong" w:eastAsia="FangSong" w:cs="FangSong"/>
          <w:sz w:val="24"/>
          <w:szCs w:val="24"/>
          <w:spacing w:val="3"/>
        </w:rPr>
        <w:t xml:space="preserve">    </w:t>
      </w:r>
      <w:r>
        <w:rPr>
          <w:rFonts w:ascii="FangSong" w:hAnsi="FangSong" w:eastAsia="FangSong" w:cs="FangSong"/>
          <w:sz w:val="24"/>
          <w:szCs w:val="24"/>
          <w:spacing w:val="3"/>
        </w:rPr>
        <w:t>和</w:t>
      </w:r>
      <w:r>
        <w:rPr>
          <w:rFonts w:ascii="FangSong" w:hAnsi="FangSong" w:eastAsia="FangSong" w:cs="FangSong"/>
          <w:sz w:val="24"/>
          <w:szCs w:val="24"/>
          <w:spacing w:val="-2"/>
        </w:rPr>
        <w:t>服务支出、其他交通费用、差旅费等。</w:t>
      </w:r>
    </w:p>
    <w:p>
      <w:pPr>
        <w:spacing w:line="358" w:lineRule="auto"/>
        <w:sectPr>
          <w:headerReference w:type="default" r:id="rId38"/>
          <w:footerReference w:type="default" r:id="rId39"/>
          <w:pgSz w:w="11900" w:h="16840"/>
          <w:pgMar w:top="642" w:right="0" w:bottom="340" w:left="0" w:header="326" w:footer="93" w:gutter="0"/>
        </w:sectPr>
        <w:rPr>
          <w:rFonts w:ascii="FangSong" w:hAnsi="FangSong" w:eastAsia="FangSong" w:cs="FangSong"/>
          <w:sz w:val="24"/>
          <w:szCs w:val="24"/>
        </w:rPr>
      </w:pPr>
    </w:p>
    <w:p>
      <w:pPr>
        <w:pStyle w:val="BodyText"/>
        <w:spacing w:line="273" w:lineRule="auto"/>
        <w:rPr/>
      </w:pPr>
      <w:r/>
    </w:p>
    <w:p>
      <w:pPr>
        <w:pStyle w:val="BodyText"/>
        <w:spacing w:line="274" w:lineRule="auto"/>
        <w:rPr/>
      </w:pPr>
      <w:r/>
    </w:p>
    <w:p>
      <w:pPr>
        <w:ind w:left="1506"/>
        <w:spacing w:before="99" w:line="238" w:lineRule="exact"/>
        <w:outlineLvl w:val="1"/>
        <w:rPr>
          <w:rFonts w:ascii="Microsoft YaHei" w:hAnsi="Microsoft YaHei" w:eastAsia="Microsoft YaHei" w:cs="Microsoft YaHei"/>
          <w:sz w:val="23"/>
          <w:szCs w:val="23"/>
        </w:rPr>
      </w:pPr>
      <w:bookmarkStart w:name="bookmark27" w:id="40"/>
      <w:bookmarkEnd w:id="40"/>
      <w:r>
        <w:rPr>
          <w:rFonts w:ascii="Microsoft YaHei" w:hAnsi="Microsoft YaHei" w:eastAsia="Microsoft YaHei" w:cs="Microsoft YaHei"/>
          <w:sz w:val="23"/>
          <w:szCs w:val="23"/>
          <w:spacing w:val="15"/>
          <w:position w:val="-1"/>
        </w:rPr>
        <w:t>七、</w:t>
      </w:r>
      <w:r>
        <w:rPr>
          <w:rFonts w:ascii="Microsoft YaHei" w:hAnsi="Microsoft YaHei" w:eastAsia="Microsoft YaHei" w:cs="Microsoft YaHei"/>
          <w:sz w:val="23"/>
          <w:szCs w:val="23"/>
          <w:spacing w:val="11"/>
          <w:position w:val="-1"/>
        </w:rPr>
        <w:t xml:space="preserve">  </w:t>
      </w:r>
      <w:r>
        <w:rPr>
          <w:rFonts w:ascii="Microsoft YaHei" w:hAnsi="Microsoft YaHei" w:eastAsia="Microsoft YaHei" w:cs="Microsoft YaHei"/>
          <w:sz w:val="23"/>
          <w:szCs w:val="23"/>
          <w:spacing w:val="15"/>
          <w:position w:val="-1"/>
        </w:rPr>
        <w:t>"三公"经费增减变动原因说明</w:t>
      </w:r>
    </w:p>
    <w:p>
      <w:pPr>
        <w:ind w:left="1996"/>
        <w:spacing w:before="229" w:line="222" w:lineRule="auto"/>
        <w:rPr>
          <w:rFonts w:ascii="FangSong" w:hAnsi="FangSong" w:eastAsia="FangSong" w:cs="FangSong"/>
          <w:sz w:val="24"/>
          <w:szCs w:val="24"/>
        </w:rPr>
      </w:pPr>
      <w:r>
        <w:rPr>
          <w:rFonts w:ascii="FangSong" w:hAnsi="FangSong" w:eastAsia="FangSong" w:cs="FangSong"/>
          <w:sz w:val="24"/>
          <w:szCs w:val="24"/>
          <w:spacing w:val="-4"/>
        </w:rPr>
        <w:t>本部门无“三公”经费预算。</w:t>
      </w:r>
    </w:p>
    <w:p>
      <w:pPr>
        <w:ind w:left="1505"/>
        <w:spacing w:before="157" w:line="239" w:lineRule="exact"/>
        <w:outlineLvl w:val="1"/>
        <w:rPr>
          <w:rFonts w:ascii="Microsoft YaHei" w:hAnsi="Microsoft YaHei" w:eastAsia="Microsoft YaHei" w:cs="Microsoft YaHei"/>
          <w:sz w:val="23"/>
          <w:szCs w:val="23"/>
        </w:rPr>
      </w:pPr>
      <w:bookmarkStart w:name="bookmark28" w:id="41"/>
      <w:bookmarkEnd w:id="41"/>
      <w:r>
        <w:rPr>
          <w:rFonts w:ascii="Microsoft YaHei" w:hAnsi="Microsoft YaHei" w:eastAsia="Microsoft YaHei" w:cs="Microsoft YaHei"/>
          <w:sz w:val="23"/>
          <w:szCs w:val="23"/>
          <w:spacing w:val="8"/>
          <w:position w:val="-1"/>
        </w:rPr>
        <w:t>八、机关运行经费增减变动原因说明</w:t>
      </w:r>
    </w:p>
    <w:p>
      <w:pPr>
        <w:ind w:left="1996"/>
        <w:spacing w:before="229" w:line="221" w:lineRule="auto"/>
        <w:rPr>
          <w:rFonts w:ascii="FangSong" w:hAnsi="FangSong" w:eastAsia="FangSong" w:cs="FangSong"/>
          <w:sz w:val="24"/>
          <w:szCs w:val="24"/>
        </w:rPr>
      </w:pPr>
      <w:r>
        <w:rPr>
          <w:rFonts w:ascii="FangSong" w:hAnsi="FangSong" w:eastAsia="FangSong" w:cs="FangSong"/>
          <w:sz w:val="24"/>
          <w:szCs w:val="24"/>
          <w:spacing w:val="-4"/>
        </w:rPr>
        <w:t>本部门本年度无机关运行经费。</w:t>
      </w:r>
    </w:p>
    <w:p>
      <w:pPr>
        <w:ind w:left="1510"/>
        <w:spacing w:before="176" w:line="234" w:lineRule="exact"/>
        <w:outlineLvl w:val="1"/>
        <w:rPr>
          <w:rFonts w:ascii="Microsoft YaHei" w:hAnsi="Microsoft YaHei" w:eastAsia="Microsoft YaHei" w:cs="Microsoft YaHei"/>
          <w:sz w:val="23"/>
          <w:szCs w:val="23"/>
        </w:rPr>
      </w:pPr>
      <w:bookmarkStart w:name="bookmark29" w:id="42"/>
      <w:bookmarkEnd w:id="42"/>
      <w:r>
        <w:rPr>
          <w:rFonts w:ascii="Microsoft YaHei" w:hAnsi="Microsoft YaHei" w:eastAsia="Microsoft YaHei" w:cs="Microsoft YaHei"/>
          <w:sz w:val="23"/>
          <w:szCs w:val="23"/>
          <w:spacing w:val="8"/>
          <w:position w:val="-1"/>
        </w:rPr>
        <w:t>九、政府采购情况</w:t>
      </w:r>
    </w:p>
    <w:p>
      <w:pPr>
        <w:ind w:left="1519" w:right="1474" w:firstLine="471"/>
        <w:spacing w:before="217" w:line="353" w:lineRule="auto"/>
        <w:jc w:val="both"/>
        <w:rPr>
          <w:rFonts w:ascii="FangSong" w:hAnsi="FangSong" w:eastAsia="FangSong" w:cs="FangSong"/>
          <w:sz w:val="24"/>
          <w:szCs w:val="24"/>
        </w:rPr>
      </w:pPr>
      <w:r>
        <w:rPr>
          <w:rFonts w:ascii="FangSong" w:hAnsi="FangSong" w:eastAsia="FangSong" w:cs="FangSong"/>
          <w:sz w:val="24"/>
          <w:szCs w:val="24"/>
          <w:spacing w:val="7"/>
        </w:rPr>
        <w:t>2026年长治高新区老顶山物流园事业服务中心政府采购预算总额3.82万元。其</w:t>
      </w:r>
      <w:r>
        <w:rPr>
          <w:rFonts w:ascii="FangSong" w:hAnsi="FangSong" w:eastAsia="FangSong" w:cs="FangSong"/>
          <w:sz w:val="24"/>
          <w:szCs w:val="24"/>
          <w:spacing w:val="7"/>
        </w:rPr>
        <w:t>中：政府采购货物预算3.82万元、政府采购工程预算0万元、政</w:t>
      </w:r>
      <w:r>
        <w:rPr>
          <w:rFonts w:ascii="FangSong" w:hAnsi="FangSong" w:eastAsia="FangSong" w:cs="FangSong"/>
          <w:sz w:val="24"/>
          <w:szCs w:val="24"/>
          <w:spacing w:val="6"/>
        </w:rPr>
        <w:t>府采购服务预算0万</w:t>
      </w:r>
      <w:r>
        <w:rPr>
          <w:rFonts w:ascii="FangSong" w:hAnsi="FangSong" w:eastAsia="FangSong" w:cs="FangSong"/>
          <w:sz w:val="24"/>
          <w:szCs w:val="24"/>
          <w:spacing w:val="-13"/>
        </w:rPr>
        <w:t>元。</w:t>
      </w:r>
    </w:p>
    <w:p>
      <w:pPr>
        <w:ind w:left="1512"/>
        <w:spacing w:line="239" w:lineRule="exact"/>
        <w:outlineLvl w:val="1"/>
        <w:rPr>
          <w:rFonts w:ascii="Microsoft YaHei" w:hAnsi="Microsoft YaHei" w:eastAsia="Microsoft YaHei" w:cs="Microsoft YaHei"/>
          <w:sz w:val="23"/>
          <w:szCs w:val="23"/>
        </w:rPr>
      </w:pPr>
      <w:bookmarkStart w:name="bookmark30" w:id="43"/>
      <w:bookmarkEnd w:id="43"/>
      <w:r>
        <w:rPr>
          <w:rFonts w:ascii="Microsoft YaHei" w:hAnsi="Microsoft YaHei" w:eastAsia="Microsoft YaHei" w:cs="Microsoft YaHei"/>
          <w:sz w:val="23"/>
          <w:szCs w:val="23"/>
          <w:spacing w:val="8"/>
          <w:position w:val="-1"/>
        </w:rPr>
        <w:t>十、绩效管理情况</w:t>
      </w:r>
    </w:p>
    <w:p>
      <w:pPr>
        <w:ind w:left="2006"/>
        <w:spacing w:before="231" w:line="222" w:lineRule="auto"/>
        <w:rPr>
          <w:rFonts w:ascii="FangSong" w:hAnsi="FangSong" w:eastAsia="FangSong" w:cs="FangSong"/>
          <w:sz w:val="24"/>
          <w:szCs w:val="24"/>
        </w:rPr>
      </w:pPr>
      <w:r>
        <w:rPr>
          <w:rFonts w:ascii="FangSong" w:hAnsi="FangSong" w:eastAsia="FangSong" w:cs="FangSong"/>
          <w:sz w:val="24"/>
          <w:szCs w:val="24"/>
          <w:spacing w:val="-3"/>
        </w:rPr>
        <w:t>1、整体绩效目标</w:t>
      </w:r>
    </w:p>
    <w:p>
      <w:pPr>
        <w:ind w:left="1511"/>
        <w:spacing w:before="175" w:line="222" w:lineRule="auto"/>
        <w:rPr>
          <w:rFonts w:ascii="FangSong" w:hAnsi="FangSong" w:eastAsia="FangSong" w:cs="FangSong"/>
          <w:sz w:val="24"/>
          <w:szCs w:val="24"/>
        </w:rPr>
      </w:pPr>
      <w:r>
        <w:rPr>
          <w:rFonts w:ascii="FangSong" w:hAnsi="FangSong" w:eastAsia="FangSong" w:cs="FangSong"/>
          <w:sz w:val="24"/>
          <w:szCs w:val="24"/>
          <w:spacing w:val="6"/>
        </w:rPr>
        <w:t>2026年编报部门整体支出绩效目标，涉及部门预算资金448.28万元，</w:t>
      </w:r>
      <w:r>
        <w:rPr>
          <w:rFonts w:ascii="FangSong" w:hAnsi="FangSong" w:eastAsia="FangSong" w:cs="FangSong"/>
          <w:sz w:val="24"/>
          <w:szCs w:val="24"/>
          <w:spacing w:val="6"/>
        </w:rPr>
        <w:t xml:space="preserve">    </w:t>
      </w:r>
      <w:r>
        <w:rPr>
          <w:rFonts w:ascii="FangSong" w:hAnsi="FangSong" w:eastAsia="FangSong" w:cs="FangSong"/>
          <w:sz w:val="24"/>
          <w:szCs w:val="24"/>
          <w:spacing w:val="6"/>
        </w:rPr>
        <w:t>基本支出</w:t>
      </w:r>
    </w:p>
    <w:p>
      <w:pPr>
        <w:ind w:left="1522" w:right="1475" w:hanging="11"/>
        <w:spacing w:before="162" w:line="358" w:lineRule="auto"/>
        <w:rPr>
          <w:rFonts w:ascii="FangSong" w:hAnsi="FangSong" w:eastAsia="FangSong" w:cs="FangSong"/>
          <w:sz w:val="24"/>
          <w:szCs w:val="24"/>
        </w:rPr>
      </w:pPr>
      <w:r>
        <w:rPr>
          <w:rFonts w:ascii="FangSong" w:hAnsi="FangSong" w:eastAsia="FangSong" w:cs="FangSong"/>
          <w:sz w:val="24"/>
          <w:szCs w:val="24"/>
          <w:spacing w:val="1"/>
        </w:rPr>
        <w:t>258.56万元，项目支出189.63万元；机关及下属预算单位1</w:t>
      </w:r>
      <w:r>
        <w:rPr>
          <w:rFonts w:ascii="FangSong" w:hAnsi="FangSong" w:eastAsia="FangSong" w:cs="FangSong"/>
          <w:sz w:val="24"/>
          <w:szCs w:val="24"/>
        </w:rPr>
        <w:t>个，</w:t>
      </w:r>
      <w:r>
        <w:rPr>
          <w:rFonts w:ascii="FangSong" w:hAnsi="FangSong" w:eastAsia="FangSong" w:cs="FangSong"/>
          <w:sz w:val="24"/>
          <w:szCs w:val="24"/>
        </w:rPr>
        <w:t xml:space="preserve">     </w:t>
      </w:r>
      <w:r>
        <w:rPr>
          <w:rFonts w:ascii="FangSong" w:hAnsi="FangSong" w:eastAsia="FangSong" w:cs="FangSong"/>
          <w:sz w:val="24"/>
          <w:szCs w:val="24"/>
        </w:rPr>
        <w:t>个单位（包括机</w:t>
      </w:r>
      <w:r>
        <w:rPr>
          <w:rFonts w:ascii="FangSong" w:hAnsi="FangSong" w:eastAsia="FangSong" w:cs="FangSong"/>
          <w:sz w:val="24"/>
          <w:szCs w:val="24"/>
          <w:spacing w:val="-3"/>
        </w:rPr>
        <w:t>关）编报了单位整体绩效目标，涉及资金0万元。</w:t>
      </w:r>
    </w:p>
    <w:p>
      <w:pPr>
        <w:ind w:left="1991"/>
        <w:spacing w:line="222" w:lineRule="auto"/>
        <w:rPr>
          <w:rFonts w:ascii="FangSong" w:hAnsi="FangSong" w:eastAsia="FangSong" w:cs="FangSong"/>
          <w:sz w:val="24"/>
          <w:szCs w:val="24"/>
        </w:rPr>
      </w:pPr>
      <w:r>
        <w:rPr>
          <w:rFonts w:ascii="FangSong" w:hAnsi="FangSong" w:eastAsia="FangSong" w:cs="FangSong"/>
          <w:sz w:val="24"/>
          <w:szCs w:val="24"/>
          <w:spacing w:val="-2"/>
        </w:rPr>
        <w:t>2、项目绩效目标</w:t>
      </w:r>
    </w:p>
    <w:p>
      <w:pPr>
        <w:ind w:left="1515" w:right="1474" w:firstLine="476"/>
        <w:spacing w:before="162" w:line="353" w:lineRule="auto"/>
        <w:rPr>
          <w:rFonts w:ascii="FangSong" w:hAnsi="FangSong" w:eastAsia="FangSong" w:cs="FangSong"/>
          <w:sz w:val="24"/>
          <w:szCs w:val="24"/>
        </w:rPr>
      </w:pPr>
      <w:r>
        <w:rPr>
          <w:rFonts w:ascii="FangSong" w:hAnsi="FangSong" w:eastAsia="FangSong" w:cs="FangSong"/>
          <w:sz w:val="24"/>
          <w:szCs w:val="24"/>
          <w:spacing w:val="7"/>
        </w:rPr>
        <w:t>2026年长治高新区老顶山物流园事业服务中心纳入绩效目标管理的二级项目10</w:t>
      </w:r>
      <w:r>
        <w:rPr>
          <w:rFonts w:ascii="FangSong" w:hAnsi="FangSong" w:eastAsia="FangSong" w:cs="FangSong"/>
          <w:sz w:val="24"/>
          <w:szCs w:val="24"/>
          <w:spacing w:val="1"/>
        </w:rPr>
        <w:t>个，共计金额189.63万元。其中：其他运转类项目10个</w:t>
      </w:r>
      <w:r>
        <w:rPr>
          <w:rFonts w:ascii="FangSong" w:hAnsi="FangSong" w:eastAsia="FangSong" w:cs="FangSong"/>
          <w:sz w:val="24"/>
          <w:szCs w:val="24"/>
        </w:rPr>
        <w:t>，涉及金额189.63万元；特定</w:t>
      </w:r>
      <w:r>
        <w:rPr>
          <w:rFonts w:ascii="FangSong" w:hAnsi="FangSong" w:eastAsia="FangSong" w:cs="FangSong"/>
          <w:sz w:val="24"/>
          <w:szCs w:val="24"/>
          <w:spacing w:val="7"/>
        </w:rPr>
        <w:t>目标类项目0个，涉及金额0万元。公开项目绩效目</w:t>
      </w:r>
      <w:r>
        <w:rPr>
          <w:rFonts w:ascii="FangSong" w:hAnsi="FangSong" w:eastAsia="FangSong" w:cs="FangSong"/>
          <w:sz w:val="24"/>
          <w:szCs w:val="24"/>
          <w:spacing w:val="6"/>
        </w:rPr>
        <w:t>标10个，涉及项目金额189.63万</w:t>
      </w:r>
      <w:r>
        <w:rPr>
          <w:rFonts w:ascii="FangSong" w:hAnsi="FangSong" w:eastAsia="FangSong" w:cs="FangSong"/>
          <w:sz w:val="24"/>
          <w:szCs w:val="24"/>
          <w:spacing w:val="-1"/>
        </w:rPr>
        <w:t>元，</w:t>
      </w:r>
      <w:r>
        <w:rPr>
          <w:rFonts w:ascii="FangSong" w:hAnsi="FangSong" w:eastAsia="FangSong" w:cs="FangSong"/>
          <w:sz w:val="24"/>
          <w:szCs w:val="24"/>
          <w:spacing w:val="-52"/>
        </w:rPr>
        <w:t xml:space="preserve"> </w:t>
      </w:r>
      <w:r>
        <w:rPr>
          <w:rFonts w:ascii="FangSong" w:hAnsi="FangSong" w:eastAsia="FangSong" w:cs="FangSong"/>
          <w:sz w:val="24"/>
          <w:szCs w:val="24"/>
          <w:spacing w:val="-1"/>
        </w:rPr>
        <w:t>占部门（单位）项目支出总额的100%。其中：其他运转类项目10个，涉及项目金</w:t>
      </w:r>
      <w:r>
        <w:rPr>
          <w:rFonts w:ascii="FangSong" w:hAnsi="FangSong" w:eastAsia="FangSong" w:cs="FangSong"/>
          <w:sz w:val="24"/>
          <w:szCs w:val="24"/>
          <w:spacing w:val="-1"/>
        </w:rPr>
        <w:t>额189.63万元；特定目标类项目0个，涉及</w:t>
      </w:r>
      <w:r>
        <w:rPr>
          <w:rFonts w:ascii="FangSong" w:hAnsi="FangSong" w:eastAsia="FangSong" w:cs="FangSong"/>
          <w:sz w:val="24"/>
          <w:szCs w:val="24"/>
          <w:spacing w:val="-2"/>
        </w:rPr>
        <w:t>项目金额0万元。</w:t>
      </w:r>
    </w:p>
    <w:p>
      <w:pPr>
        <w:ind w:left="1515"/>
        <w:spacing w:line="222" w:lineRule="auto"/>
        <w:rPr>
          <w:rFonts w:ascii="FangSong" w:hAnsi="FangSong" w:eastAsia="FangSong" w:cs="FangSong"/>
          <w:sz w:val="24"/>
          <w:szCs w:val="24"/>
        </w:rPr>
      </w:pPr>
      <w:r>
        <w:rPr>
          <w:rFonts w:ascii="FangSong" w:hAnsi="FangSong" w:eastAsia="FangSong" w:cs="FangSong"/>
          <w:sz w:val="24"/>
          <w:szCs w:val="24"/>
          <w:spacing w:val="-2"/>
        </w:rPr>
        <w:t>（项目绩效目标表公开情况见附件）</w:t>
      </w:r>
    </w:p>
    <w:p>
      <w:pPr>
        <w:spacing w:line="222" w:lineRule="auto"/>
        <w:sectPr>
          <w:headerReference w:type="default" r:id="rId41"/>
          <w:footerReference w:type="default" r:id="rId42"/>
          <w:pgSz w:w="11900" w:h="16840"/>
          <w:pgMar w:top="642" w:right="0" w:bottom="340" w:left="0" w:header="326" w:footer="93" w:gutter="0"/>
        </w:sectPr>
        <w:rPr>
          <w:rFonts w:ascii="FangSong" w:hAnsi="FangSong" w:eastAsia="FangSong" w:cs="FangSong"/>
          <w:sz w:val="24"/>
          <w:szCs w:val="24"/>
        </w:rPr>
      </w:pPr>
    </w:p>
    <w:p>
      <w:pPr>
        <w:pStyle w:val="BodyText"/>
        <w:spacing w:line="277" w:lineRule="auto"/>
        <w:rPr/>
      </w:pPr>
      <w:r/>
    </w:p>
    <w:p>
      <w:pPr>
        <w:pStyle w:val="BodyText"/>
        <w:spacing w:line="278" w:lineRule="auto"/>
        <w:rPr/>
      </w:pPr>
      <w:r/>
    </w:p>
    <w:p>
      <w:pPr>
        <w:ind w:firstLine="2430"/>
        <w:spacing w:line="10305" w:lineRule="exact"/>
        <w:rPr/>
      </w:pPr>
      <w:r>
        <w:pict>
          <v:shape id="_x0000_s456" style="position:absolute;margin-left:391.92pt;margin-top:228.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458"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06"/>
        </w:rPr>
        <w:drawing>
          <wp:inline distT="0" distB="0" distL="0" distR="0">
            <wp:extent cx="4486275" cy="6543675"/>
            <wp:effectExtent l="0" t="0" r="0" b="0"/>
            <wp:docPr id="6" name="IM 6"/>
            <wp:cNvGraphicFramePr/>
            <a:graphic>
              <a:graphicData uri="http://schemas.openxmlformats.org/drawingml/2006/picture">
                <pic:pic>
                  <pic:nvPicPr>
                    <pic:cNvPr id="6" name="IM 6"/>
                    <pic:cNvPicPr/>
                  </pic:nvPicPr>
                  <pic:blipFill>
                    <a:blip r:embed="rId45"/>
                    <a:stretch>
                      <a:fillRect/>
                    </a:stretch>
                  </pic:blipFill>
                  <pic:spPr>
                    <a:xfrm rot="0">
                      <a:off x="0" y="0"/>
                      <a:ext cx="4486275" cy="6543675"/>
                    </a:xfrm>
                    <a:prstGeom prst="rect">
                      <a:avLst/>
                    </a:prstGeom>
                  </pic:spPr>
                </pic:pic>
              </a:graphicData>
            </a:graphic>
          </wp:inline>
        </w:drawing>
      </w:r>
    </w:p>
    <w:p>
      <w:pPr>
        <w:spacing w:line="10305" w:lineRule="exact"/>
        <w:sectPr>
          <w:headerReference w:type="default" r:id="rId43"/>
          <w:footerReference w:type="default" r:id="rId4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60" style="position:absolute;margin-left:391.92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462" style="position:absolute;margin-left:86.92pt;margin-top:472.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4486275" cy="6238875"/>
            <wp:effectExtent l="0" t="0" r="0" b="0"/>
            <wp:docPr id="8" name="IM 8"/>
            <wp:cNvGraphicFramePr/>
            <a:graphic>
              <a:graphicData uri="http://schemas.openxmlformats.org/drawingml/2006/picture">
                <pic:pic>
                  <pic:nvPicPr>
                    <pic:cNvPr id="8" name="IM 8"/>
                    <pic:cNvPicPr/>
                  </pic:nvPicPr>
                  <pic:blipFill>
                    <a:blip r:embed="rId47"/>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46"/>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64"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466"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4486275" cy="6391275"/>
            <wp:effectExtent l="0" t="0" r="0" b="0"/>
            <wp:docPr id="10" name="IM 10"/>
            <wp:cNvGraphicFramePr/>
            <a:graphic>
              <a:graphicData uri="http://schemas.openxmlformats.org/drawingml/2006/picture">
                <pic:pic>
                  <pic:nvPicPr>
                    <pic:cNvPr id="10" name="IM 10"/>
                    <pic:cNvPicPr/>
                  </pic:nvPicPr>
                  <pic:blipFill>
                    <a:blip r:embed="rId49"/>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48"/>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30"/>
        <w:spacing w:line="9825" w:lineRule="exact"/>
        <w:rPr/>
      </w:pPr>
      <w:r>
        <w:pict>
          <v:shape id="_x0000_s468"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pict>
          <v:shape id="_x0000_s470" style="position:absolute;margin-left:86.92pt;margin-top:472.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4486275" cy="6238875"/>
            <wp:effectExtent l="0" t="0" r="0" b="0"/>
            <wp:docPr id="12" name="IM 12"/>
            <wp:cNvGraphicFramePr/>
            <a:graphic>
              <a:graphicData uri="http://schemas.openxmlformats.org/drawingml/2006/picture">
                <pic:pic>
                  <pic:nvPicPr>
                    <pic:cNvPr id="12" name="IM 12"/>
                    <pic:cNvPicPr/>
                  </pic:nvPicPr>
                  <pic:blipFill>
                    <a:blip r:embed="rId51"/>
                    <a:stretch>
                      <a:fillRect/>
                    </a:stretch>
                  </pic:blipFill>
                  <pic:spPr>
                    <a:xfrm rot="0">
                      <a:off x="0" y="0"/>
                      <a:ext cx="4486275" cy="6238875"/>
                    </a:xfrm>
                    <a:prstGeom prst="rect">
                      <a:avLst/>
                    </a:prstGeom>
                  </pic:spPr>
                </pic:pic>
              </a:graphicData>
            </a:graphic>
          </wp:inline>
        </w:drawing>
      </w:r>
    </w:p>
    <w:p>
      <w:pPr>
        <w:spacing w:line="9825" w:lineRule="exact"/>
        <w:sectPr>
          <w:footerReference w:type="default" r:id="rId5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9840" w:lineRule="exact"/>
        <w:rPr/>
      </w:pPr>
      <w:r>
        <w:pict>
          <v:shape id="_x0000_s472" style="position:absolute;margin-left:391.92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474" style="position:absolute;margin-left:86.92pt;margin-top:472.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rPr>
          <w:position w:val="-196"/>
        </w:rPr>
        <w:drawing>
          <wp:inline distT="0" distB="0" distL="0" distR="0">
            <wp:extent cx="4486275" cy="6248400"/>
            <wp:effectExtent l="0" t="0" r="0" b="0"/>
            <wp:docPr id="14" name="IM 14"/>
            <wp:cNvGraphicFramePr/>
            <a:graphic>
              <a:graphicData uri="http://schemas.openxmlformats.org/drawingml/2006/picture">
                <pic:pic>
                  <pic:nvPicPr>
                    <pic:cNvPr id="14" name="IM 14"/>
                    <pic:cNvPicPr/>
                  </pic:nvPicPr>
                  <pic:blipFill>
                    <a:blip r:embed="rId53"/>
                    <a:stretch>
                      <a:fillRect/>
                    </a:stretch>
                  </pic:blipFill>
                  <pic:spPr>
                    <a:xfrm rot="0">
                      <a:off x="0" y="0"/>
                      <a:ext cx="4486275" cy="6248400"/>
                    </a:xfrm>
                    <a:prstGeom prst="rect">
                      <a:avLst/>
                    </a:prstGeom>
                  </pic:spPr>
                </pic:pic>
              </a:graphicData>
            </a:graphic>
          </wp:inline>
        </w:drawing>
      </w:r>
    </w:p>
    <w:p>
      <w:pPr>
        <w:spacing w:line="9840" w:lineRule="exact"/>
        <w:sectPr>
          <w:footerReference w:type="default" r:id="rId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305" w:lineRule="exact"/>
        <w:rPr/>
      </w:pPr>
      <w:r>
        <w:pict>
          <v:shape id="_x0000_s476" style="position:absolute;margin-left:391.92pt;margin-top:228.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478"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06"/>
        </w:rPr>
        <w:drawing>
          <wp:inline distT="0" distB="0" distL="0" distR="0">
            <wp:extent cx="4486275" cy="6543675"/>
            <wp:effectExtent l="0" t="0" r="0" b="0"/>
            <wp:docPr id="16" name="IM 16"/>
            <wp:cNvGraphicFramePr/>
            <a:graphic>
              <a:graphicData uri="http://schemas.openxmlformats.org/drawingml/2006/picture">
                <pic:pic>
                  <pic:nvPicPr>
                    <pic:cNvPr id="16" name="IM 16"/>
                    <pic:cNvPicPr/>
                  </pic:nvPicPr>
                  <pic:blipFill>
                    <a:blip r:embed="rId55"/>
                    <a:stretch>
                      <a:fillRect/>
                    </a:stretch>
                  </pic:blipFill>
                  <pic:spPr>
                    <a:xfrm rot="0">
                      <a:off x="0" y="0"/>
                      <a:ext cx="4486275" cy="6543675"/>
                    </a:xfrm>
                    <a:prstGeom prst="rect">
                      <a:avLst/>
                    </a:prstGeom>
                  </pic:spPr>
                </pic:pic>
              </a:graphicData>
            </a:graphic>
          </wp:inline>
        </w:drawing>
      </w:r>
    </w:p>
    <w:p>
      <w:pPr>
        <w:spacing w:line="10305" w:lineRule="exact"/>
        <w:sectPr>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530" w:lineRule="exact"/>
        <w:rPr/>
      </w:pPr>
      <w:r>
        <w:pict>
          <v:shape id="_x0000_s480"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482" style="position:absolute;margin-left:86.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rPr>
          <w:position w:val="-210"/>
        </w:rPr>
        <w:drawing>
          <wp:inline distT="0" distB="0" distL="0" distR="0">
            <wp:extent cx="4486275" cy="6686550"/>
            <wp:effectExtent l="0" t="0" r="0" b="0"/>
            <wp:docPr id="18" name="IM 18"/>
            <wp:cNvGraphicFramePr/>
            <a:graphic>
              <a:graphicData uri="http://schemas.openxmlformats.org/drawingml/2006/picture">
                <pic:pic>
                  <pic:nvPicPr>
                    <pic:cNvPr id="18" name="IM 18"/>
                    <pic:cNvPicPr/>
                  </pic:nvPicPr>
                  <pic:blipFill>
                    <a:blip r:embed="rId57"/>
                    <a:stretch>
                      <a:fillRect/>
                    </a:stretch>
                  </pic:blipFill>
                  <pic:spPr>
                    <a:xfrm rot="0">
                      <a:off x="0" y="0"/>
                      <a:ext cx="4486275" cy="6686550"/>
                    </a:xfrm>
                    <a:prstGeom prst="rect">
                      <a:avLst/>
                    </a:prstGeom>
                  </pic:spPr>
                </pic:pic>
              </a:graphicData>
            </a:graphic>
          </wp:inline>
        </w:drawing>
      </w:r>
    </w:p>
    <w:p>
      <w:pPr>
        <w:spacing w:line="10530" w:lineRule="exact"/>
        <w:sectPr>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84"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486" style="position:absolute;margin-left:86.92pt;margin-top:472.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4486275" cy="6391275"/>
            <wp:effectExtent l="0" t="0" r="0" b="0"/>
            <wp:docPr id="20" name="IM 20"/>
            <wp:cNvGraphicFramePr/>
            <a:graphic>
              <a:graphicData uri="http://schemas.openxmlformats.org/drawingml/2006/picture">
                <pic:pic>
                  <pic:nvPicPr>
                    <pic:cNvPr id="20" name="IM 20"/>
                    <pic:cNvPicPr/>
                  </pic:nvPicPr>
                  <pic:blipFill>
                    <a:blip r:embed="rId59"/>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58"/>
          <w:pgSz w:w="11900" w:h="16840"/>
          <w:pgMar w:top="642" w:right="0" w:bottom="340" w:left="0" w:header="326" w:footer="91" w:gutter="0"/>
        </w:sectPr>
        <w:rPr/>
      </w:pPr>
    </w:p>
    <w:p>
      <w:pPr>
        <w:pStyle w:val="BodyText"/>
        <w:spacing w:line="277" w:lineRule="auto"/>
        <w:rPr/>
      </w:pPr>
      <w:r/>
    </w:p>
    <w:p>
      <w:pPr>
        <w:pStyle w:val="BodyText"/>
        <w:spacing w:line="278" w:lineRule="auto"/>
        <w:rPr/>
      </w:pPr>
      <w:r/>
    </w:p>
    <w:p>
      <w:pPr>
        <w:ind w:firstLine="2430"/>
        <w:spacing w:line="10995" w:lineRule="exact"/>
        <w:rPr/>
      </w:pPr>
      <w:r>
        <w:pict>
          <v:shape id="_x0000_s488"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pict>
          <v:shape id="_x0000_s490"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rPr>
          <w:position w:val="-219"/>
        </w:rPr>
        <w:drawing>
          <wp:inline distT="0" distB="0" distL="0" distR="0">
            <wp:extent cx="4486275" cy="6981825"/>
            <wp:effectExtent l="0" t="0" r="0" b="0"/>
            <wp:docPr id="22" name="IM 22"/>
            <wp:cNvGraphicFramePr/>
            <a:graphic>
              <a:graphicData uri="http://schemas.openxmlformats.org/drawingml/2006/picture">
                <pic:pic>
                  <pic:nvPicPr>
                    <pic:cNvPr id="22" name="IM 22"/>
                    <pic:cNvPicPr/>
                  </pic:nvPicPr>
                  <pic:blipFill>
                    <a:blip r:embed="rId61"/>
                    <a:stretch>
                      <a:fillRect/>
                    </a:stretch>
                  </pic:blipFill>
                  <pic:spPr>
                    <a:xfrm rot="0">
                      <a:off x="0" y="0"/>
                      <a:ext cx="4486275" cy="6981825"/>
                    </a:xfrm>
                    <a:prstGeom prst="rect">
                      <a:avLst/>
                    </a:prstGeom>
                  </pic:spPr>
                </pic:pic>
              </a:graphicData>
            </a:graphic>
          </wp:inline>
        </w:drawing>
      </w:r>
    </w:p>
    <w:p>
      <w:pPr>
        <w:spacing w:line="10995" w:lineRule="exact"/>
        <w:sectPr>
          <w:footerReference w:type="default" r:id="rId6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430"/>
        <w:spacing w:line="10065" w:lineRule="exact"/>
        <w:rPr/>
      </w:pPr>
      <w:r>
        <w:pict>
          <v:shape id="_x0000_s492" style="position:absolute;margin-left:391.92pt;margin-top:228.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494" style="position:absolute;margin-left:86.92pt;margin-top:472.067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rPr>
          <w:position w:val="-201"/>
        </w:rPr>
        <w:drawing>
          <wp:inline distT="0" distB="0" distL="0" distR="0">
            <wp:extent cx="4486275" cy="6391275"/>
            <wp:effectExtent l="0" t="0" r="0" b="0"/>
            <wp:docPr id="24" name="IM 24"/>
            <wp:cNvGraphicFramePr/>
            <a:graphic>
              <a:graphicData uri="http://schemas.openxmlformats.org/drawingml/2006/picture">
                <pic:pic>
                  <pic:nvPicPr>
                    <pic:cNvPr id="24" name="IM 24"/>
                    <pic:cNvPicPr/>
                  </pic:nvPicPr>
                  <pic:blipFill>
                    <a:blip r:embed="rId63"/>
                    <a:stretch>
                      <a:fillRect/>
                    </a:stretch>
                  </pic:blipFill>
                  <pic:spPr>
                    <a:xfrm rot="0">
                      <a:off x="0" y="0"/>
                      <a:ext cx="4486275" cy="6391275"/>
                    </a:xfrm>
                    <a:prstGeom prst="rect">
                      <a:avLst/>
                    </a:prstGeom>
                  </pic:spPr>
                </pic:pic>
              </a:graphicData>
            </a:graphic>
          </wp:inline>
        </w:drawing>
      </w:r>
    </w:p>
    <w:p>
      <w:pPr>
        <w:spacing w:line="10065" w:lineRule="exact"/>
        <w:sectPr>
          <w:footerReference w:type="default" r:id="rId62"/>
          <w:pgSz w:w="11900" w:h="16840"/>
          <w:pgMar w:top="642" w:right="0" w:bottom="340" w:left="0" w:header="326" w:footer="93" w:gutter="0"/>
        </w:sectPr>
        <w:rPr/>
      </w:pPr>
    </w:p>
    <w:p>
      <w:pPr>
        <w:pStyle w:val="BodyText"/>
        <w:spacing w:line="274" w:lineRule="auto"/>
        <w:rPr/>
      </w:pPr>
      <w:r/>
    </w:p>
    <w:p>
      <w:pPr>
        <w:pStyle w:val="BodyText"/>
        <w:spacing w:line="274" w:lineRule="auto"/>
        <w:rPr/>
      </w:pPr>
      <w:r/>
    </w:p>
    <w:p>
      <w:pPr>
        <w:ind w:left="1512"/>
        <w:spacing w:before="99" w:line="235" w:lineRule="exact"/>
        <w:outlineLvl w:val="1"/>
        <w:rPr>
          <w:rFonts w:ascii="Microsoft YaHei" w:hAnsi="Microsoft YaHei" w:eastAsia="Microsoft YaHei" w:cs="Microsoft YaHei"/>
          <w:sz w:val="23"/>
          <w:szCs w:val="23"/>
        </w:rPr>
      </w:pPr>
      <w:bookmarkStart w:name="bookmark31" w:id="46"/>
      <w:bookmarkEnd w:id="46"/>
      <w:r>
        <w:rPr>
          <w:rFonts w:ascii="Microsoft YaHei" w:hAnsi="Microsoft YaHei" w:eastAsia="Microsoft YaHei" w:cs="Microsoft YaHei"/>
          <w:sz w:val="23"/>
          <w:szCs w:val="23"/>
          <w:spacing w:val="9"/>
          <w:position w:val="-1"/>
        </w:rPr>
        <w:t>十一、国有资产占有使用情况</w:t>
      </w:r>
    </w:p>
    <w:p>
      <w:pPr>
        <w:ind w:left="2006"/>
        <w:spacing w:before="232" w:line="219" w:lineRule="auto"/>
        <w:rPr>
          <w:rFonts w:ascii="FangSong" w:hAnsi="FangSong" w:eastAsia="FangSong" w:cs="FangSong"/>
          <w:sz w:val="24"/>
          <w:szCs w:val="24"/>
        </w:rPr>
      </w:pPr>
      <w:r>
        <w:rPr>
          <w:rFonts w:ascii="FangSong" w:hAnsi="FangSong" w:eastAsia="FangSong" w:cs="FangSong"/>
          <w:sz w:val="24"/>
          <w:szCs w:val="24"/>
          <w:spacing w:val="-10"/>
        </w:rPr>
        <w:t>1、车辆情况：</w:t>
      </w:r>
    </w:p>
    <w:p>
      <w:pPr>
        <w:ind w:left="1515" w:right="1474" w:firstLine="480"/>
        <w:spacing w:before="164" w:line="354" w:lineRule="auto"/>
        <w:rPr>
          <w:rFonts w:ascii="FangSong" w:hAnsi="FangSong" w:eastAsia="FangSong" w:cs="FangSong"/>
          <w:sz w:val="24"/>
          <w:szCs w:val="24"/>
        </w:rPr>
      </w:pPr>
      <w:r>
        <w:rPr>
          <w:rFonts w:ascii="FangSong" w:hAnsi="FangSong" w:eastAsia="FangSong" w:cs="FangSong"/>
          <w:sz w:val="24"/>
          <w:szCs w:val="24"/>
          <w:spacing w:val="-1"/>
        </w:rPr>
        <w:t>截至2026年2月25</w:t>
      </w:r>
      <w:r>
        <w:rPr>
          <w:rFonts w:ascii="FangSong" w:hAnsi="FangSong" w:eastAsia="FangSong" w:cs="FangSong"/>
          <w:sz w:val="24"/>
          <w:szCs w:val="24"/>
          <w:spacing w:val="-53"/>
        </w:rPr>
        <w:t xml:space="preserve"> </w:t>
      </w:r>
      <w:r>
        <w:rPr>
          <w:rFonts w:ascii="FangSong" w:hAnsi="FangSong" w:eastAsia="FangSong" w:cs="FangSong"/>
          <w:sz w:val="24"/>
          <w:szCs w:val="24"/>
          <w:spacing w:val="-1"/>
        </w:rPr>
        <w:t>日，长治高新区老顶山物流园事业服务中心共有公务用车编制0</w:t>
      </w:r>
      <w:r>
        <w:rPr>
          <w:rFonts w:ascii="FangSong" w:hAnsi="FangSong" w:eastAsia="FangSong" w:cs="FangSong"/>
          <w:sz w:val="24"/>
          <w:szCs w:val="24"/>
          <w:spacing w:val="1"/>
        </w:rPr>
        <w:t>辆，实有0辆，其中：领导用车0辆，机要通信用车0辆，应急保</w:t>
      </w:r>
      <w:r>
        <w:rPr>
          <w:rFonts w:ascii="FangSong" w:hAnsi="FangSong" w:eastAsia="FangSong" w:cs="FangSong"/>
          <w:sz w:val="24"/>
          <w:szCs w:val="24"/>
        </w:rPr>
        <w:t>障用车0辆，执法执勤</w:t>
      </w:r>
      <w:r>
        <w:rPr>
          <w:rFonts w:ascii="FangSong" w:hAnsi="FangSong" w:eastAsia="FangSong" w:cs="FangSong"/>
          <w:sz w:val="24"/>
          <w:szCs w:val="24"/>
          <w:spacing w:val="-1"/>
        </w:rPr>
        <w:t>用车0辆，特种专业技术用车0辆，事业单位业务用车0辆，其他公务用车0辆。</w:t>
      </w:r>
    </w:p>
    <w:p>
      <w:pPr>
        <w:ind w:left="1991"/>
        <w:spacing w:line="222" w:lineRule="auto"/>
        <w:rPr>
          <w:rFonts w:ascii="FangSong" w:hAnsi="FangSong" w:eastAsia="FangSong" w:cs="FangSong"/>
          <w:sz w:val="24"/>
          <w:szCs w:val="24"/>
        </w:rPr>
      </w:pPr>
      <w:r>
        <w:rPr>
          <w:rFonts w:ascii="FangSong" w:hAnsi="FangSong" w:eastAsia="FangSong" w:cs="FangSong"/>
          <w:sz w:val="24"/>
          <w:szCs w:val="24"/>
          <w:spacing w:val="-8"/>
        </w:rPr>
        <w:t>2、房屋情况：</w:t>
      </w:r>
    </w:p>
    <w:p>
      <w:pPr>
        <w:ind w:left="1518" w:right="1474" w:firstLine="477"/>
        <w:spacing w:before="175" w:line="352" w:lineRule="auto"/>
        <w:rPr>
          <w:rFonts w:ascii="FangSong" w:hAnsi="FangSong" w:eastAsia="FangSong" w:cs="FangSong"/>
          <w:sz w:val="24"/>
          <w:szCs w:val="24"/>
        </w:rPr>
      </w:pPr>
      <w:r>
        <w:rPr>
          <w:rFonts w:ascii="FangSong" w:hAnsi="FangSong" w:eastAsia="FangSong" w:cs="FangSong"/>
          <w:sz w:val="24"/>
          <w:szCs w:val="24"/>
          <w:spacing w:val="2"/>
        </w:rPr>
        <w:t>截至2026年2月25</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日，长治高新区老顶山物流园事业服务中心使用的办公用房建</w:t>
      </w:r>
      <w:r>
        <w:rPr>
          <w:rFonts w:ascii="FangSong" w:hAnsi="FangSong" w:eastAsia="FangSong" w:cs="FangSong"/>
          <w:sz w:val="24"/>
          <w:szCs w:val="24"/>
          <w:spacing w:val="-4"/>
        </w:rPr>
        <w:t>筑总面积360平方米。</w:t>
      </w:r>
    </w:p>
    <w:p>
      <w:pPr>
        <w:ind w:left="1993"/>
        <w:spacing w:before="1" w:line="221" w:lineRule="auto"/>
        <w:rPr>
          <w:rFonts w:ascii="FangSong" w:hAnsi="FangSong" w:eastAsia="FangSong" w:cs="FangSong"/>
          <w:sz w:val="24"/>
          <w:szCs w:val="24"/>
        </w:rPr>
      </w:pPr>
      <w:r>
        <w:rPr>
          <w:rFonts w:ascii="FangSong" w:hAnsi="FangSong" w:eastAsia="FangSong" w:cs="FangSong"/>
          <w:sz w:val="24"/>
          <w:szCs w:val="24"/>
          <w:spacing w:val="-5"/>
        </w:rPr>
        <w:t>3、其他国有资产占有使用情况：</w:t>
      </w:r>
    </w:p>
    <w:p>
      <w:pPr>
        <w:ind w:left="1516" w:right="1474" w:firstLine="479"/>
        <w:spacing w:before="177" w:line="352" w:lineRule="auto"/>
        <w:rPr>
          <w:rFonts w:ascii="FangSong" w:hAnsi="FangSong" w:eastAsia="FangSong" w:cs="FangSong"/>
          <w:sz w:val="24"/>
          <w:szCs w:val="24"/>
        </w:rPr>
      </w:pPr>
      <w:r>
        <w:rPr>
          <w:rFonts w:ascii="FangSong" w:hAnsi="FangSong" w:eastAsia="FangSong" w:cs="FangSong"/>
          <w:sz w:val="24"/>
          <w:szCs w:val="24"/>
          <w:spacing w:val="2"/>
        </w:rPr>
        <w:t>截至2026年2月25</w:t>
      </w:r>
      <w:r>
        <w:rPr>
          <w:rFonts w:ascii="FangSong" w:hAnsi="FangSong" w:eastAsia="FangSong" w:cs="FangSong"/>
          <w:sz w:val="24"/>
          <w:szCs w:val="24"/>
          <w:spacing w:val="-48"/>
        </w:rPr>
        <w:t xml:space="preserve"> </w:t>
      </w:r>
      <w:r>
        <w:rPr>
          <w:rFonts w:ascii="FangSong" w:hAnsi="FangSong" w:eastAsia="FangSong" w:cs="FangSong"/>
          <w:sz w:val="24"/>
          <w:szCs w:val="24"/>
          <w:spacing w:val="2"/>
        </w:rPr>
        <w:t>日，长治高新区老顶山物流园事业服务中心占有使用价值5</w:t>
      </w:r>
      <w:r>
        <w:rPr>
          <w:rFonts w:ascii="FangSong" w:hAnsi="FangSong" w:eastAsia="FangSong" w:cs="FangSong"/>
          <w:sz w:val="24"/>
          <w:szCs w:val="24"/>
          <w:spacing w:val="1"/>
        </w:rPr>
        <w:t>0万</w:t>
      </w:r>
      <w:r>
        <w:rPr>
          <w:rFonts w:ascii="FangSong" w:hAnsi="FangSong" w:eastAsia="FangSong" w:cs="FangSong"/>
          <w:sz w:val="24"/>
          <w:szCs w:val="24"/>
          <w:spacing w:val="2"/>
        </w:rPr>
        <w:t>元（原值）</w:t>
      </w:r>
      <w:r>
        <w:rPr>
          <w:rFonts w:ascii="FangSong" w:hAnsi="FangSong" w:eastAsia="FangSong" w:cs="FangSong"/>
          <w:sz w:val="24"/>
          <w:szCs w:val="24"/>
          <w:spacing w:val="-69"/>
        </w:rPr>
        <w:t xml:space="preserve"> </w:t>
      </w:r>
      <w:r>
        <w:rPr>
          <w:rFonts w:ascii="FangSong" w:hAnsi="FangSong" w:eastAsia="FangSong" w:cs="FangSong"/>
          <w:sz w:val="24"/>
          <w:szCs w:val="24"/>
          <w:spacing w:val="2"/>
        </w:rPr>
        <w:t>以上的通用设备0台（套</w:t>
      </w:r>
      <w:r>
        <w:rPr>
          <w:rFonts w:ascii="FangSong" w:hAnsi="FangSong" w:eastAsia="FangSong" w:cs="FangSong"/>
          <w:sz w:val="24"/>
          <w:szCs w:val="24"/>
          <w:spacing w:val="14"/>
        </w:rPr>
        <w:t>）；</w:t>
      </w:r>
      <w:r>
        <w:rPr>
          <w:rFonts w:ascii="FangSong" w:hAnsi="FangSong" w:eastAsia="FangSong" w:cs="FangSong"/>
          <w:sz w:val="24"/>
          <w:szCs w:val="24"/>
          <w:spacing w:val="2"/>
        </w:rPr>
        <w:t>长治高新区老顶山物流园事业服务中心</w:t>
      </w:r>
      <w:r>
        <w:rPr>
          <w:rFonts w:ascii="FangSong" w:hAnsi="FangSong" w:eastAsia="FangSong" w:cs="FangSong"/>
          <w:sz w:val="24"/>
          <w:szCs w:val="24"/>
          <w:spacing w:val="1"/>
        </w:rPr>
        <w:t>占有</w:t>
      </w:r>
      <w:r>
        <w:rPr>
          <w:rFonts w:ascii="FangSong" w:hAnsi="FangSong" w:eastAsia="FangSong" w:cs="FangSong"/>
          <w:sz w:val="24"/>
          <w:szCs w:val="24"/>
          <w:spacing w:val="-2"/>
        </w:rPr>
        <w:t>使用价值100万元（原值）以上的通用设备0台（套）。</w:t>
      </w:r>
    </w:p>
    <w:p>
      <w:pPr>
        <w:ind w:left="1512"/>
        <w:spacing w:before="5" w:line="237" w:lineRule="exact"/>
        <w:outlineLvl w:val="1"/>
        <w:rPr>
          <w:rFonts w:ascii="Microsoft YaHei" w:hAnsi="Microsoft YaHei" w:eastAsia="Microsoft YaHei" w:cs="Microsoft YaHei"/>
          <w:sz w:val="23"/>
          <w:szCs w:val="23"/>
        </w:rPr>
      </w:pPr>
      <w:bookmarkStart w:name="bookmark32" w:id="47"/>
      <w:bookmarkEnd w:id="47"/>
      <w:r>
        <w:rPr>
          <w:rFonts w:ascii="Microsoft YaHei" w:hAnsi="Microsoft YaHei" w:eastAsia="Microsoft YaHei" w:cs="Microsoft YaHei"/>
          <w:sz w:val="23"/>
          <w:szCs w:val="23"/>
          <w:spacing w:val="6"/>
          <w:position w:val="-1"/>
        </w:rPr>
        <w:t>十二、其他说明</w:t>
      </w:r>
    </w:p>
    <w:p>
      <w:pPr>
        <w:ind w:left="1995"/>
        <w:spacing w:before="230" w:line="220" w:lineRule="auto"/>
        <w:outlineLvl w:val="2"/>
        <w:rPr>
          <w:rFonts w:ascii="FangSong" w:hAnsi="FangSong" w:eastAsia="FangSong" w:cs="FangSong"/>
          <w:sz w:val="24"/>
          <w:szCs w:val="24"/>
        </w:rPr>
      </w:pPr>
      <w:bookmarkStart w:name="bookmark33" w:id="48"/>
      <w:bookmarkEnd w:id="48"/>
      <w:r>
        <w:rPr>
          <w:rFonts w:ascii="FangSong" w:hAnsi="FangSong" w:eastAsia="FangSong" w:cs="FangSong"/>
          <w:sz w:val="24"/>
          <w:szCs w:val="24"/>
          <w:spacing w:val="-3"/>
        </w:rPr>
        <w:t>（一）政府购买服务指导性目录</w:t>
      </w:r>
    </w:p>
    <w:p>
      <w:pPr>
        <w:ind w:left="1996"/>
        <w:spacing w:before="209" w:line="220" w:lineRule="auto"/>
        <w:rPr>
          <w:rFonts w:ascii="FangSong" w:hAnsi="FangSong" w:eastAsia="FangSong" w:cs="FangSong"/>
          <w:sz w:val="24"/>
          <w:szCs w:val="24"/>
        </w:rPr>
      </w:pPr>
      <w:r>
        <w:rPr>
          <w:rFonts w:ascii="FangSong" w:hAnsi="FangSong" w:eastAsia="FangSong" w:cs="FangSong"/>
          <w:sz w:val="24"/>
          <w:szCs w:val="24"/>
          <w:spacing w:val="-3"/>
        </w:rPr>
        <w:t>本部门无政府购买服务指导性目录。</w:t>
      </w:r>
    </w:p>
    <w:p>
      <w:pPr>
        <w:ind w:left="1995"/>
        <w:spacing w:before="223" w:line="222" w:lineRule="auto"/>
        <w:outlineLvl w:val="2"/>
        <w:rPr>
          <w:rFonts w:ascii="FangSong" w:hAnsi="FangSong" w:eastAsia="FangSong" w:cs="FangSong"/>
          <w:sz w:val="24"/>
          <w:szCs w:val="24"/>
        </w:rPr>
      </w:pPr>
      <w:bookmarkStart w:name="bookmark34" w:id="49"/>
      <w:bookmarkEnd w:id="49"/>
      <w:r>
        <w:rPr>
          <w:rFonts w:ascii="FangSong" w:hAnsi="FangSong" w:eastAsia="FangSong" w:cs="FangSong"/>
          <w:sz w:val="24"/>
          <w:szCs w:val="24"/>
          <w:spacing w:val="-6"/>
        </w:rPr>
        <w:t>（二）其他</w:t>
      </w:r>
    </w:p>
    <w:p>
      <w:pPr>
        <w:ind w:left="1996"/>
        <w:spacing w:before="222" w:line="222" w:lineRule="auto"/>
        <w:rPr>
          <w:rFonts w:ascii="FangSong" w:hAnsi="FangSong" w:eastAsia="FangSong" w:cs="FangSong"/>
          <w:sz w:val="24"/>
          <w:szCs w:val="24"/>
        </w:rPr>
      </w:pPr>
      <w:r>
        <w:rPr>
          <w:rFonts w:ascii="FangSong" w:hAnsi="FangSong" w:eastAsia="FangSong" w:cs="FangSong"/>
          <w:sz w:val="24"/>
          <w:szCs w:val="24"/>
          <w:spacing w:val="-5"/>
        </w:rPr>
        <w:t>本部门无其他事项。</w:t>
      </w:r>
    </w:p>
    <w:p>
      <w:pPr>
        <w:spacing w:line="222" w:lineRule="auto"/>
        <w:sectPr>
          <w:headerReference w:type="default" r:id="rId8"/>
          <w:footerReference w:type="default" r:id="rId64"/>
          <w:pgSz w:w="11900" w:h="16840"/>
          <w:pgMar w:top="642" w:right="0" w:bottom="340" w:left="0" w:header="326" w:footer="93" w:gutter="0"/>
        </w:sectPr>
        <w:rPr>
          <w:rFonts w:ascii="FangSong" w:hAnsi="FangSong" w:eastAsia="FangSong" w:cs="FangSong"/>
          <w:sz w:val="24"/>
          <w:szCs w:val="24"/>
        </w:rPr>
      </w:pPr>
    </w:p>
    <w:p>
      <w:pPr>
        <w:pStyle w:val="BodyText"/>
        <w:spacing w:line="277" w:lineRule="auto"/>
        <w:rPr/>
      </w:pPr>
      <w:r>
        <w:pict>
          <v:shape id="_x0000_s504" style="position:absolute;margin-left:491.92pt;margin-top:44.1055pt;mso-position-vertical-relative:page;mso-position-horizontal-relative:page;width:119.4pt;height:18.85pt;z-index:2516848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05"/>
        <w:spacing w:line="12480" w:lineRule="exact"/>
        <w:rPr/>
      </w:pPr>
      <w:r>
        <w:pict>
          <v:shape id="_x0000_s506" style="position:absolute;margin-left:-13.08pt;margin-top:228.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508" style="position:absolute;margin-left:391.92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510" style="position:absolute;margin-left:491.92pt;margin-top:472.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512" style="position:absolute;margin-left:86.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49"/>
        </w:rPr>
        <w:drawing>
          <wp:inline distT="0" distB="0" distL="0" distR="0">
            <wp:extent cx="5591175" cy="7924800"/>
            <wp:effectExtent l="0" t="0" r="0" b="0"/>
            <wp:docPr id="26" name="IM 26"/>
            <wp:cNvGraphicFramePr/>
            <a:graphic>
              <a:graphicData uri="http://schemas.openxmlformats.org/drawingml/2006/picture">
                <pic:pic>
                  <pic:nvPicPr>
                    <pic:cNvPr id="26" name="IM 26"/>
                    <pic:cNvPicPr/>
                  </pic:nvPicPr>
                  <pic:blipFill>
                    <a:blip r:embed="rId67"/>
                    <a:stretch>
                      <a:fillRect/>
                    </a:stretch>
                  </pic:blipFill>
                  <pic:spPr>
                    <a:xfrm rot="0">
                      <a:off x="0" y="0"/>
                      <a:ext cx="5591175" cy="7924800"/>
                    </a:xfrm>
                    <a:prstGeom prst="rect">
                      <a:avLst/>
                    </a:prstGeom>
                  </pic:spPr>
                </pic:pic>
              </a:graphicData>
            </a:graphic>
          </wp:inline>
        </w:drawing>
      </w:r>
    </w:p>
    <w:p>
      <w:pPr>
        <w:spacing w:line="12480" w:lineRule="exact"/>
        <w:sectPr>
          <w:headerReference w:type="default" r:id="rId65"/>
          <w:footerReference w:type="default" r:id="rId66"/>
          <w:pgSz w:w="11900" w:h="16840"/>
          <w:pgMar w:top="642" w:right="0" w:bottom="340" w:left="0" w:header="326" w:footer="93" w:gutter="0"/>
        </w:sectPr>
        <w:rPr/>
      </w:pPr>
    </w:p>
    <w:p>
      <w:pPr>
        <w:pStyle w:val="BodyText"/>
        <w:spacing w:line="280" w:lineRule="auto"/>
        <w:rPr/>
      </w:pPr>
      <w:r/>
    </w:p>
    <w:p>
      <w:pPr>
        <w:pStyle w:val="BodyText"/>
        <w:spacing w:line="280" w:lineRule="auto"/>
        <w:rPr/>
      </w:pPr>
      <w:r/>
    </w:p>
    <w:p>
      <w:pPr>
        <w:ind w:left="4947"/>
        <w:spacing w:before="99" w:line="237" w:lineRule="exact"/>
        <w:outlineLvl w:val="0"/>
        <w:rPr>
          <w:rFonts w:ascii="Microsoft YaHei" w:hAnsi="Microsoft YaHei" w:eastAsia="Microsoft YaHei" w:cs="Microsoft YaHei"/>
          <w:sz w:val="23"/>
          <w:szCs w:val="23"/>
        </w:rPr>
      </w:pPr>
      <w:bookmarkStart w:name="bookmark35" w:id="50"/>
      <w:bookmarkEnd w:id="50"/>
      <w:r>
        <w:rPr>
          <w:rFonts w:ascii="Microsoft YaHei" w:hAnsi="Microsoft YaHei" w:eastAsia="Microsoft YaHei" w:cs="Microsoft YaHei"/>
          <w:sz w:val="23"/>
          <w:szCs w:val="23"/>
          <w:spacing w:val="14"/>
          <w:position w:val="-1"/>
        </w:rPr>
        <w:t>第四部分</w:t>
      </w:r>
      <w:r>
        <w:rPr>
          <w:rFonts w:ascii="Microsoft YaHei" w:hAnsi="Microsoft YaHei" w:eastAsia="Microsoft YaHei" w:cs="Microsoft YaHei"/>
          <w:sz w:val="23"/>
          <w:szCs w:val="23"/>
          <w:spacing w:val="14"/>
          <w:position w:val="-1"/>
        </w:rPr>
        <w:t xml:space="preserve"> </w:t>
      </w:r>
      <w:r>
        <w:rPr>
          <w:rFonts w:ascii="Microsoft YaHei" w:hAnsi="Microsoft YaHei" w:eastAsia="Microsoft YaHei" w:cs="Microsoft YaHei"/>
          <w:sz w:val="23"/>
          <w:szCs w:val="23"/>
          <w:spacing w:val="14"/>
          <w:position w:val="-1"/>
        </w:rPr>
        <w:t>名词解释</w:t>
      </w:r>
    </w:p>
    <w:p>
      <w:pPr>
        <w:pStyle w:val="BodyText"/>
        <w:spacing w:line="317" w:lineRule="auto"/>
        <w:rPr/>
      </w:pPr>
      <w:r/>
    </w:p>
    <w:p>
      <w:pPr>
        <w:ind w:left="1520" w:right="1474" w:firstLine="472"/>
        <w:spacing w:before="78" w:line="348" w:lineRule="auto"/>
        <w:rPr>
          <w:rFonts w:ascii="FangSong" w:hAnsi="FangSong" w:eastAsia="FangSong" w:cs="FangSong"/>
          <w:sz w:val="24"/>
          <w:szCs w:val="24"/>
        </w:rPr>
      </w:pPr>
      <w:r>
        <w:rPr>
          <w:rFonts w:ascii="SimHei" w:hAnsi="SimHei" w:eastAsia="SimHei" w:cs="SimHei"/>
          <w:sz w:val="24"/>
          <w:szCs w:val="24"/>
          <w:spacing w:val="1"/>
        </w:rPr>
        <w:t>一、基本支出：</w:t>
      </w:r>
      <w:r>
        <w:rPr>
          <w:rFonts w:ascii="FangSong" w:hAnsi="FangSong" w:eastAsia="FangSong" w:cs="FangSong"/>
          <w:sz w:val="24"/>
          <w:szCs w:val="24"/>
          <w:spacing w:val="1"/>
        </w:rPr>
        <w:t>指为保障机构正常运转、完成日常工作任务而发生的</w:t>
      </w:r>
      <w:r>
        <w:rPr>
          <w:rFonts w:ascii="FangSong" w:hAnsi="FangSong" w:eastAsia="FangSong" w:cs="FangSong"/>
          <w:sz w:val="24"/>
          <w:szCs w:val="24"/>
        </w:rPr>
        <w:t>人员支出和</w:t>
      </w:r>
      <w:r>
        <w:rPr>
          <w:rFonts w:ascii="FangSong" w:hAnsi="FangSong" w:eastAsia="FangSong" w:cs="FangSong"/>
          <w:sz w:val="24"/>
          <w:szCs w:val="24"/>
          <w:spacing w:val="-9"/>
        </w:rPr>
        <w:t>公用支出。</w:t>
      </w:r>
    </w:p>
    <w:p>
      <w:pPr>
        <w:ind w:left="1515" w:right="1474" w:firstLine="477"/>
        <w:spacing w:before="9" w:line="291" w:lineRule="auto"/>
        <w:rPr>
          <w:rFonts w:ascii="FangSong" w:hAnsi="FangSong" w:eastAsia="FangSong" w:cs="FangSong"/>
          <w:sz w:val="24"/>
          <w:szCs w:val="24"/>
        </w:rPr>
      </w:pPr>
      <w:r>
        <w:rPr>
          <w:rFonts w:ascii="SimHei" w:hAnsi="SimHei" w:eastAsia="SimHei" w:cs="SimHei"/>
          <w:sz w:val="24"/>
          <w:szCs w:val="24"/>
          <w:spacing w:val="1"/>
        </w:rPr>
        <w:t>二、项目支出：</w:t>
      </w:r>
      <w:r>
        <w:rPr>
          <w:rFonts w:ascii="FangSong" w:hAnsi="FangSong" w:eastAsia="FangSong" w:cs="FangSong"/>
          <w:sz w:val="24"/>
          <w:szCs w:val="24"/>
          <w:spacing w:val="1"/>
        </w:rPr>
        <w:t>指在基本支出之外为完成特定行政任务和事业发展目</w:t>
      </w:r>
      <w:r>
        <w:rPr>
          <w:rFonts w:ascii="FangSong" w:hAnsi="FangSong" w:eastAsia="FangSong" w:cs="FangSong"/>
          <w:sz w:val="24"/>
          <w:szCs w:val="24"/>
        </w:rPr>
        <w:t>标所发生的</w:t>
      </w:r>
      <w:r>
        <w:rPr>
          <w:rFonts w:ascii="FangSong" w:hAnsi="FangSong" w:eastAsia="FangSong" w:cs="FangSong"/>
          <w:sz w:val="24"/>
          <w:szCs w:val="24"/>
          <w:spacing w:val="-11"/>
        </w:rPr>
        <w:t>支出。</w:t>
      </w:r>
    </w:p>
    <w:p>
      <w:pPr>
        <w:ind w:left="1516" w:right="1474" w:firstLine="477"/>
        <w:spacing w:before="158" w:line="335" w:lineRule="auto"/>
        <w:rPr>
          <w:rFonts w:ascii="FangSong" w:hAnsi="FangSong" w:eastAsia="FangSong" w:cs="FangSong"/>
          <w:sz w:val="24"/>
          <w:szCs w:val="24"/>
        </w:rPr>
      </w:pPr>
      <w:r>
        <w:rPr>
          <w:rFonts w:ascii="SimHei" w:hAnsi="SimHei" w:eastAsia="SimHei" w:cs="SimHei"/>
          <w:sz w:val="24"/>
          <w:szCs w:val="24"/>
          <w:spacing w:val="1"/>
        </w:rPr>
        <w:t>三、“三公”经费：</w:t>
      </w:r>
      <w:r>
        <w:rPr>
          <w:rFonts w:ascii="FangSong" w:hAnsi="FangSong" w:eastAsia="FangSong" w:cs="FangSong"/>
          <w:sz w:val="24"/>
          <w:szCs w:val="24"/>
          <w:spacing w:val="1"/>
        </w:rPr>
        <w:t>指省直部门用财政拨款安排的因公出国（境）</w:t>
      </w:r>
      <w:r>
        <w:rPr>
          <w:rFonts w:ascii="FangSong" w:hAnsi="FangSong" w:eastAsia="FangSong" w:cs="FangSong"/>
          <w:sz w:val="24"/>
          <w:szCs w:val="24"/>
        </w:rPr>
        <w:t>费用、公务用</w:t>
      </w:r>
      <w:r>
        <w:rPr>
          <w:rFonts w:ascii="FangSong" w:hAnsi="FangSong" w:eastAsia="FangSong" w:cs="FangSong"/>
          <w:sz w:val="24"/>
          <w:szCs w:val="24"/>
        </w:rPr>
        <w:t>车购置及运行费和公务接待费。其中：因公出国（境）费用反映单位公务出国（境）</w:t>
      </w:r>
      <w:r>
        <w:rPr>
          <w:rFonts w:ascii="FangSong" w:hAnsi="FangSong" w:eastAsia="FangSong" w:cs="FangSong"/>
          <w:sz w:val="24"/>
          <w:szCs w:val="24"/>
          <w:spacing w:val="1"/>
        </w:rPr>
        <w:t>的国际旅费、国外城市间交通费、住宿费、伙食费、培训费、</w:t>
      </w:r>
      <w:r>
        <w:rPr>
          <w:rFonts w:ascii="FangSong" w:hAnsi="FangSong" w:eastAsia="FangSong" w:cs="FangSong"/>
          <w:sz w:val="24"/>
          <w:szCs w:val="24"/>
        </w:rPr>
        <w:t>公杂费等支出；公务用</w:t>
      </w:r>
      <w:r>
        <w:rPr>
          <w:rFonts w:ascii="FangSong" w:hAnsi="FangSong" w:eastAsia="FangSong" w:cs="FangSong"/>
          <w:sz w:val="24"/>
          <w:szCs w:val="24"/>
        </w:rPr>
        <w:t>车购置费反映公务用车购置支出（含车辆购置税、牌照费</w:t>
      </w:r>
      <w:r>
        <w:rPr>
          <w:rFonts w:ascii="FangSong" w:hAnsi="FangSong" w:eastAsia="FangSong" w:cs="FangSong"/>
          <w:sz w:val="24"/>
          <w:szCs w:val="24"/>
          <w:spacing w:val="13"/>
        </w:rPr>
        <w:t>）；</w:t>
      </w:r>
      <w:r>
        <w:rPr>
          <w:rFonts w:ascii="FangSong" w:hAnsi="FangSong" w:eastAsia="FangSong" w:cs="FangSong"/>
          <w:sz w:val="24"/>
          <w:szCs w:val="24"/>
        </w:rPr>
        <w:t>公务用车运行维护费反</w:t>
      </w:r>
      <w:r>
        <w:rPr>
          <w:rFonts w:ascii="FangSong" w:hAnsi="FangSong" w:eastAsia="FangSong" w:cs="FangSong"/>
          <w:sz w:val="24"/>
          <w:szCs w:val="24"/>
          <w:spacing w:val="1"/>
        </w:rPr>
        <w:t>映单位按规定保留的公务用车燃料费、维修费、过路过桥费、</w:t>
      </w:r>
      <w:r>
        <w:rPr>
          <w:rFonts w:ascii="FangSong" w:hAnsi="FangSong" w:eastAsia="FangSong" w:cs="FangSong"/>
          <w:sz w:val="24"/>
          <w:szCs w:val="24"/>
        </w:rPr>
        <w:t>保险费、安全奖励费用</w:t>
      </w:r>
      <w:r>
        <w:rPr>
          <w:rFonts w:ascii="FangSong" w:hAnsi="FangSong" w:eastAsia="FangSong" w:cs="FangSong"/>
          <w:sz w:val="24"/>
          <w:szCs w:val="24"/>
          <w:spacing w:val="1"/>
        </w:rPr>
        <w:t>等支出；公务接待费反映机关和参公事业单位按规定开支的各</w:t>
      </w:r>
      <w:r>
        <w:rPr>
          <w:rFonts w:ascii="FangSong" w:hAnsi="FangSong" w:eastAsia="FangSong" w:cs="FangSong"/>
          <w:sz w:val="24"/>
          <w:szCs w:val="24"/>
        </w:rPr>
        <w:t>类公务接待（含外宾接</w:t>
      </w:r>
      <w:r>
        <w:rPr>
          <w:rFonts w:ascii="FangSong" w:hAnsi="FangSong" w:eastAsia="FangSong" w:cs="FangSong"/>
          <w:sz w:val="24"/>
          <w:szCs w:val="24"/>
          <w:spacing w:val="-8"/>
        </w:rPr>
        <w:t>待）支出。</w:t>
      </w:r>
    </w:p>
    <w:p>
      <w:pPr>
        <w:ind w:left="1513" w:right="1474" w:firstLine="490"/>
        <w:spacing w:before="177" w:line="290" w:lineRule="auto"/>
        <w:rPr>
          <w:rFonts w:ascii="FangSong" w:hAnsi="FangSong" w:eastAsia="FangSong" w:cs="FangSong"/>
          <w:sz w:val="24"/>
          <w:szCs w:val="24"/>
        </w:rPr>
      </w:pPr>
      <w:r>
        <w:rPr>
          <w:rFonts w:ascii="SimHei" w:hAnsi="SimHei" w:eastAsia="SimHei" w:cs="SimHei"/>
          <w:sz w:val="24"/>
          <w:szCs w:val="24"/>
          <w:spacing w:val="1"/>
        </w:rPr>
        <w:t>四、机关运行经费：</w:t>
      </w:r>
      <w:r>
        <w:rPr>
          <w:rFonts w:ascii="FangSong" w:hAnsi="FangSong" w:eastAsia="FangSong" w:cs="FangSong"/>
          <w:sz w:val="24"/>
          <w:szCs w:val="24"/>
          <w:spacing w:val="1"/>
        </w:rPr>
        <w:t>指行政单位和参照公务员</w:t>
      </w:r>
      <w:r>
        <w:rPr>
          <w:rFonts w:ascii="FangSong" w:hAnsi="FangSong" w:eastAsia="FangSong" w:cs="FangSong"/>
          <w:sz w:val="24"/>
          <w:szCs w:val="24"/>
        </w:rPr>
        <w:t>法管理的事业单位使用财政拨款安</w:t>
      </w:r>
      <w:r>
        <w:rPr>
          <w:rFonts w:ascii="FangSong" w:hAnsi="FangSong" w:eastAsia="FangSong" w:cs="FangSong"/>
          <w:sz w:val="24"/>
          <w:szCs w:val="24"/>
          <w:spacing w:val="-3"/>
        </w:rPr>
        <w:t>排的基本支出中的公用经费支出。</w:t>
      </w:r>
    </w:p>
    <w:p>
      <w:pPr>
        <w:ind w:left="1515" w:right="1474" w:firstLine="480"/>
        <w:spacing w:before="159" w:line="321" w:lineRule="auto"/>
        <w:rPr>
          <w:rFonts w:ascii="FangSong" w:hAnsi="FangSong" w:eastAsia="FangSong" w:cs="FangSong"/>
          <w:sz w:val="24"/>
          <w:szCs w:val="24"/>
        </w:rPr>
      </w:pPr>
      <w:r>
        <w:rPr>
          <w:rFonts w:ascii="SimHei" w:hAnsi="SimHei" w:eastAsia="SimHei" w:cs="SimHei"/>
          <w:sz w:val="24"/>
          <w:szCs w:val="24"/>
          <w:spacing w:val="1"/>
        </w:rPr>
        <w:t>五、政府购买服务：</w:t>
      </w:r>
      <w:r>
        <w:rPr>
          <w:rFonts w:ascii="FangSong" w:hAnsi="FangSong" w:eastAsia="FangSong" w:cs="FangSong"/>
          <w:sz w:val="24"/>
          <w:szCs w:val="24"/>
          <w:spacing w:val="1"/>
        </w:rPr>
        <w:t>根据我国现行政策规定，政府购买服务，是</w:t>
      </w:r>
      <w:r>
        <w:rPr>
          <w:rFonts w:ascii="FangSong" w:hAnsi="FangSong" w:eastAsia="FangSong" w:cs="FangSong"/>
          <w:sz w:val="24"/>
          <w:szCs w:val="24"/>
        </w:rPr>
        <w:t>指充分发挥市场</w:t>
      </w:r>
      <w:r>
        <w:rPr>
          <w:rFonts w:ascii="FangSong" w:hAnsi="FangSong" w:eastAsia="FangSong" w:cs="FangSong"/>
          <w:sz w:val="24"/>
          <w:szCs w:val="24"/>
          <w:spacing w:val="1"/>
        </w:rPr>
        <w:t>机制作用，将国家机关属于自身职责范围且适合通过市场化方式</w:t>
      </w:r>
      <w:r>
        <w:rPr>
          <w:rFonts w:ascii="FangSong" w:hAnsi="FangSong" w:eastAsia="FangSong" w:cs="FangSong"/>
          <w:sz w:val="24"/>
          <w:szCs w:val="24"/>
        </w:rPr>
        <w:t>提供的服务事项，按</w:t>
      </w:r>
      <w:r>
        <w:rPr>
          <w:rFonts w:ascii="FangSong" w:hAnsi="FangSong" w:eastAsia="FangSong" w:cs="FangSong"/>
          <w:sz w:val="24"/>
          <w:szCs w:val="24"/>
          <w:spacing w:val="1"/>
        </w:rPr>
        <w:t>照政府采购方式和程序，交由符合条件的服务供应商承担，并根</w:t>
      </w:r>
      <w:r>
        <w:rPr>
          <w:rFonts w:ascii="FangSong" w:hAnsi="FangSong" w:eastAsia="FangSong" w:cs="FangSong"/>
          <w:sz w:val="24"/>
          <w:szCs w:val="24"/>
        </w:rPr>
        <w:t>据服务数量和质量等</w:t>
      </w:r>
      <w:r>
        <w:rPr>
          <w:rFonts w:ascii="FangSong" w:hAnsi="FangSong" w:eastAsia="FangSong" w:cs="FangSong"/>
          <w:sz w:val="24"/>
          <w:szCs w:val="24"/>
          <w:spacing w:val="-4"/>
        </w:rPr>
        <w:t>情况向其支付费用的行为。</w:t>
      </w:r>
    </w:p>
    <w:p>
      <w:pPr>
        <w:ind w:left="1996"/>
        <w:spacing w:before="178" w:line="222" w:lineRule="auto"/>
        <w:rPr>
          <w:rFonts w:ascii="SimHei" w:hAnsi="SimHei" w:eastAsia="SimHei" w:cs="SimHei"/>
          <w:sz w:val="24"/>
          <w:szCs w:val="24"/>
        </w:rPr>
      </w:pPr>
      <w:r>
        <w:rPr>
          <w:rFonts w:ascii="SimHei" w:hAnsi="SimHei" w:eastAsia="SimHei" w:cs="SimHei"/>
          <w:sz w:val="24"/>
          <w:szCs w:val="24"/>
          <w:spacing w:val="-6"/>
        </w:rPr>
        <w:t>六、财政专户管理资金：</w:t>
      </w:r>
    </w:p>
    <w:p>
      <w:pPr>
        <w:ind w:left="1515" w:right="1475" w:firstLine="482"/>
        <w:spacing w:before="206" w:line="358" w:lineRule="auto"/>
        <w:rPr>
          <w:rFonts w:ascii="FangSong" w:hAnsi="FangSong" w:eastAsia="FangSong" w:cs="FangSong"/>
          <w:sz w:val="24"/>
          <w:szCs w:val="24"/>
        </w:rPr>
      </w:pPr>
      <w:r>
        <w:rPr>
          <w:rFonts w:ascii="FangSong" w:hAnsi="FangSong" w:eastAsia="FangSong" w:cs="FangSong"/>
          <w:sz w:val="24"/>
          <w:szCs w:val="24"/>
          <w:spacing w:val="1"/>
        </w:rPr>
        <w:t>专指教育收费，包括目前在财政专户管理的高中以上学费</w:t>
      </w:r>
      <w:r>
        <w:rPr>
          <w:rFonts w:ascii="FangSong" w:hAnsi="FangSong" w:eastAsia="FangSong" w:cs="FangSong"/>
          <w:sz w:val="24"/>
          <w:szCs w:val="24"/>
        </w:rPr>
        <w:t>、住宿费，高校委托培</w:t>
      </w:r>
      <w:r>
        <w:rPr>
          <w:rFonts w:ascii="FangSong" w:hAnsi="FangSong" w:eastAsia="FangSong" w:cs="FangSong"/>
          <w:sz w:val="24"/>
          <w:szCs w:val="24"/>
          <w:spacing w:val="-2"/>
        </w:rPr>
        <w:t>养费，党校收费，教育考试考务费，函大、电大、夜大及短训班培训费等。</w:t>
      </w:r>
    </w:p>
    <w:p>
      <w:pPr>
        <w:ind w:left="1529" w:right="1474" w:firstLine="459"/>
        <w:spacing w:before="43" w:line="284" w:lineRule="auto"/>
        <w:rPr>
          <w:rFonts w:ascii="FangSong" w:hAnsi="FangSong" w:eastAsia="FangSong" w:cs="FangSong"/>
          <w:sz w:val="24"/>
          <w:szCs w:val="24"/>
        </w:rPr>
      </w:pPr>
      <w:r>
        <w:rPr>
          <w:rFonts w:ascii="SimHei" w:hAnsi="SimHei" w:eastAsia="SimHei" w:cs="SimHei"/>
          <w:sz w:val="24"/>
          <w:szCs w:val="24"/>
          <w:spacing w:val="1"/>
        </w:rPr>
        <w:t>七、单位资金：</w:t>
      </w:r>
      <w:r>
        <w:rPr>
          <w:rFonts w:ascii="FangSong" w:hAnsi="FangSong" w:eastAsia="FangSong" w:cs="FangSong"/>
          <w:sz w:val="24"/>
          <w:szCs w:val="24"/>
          <w:spacing w:val="1"/>
        </w:rPr>
        <w:t>是指除政府预算资金和财政专户管理资金以外的资金，包括事业</w:t>
      </w:r>
      <w:r>
        <w:rPr>
          <w:rFonts w:ascii="FangSong" w:hAnsi="FangSong" w:eastAsia="FangSong" w:cs="FangSong"/>
          <w:sz w:val="24"/>
          <w:szCs w:val="24"/>
          <w:spacing w:val="-2"/>
        </w:rPr>
        <w:t>收入、事业单位经营收入、上级补助收入、附属单位上缴收入、其他收入。</w:t>
      </w:r>
    </w:p>
    <w:p>
      <w:pPr>
        <w:ind w:left="1515" w:right="1474" w:firstLine="473"/>
        <w:spacing w:before="178" w:line="293" w:lineRule="auto"/>
        <w:rPr>
          <w:rFonts w:ascii="FangSong" w:hAnsi="FangSong" w:eastAsia="FangSong" w:cs="FangSong"/>
          <w:sz w:val="24"/>
          <w:szCs w:val="24"/>
        </w:rPr>
      </w:pPr>
      <w:r>
        <w:rPr>
          <w:rFonts w:ascii="SimHei" w:hAnsi="SimHei" w:eastAsia="SimHei" w:cs="SimHei"/>
          <w:sz w:val="24"/>
          <w:szCs w:val="24"/>
          <w:spacing w:val="1"/>
        </w:rPr>
        <w:t>八、上年结转：</w:t>
      </w:r>
      <w:r>
        <w:rPr>
          <w:rFonts w:ascii="FangSong" w:hAnsi="FangSong" w:eastAsia="FangSong" w:cs="FangSong"/>
          <w:sz w:val="24"/>
          <w:szCs w:val="24"/>
          <w:spacing w:val="1"/>
        </w:rPr>
        <w:t>指以前年度预算安排、结转到本年仍按原规定用途继续使用的资</w:t>
      </w:r>
      <w:r>
        <w:rPr>
          <w:rFonts w:ascii="FangSong" w:hAnsi="FangSong" w:eastAsia="FangSong" w:cs="FangSong"/>
          <w:sz w:val="24"/>
          <w:szCs w:val="24"/>
          <w:spacing w:val="-12"/>
        </w:rPr>
        <w:t>金。</w:t>
      </w:r>
    </w:p>
    <w:p>
      <w:pPr>
        <w:ind w:left="1517" w:right="1513" w:firstLine="477"/>
        <w:spacing w:before="154" w:line="288" w:lineRule="auto"/>
        <w:rPr>
          <w:rFonts w:ascii="FangSong" w:hAnsi="FangSong" w:eastAsia="FangSong" w:cs="FangSong"/>
          <w:sz w:val="24"/>
          <w:szCs w:val="24"/>
        </w:rPr>
      </w:pPr>
      <w:r>
        <w:rPr>
          <w:rFonts w:ascii="SimHei" w:hAnsi="SimHei" w:eastAsia="SimHei" w:cs="SimHei"/>
          <w:sz w:val="24"/>
          <w:szCs w:val="24"/>
        </w:rPr>
        <w:t>九、一般公共预算：</w:t>
      </w:r>
      <w:r>
        <w:rPr>
          <w:rFonts w:ascii="FangSong" w:hAnsi="FangSong" w:eastAsia="FangSong" w:cs="FangSong"/>
          <w:sz w:val="24"/>
          <w:szCs w:val="24"/>
        </w:rPr>
        <w:t>是指以税收为主体的财政收入，安排</w:t>
      </w:r>
      <w:r>
        <w:rPr>
          <w:rFonts w:ascii="FangSong" w:hAnsi="FangSong" w:eastAsia="FangSong" w:cs="FangSong"/>
          <w:sz w:val="24"/>
          <w:szCs w:val="24"/>
          <w:spacing w:val="-1"/>
        </w:rPr>
        <w:t>用于保障和改善民生、</w:t>
      </w:r>
      <w:r>
        <w:rPr>
          <w:rFonts w:ascii="FangSong" w:hAnsi="FangSong" w:eastAsia="FangSong" w:cs="FangSong"/>
          <w:sz w:val="24"/>
          <w:szCs w:val="24"/>
          <w:spacing w:val="-1"/>
        </w:rPr>
        <w:t>推动经济社会发展、维护国家安全、维持国家</w:t>
      </w:r>
      <w:r>
        <w:rPr>
          <w:rFonts w:ascii="FangSong" w:hAnsi="FangSong" w:eastAsia="FangSong" w:cs="FangSong"/>
          <w:sz w:val="24"/>
          <w:szCs w:val="24"/>
          <w:spacing w:val="-2"/>
        </w:rPr>
        <w:t>机构正常运转等方面的收支预算。</w:t>
      </w:r>
    </w:p>
    <w:p>
      <w:pPr>
        <w:ind w:left="1516" w:right="1474" w:firstLine="475"/>
        <w:spacing w:before="180" w:line="284" w:lineRule="auto"/>
        <w:rPr>
          <w:rFonts w:ascii="FangSong" w:hAnsi="FangSong" w:eastAsia="FangSong" w:cs="FangSong"/>
          <w:sz w:val="24"/>
          <w:szCs w:val="24"/>
        </w:rPr>
      </w:pPr>
      <w:r>
        <w:rPr>
          <w:rFonts w:ascii="SimHei" w:hAnsi="SimHei" w:eastAsia="SimHei" w:cs="SimHei"/>
          <w:sz w:val="24"/>
          <w:szCs w:val="24"/>
          <w:spacing w:val="1"/>
        </w:rPr>
        <w:t>十、政府性基金预算：</w:t>
      </w:r>
      <w:r>
        <w:rPr>
          <w:rFonts w:ascii="FangSong" w:hAnsi="FangSong" w:eastAsia="FangSong" w:cs="FangSong"/>
          <w:sz w:val="24"/>
          <w:szCs w:val="24"/>
          <w:spacing w:val="1"/>
        </w:rPr>
        <w:t>是对依照法律、行政法规的规定在一定期限内向</w:t>
      </w:r>
      <w:r>
        <w:rPr>
          <w:rFonts w:ascii="FangSong" w:hAnsi="FangSong" w:eastAsia="FangSong" w:cs="FangSong"/>
          <w:sz w:val="24"/>
          <w:szCs w:val="24"/>
        </w:rPr>
        <w:t>特定对象</w:t>
      </w:r>
      <w:r>
        <w:rPr>
          <w:rFonts w:ascii="FangSong" w:hAnsi="FangSong" w:eastAsia="FangSong" w:cs="FangSong"/>
          <w:sz w:val="24"/>
          <w:szCs w:val="24"/>
          <w:spacing w:val="-1"/>
        </w:rPr>
        <w:t>征收、收取或者以其他方式筹集的资金，专项用于特</w:t>
      </w:r>
      <w:r>
        <w:rPr>
          <w:rFonts w:ascii="FangSong" w:hAnsi="FangSong" w:eastAsia="FangSong" w:cs="FangSong"/>
          <w:sz w:val="24"/>
          <w:szCs w:val="24"/>
          <w:spacing w:val="-2"/>
        </w:rPr>
        <w:t>定公共事业发展的收支预算。</w:t>
      </w:r>
    </w:p>
    <w:p>
      <w:pPr>
        <w:ind w:left="1992"/>
        <w:spacing w:before="177" w:line="220" w:lineRule="auto"/>
        <w:rPr>
          <w:rFonts w:ascii="FangSong" w:hAnsi="FangSong" w:eastAsia="FangSong" w:cs="FangSong"/>
          <w:sz w:val="24"/>
          <w:szCs w:val="24"/>
        </w:rPr>
      </w:pPr>
      <w:r>
        <w:rPr>
          <w:rFonts w:ascii="SimHei" w:hAnsi="SimHei" w:eastAsia="SimHei" w:cs="SimHei"/>
          <w:sz w:val="24"/>
          <w:szCs w:val="24"/>
          <w:spacing w:val="-1"/>
        </w:rPr>
        <w:t>十一、国有资本经营预算：</w:t>
      </w:r>
      <w:r>
        <w:rPr>
          <w:rFonts w:ascii="FangSong" w:hAnsi="FangSong" w:eastAsia="FangSong" w:cs="FangSong"/>
          <w:sz w:val="24"/>
          <w:szCs w:val="24"/>
          <w:spacing w:val="-1"/>
        </w:rPr>
        <w:t>是对国有资本收益作</w:t>
      </w:r>
      <w:r>
        <w:rPr>
          <w:rFonts w:ascii="FangSong" w:hAnsi="FangSong" w:eastAsia="FangSong" w:cs="FangSong"/>
          <w:sz w:val="24"/>
          <w:szCs w:val="24"/>
          <w:spacing w:val="-2"/>
        </w:rPr>
        <w:t>出支出安排的收支预算。</w:t>
      </w:r>
    </w:p>
    <w:p>
      <w:pPr>
        <w:ind w:left="1992"/>
        <w:spacing w:before="179" w:line="220" w:lineRule="auto"/>
        <w:rPr>
          <w:rFonts w:ascii="FangSong" w:hAnsi="FangSong" w:eastAsia="FangSong" w:cs="FangSong"/>
          <w:sz w:val="24"/>
          <w:szCs w:val="24"/>
        </w:rPr>
      </w:pPr>
      <w:r>
        <w:rPr>
          <w:rFonts w:ascii="SimHei" w:hAnsi="SimHei" w:eastAsia="SimHei" w:cs="SimHei"/>
          <w:sz w:val="24"/>
          <w:szCs w:val="24"/>
          <w:spacing w:val="-1"/>
        </w:rPr>
        <w:t>十二、财政拨款：</w:t>
      </w:r>
      <w:r>
        <w:rPr>
          <w:rFonts w:ascii="FangSong" w:hAnsi="FangSong" w:eastAsia="FangSong" w:cs="FangSong"/>
          <w:sz w:val="24"/>
          <w:szCs w:val="24"/>
          <w:spacing w:val="-1"/>
        </w:rPr>
        <w:t>包含一般公共预算、政府性基金预算</w:t>
      </w:r>
      <w:r>
        <w:rPr>
          <w:rFonts w:ascii="FangSong" w:hAnsi="FangSong" w:eastAsia="FangSong" w:cs="FangSong"/>
          <w:sz w:val="24"/>
          <w:szCs w:val="24"/>
          <w:spacing w:val="-2"/>
        </w:rPr>
        <w:t>、国有资本经营预算。</w:t>
      </w:r>
    </w:p>
    <w:sectPr>
      <w:headerReference w:type="default" r:id="rId68"/>
      <w:footerReference w:type="default" r:id="rId69"/>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bookmarkStart w:name="bookmark50" w:id="44"/>
    <w:bookmarkEnd w:id="44"/>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bookmarkStart w:name="bookmark51" w:id="45"/>
    <w:bookmarkEnd w:id="45"/>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862pt;mso-position-vertical-relative:text;mso-position-horizontal-relative:text;width:119.4pt;height:18.85pt;z-index:-251568128;rotation:330;"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80" style="position:absolute;margin-left:86.92pt;margin-top:27.7862pt;mso-position-vertical-relative:text;mso-position-horizontal-relative:text;width:119.4pt;height:18.85pt;z-index:-251548672;rotation:330;" fillcolor="#404040" filled="true" stroked="false" type="#_x0000_t136">
          <v:fill opacity="0.400000"/>
          <v:textpath style="font-family:&quot;STSong&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49696;"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73.8887pt;margin-top:267.372pt;mso-position-vertical-relative:page;mso-position-horizontal-relative:page;width:23.9pt;height:7.9pt;z-index:-251565056;" o:allowincell="f" fillcolor="#212529" filled="true" stroked="false" type="#_x0000_t136">
          <v:textpath style="font-family:&quot;SimSun&quot;;font-size:7.5;v-text-kern:t;mso-text-shadow:auto" string="013699"/>
        </v:shape>
      </w:pict>
    </w:r>
    <w:r>
      <w:pict>
        <v:shape id="PowerPlusWaterMarkObject188" style="position:absolute;margin-left:69.8661pt;margin-top:282.508pt;mso-position-vertical-relative:page;mso-position-horizontal-relative:page;width:11.7pt;height:7.9pt;z-index:-251566080;" o:allowincell="f" fillcolor="#212529" filled="true" stroked="false" type="#_x0000_t136">
          <v:textpath style="font-family:&quot;SimSun&quot;;font-size:7.5;v-text-kern:t;mso-text-shadow:auto" string="208"/>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505.84pt;margin-top:267.372pt;mso-position-vertical-relative:page;mso-position-horizontal-relative:page;width:3.6pt;height:7.9pt;z-index:-251559936;" o:allowincell="f" fillcolor="#212529" filled="true" stroked="false" type="#_x0000_t136">
          <v:textpath style="font-family:&quot;SimSun&quot;;font-size:7.5;v-text-kern:t;mso-text-shadow:auto" string="2"/>
        </v:shape>
      </w:pict>
    </w:r>
    <w:r>
      <w:pict>
        <v:shape id="PowerPlusWaterMarkObject194" style="position:absolute;margin-left:447.825pt;margin-top:282.508pt;mso-position-vertical-relative:page;mso-position-horizontal-relative:page;width:7.7pt;height:7.9pt;z-index:-251560960;" o:allowincell="f" fillcolor="#212529" filled="true" stroked="false" type="#_x0000_t136">
          <v:textpath style="font-family:&quot;SimSun&quot;;font-size:7.5;v-text-kern:t;mso-text-shadow:auto" string="96"/>
        </v:shape>
      </w:pict>
    </w:r>
    <w:r>
      <w:pict>
        <v:shape id="PowerPlusWaterMarkObject196" style="position:absolute;margin-left:435.694pt;margin-top:297.644pt;mso-position-vertical-relative:page;mso-position-horizontal-relative:page;width:19.85pt;height:7.9pt;z-index:-251563008;" o:allowincell="f" fillcolor="#212529" filled="true" stroked="false" type="#_x0000_t136">
          <v:textpath style="font-family:&quot;SimSun&quot;;font-size:7.5;v-text-kern:t;mso-text-shadow:auto" string="62 85"/>
        </v:shape>
      </w:pict>
    </w:r>
    <w:r>
      <w:pict>
        <v:shape id="PowerPlusWaterMarkObject198" style="position:absolute;margin-left:439.748pt;margin-top:312.78pt;mso-position-vertical-relative:page;mso-position-horizontal-relative:page;width:3.6pt;height:7.9pt;z-index:-251561984;" o:allowincell="f" fillcolor="#212529" filled="true" stroked="false" type="#_x0000_t136">
          <v:textpath style="font-family:&quot;SimSun&quot;;font-size:7.5;v-text-kern:t;mso-text-shadow:auto" string="6"/>
        </v:shape>
      </w:pict>
    </w:r>
    <w:r>
      <w:pict>
        <v:shape id="PowerPlusWaterMarkObject200"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174.954pt;margin-top:509.549pt;mso-position-vertical-relative:page;mso-position-horizontal-relative:page;width:23.45pt;height:7.9pt;z-index:-251556864;" o:allowincell="f" fillcolor="#212529" filled="true" stroked="false" type="#_x0000_t136">
          <v:textpath style="font-family:&quot;SimSun&quot;;font-size:7.5;v-text-kern:t;mso-text-shadow:auto" string="障支出"/>
        </v:shape>
      </w:pict>
    </w:r>
    <w:r>
      <w:pict>
        <v:shape id="PowerPlusWaterMarkObject204" style="position:absolute;margin-left:150.255pt;margin-top:524.685pt;mso-position-vertical-relative:page;mso-position-horizontal-relative:page;width:31.95pt;height:7.9pt;z-index:-251554816;" o:allowincell="f" fillcolor="#212529" filled="true" stroked="false" type="#_x0000_t136">
          <v:textpath style="font-family:&quot;SimSun&quot;;font-size:7.5;v-text-kern:t;mso-text-shadow:auto" string="住房改革"/>
        </v:shape>
      </w:pict>
    </w:r>
    <w:r>
      <w:pict>
        <v:shape id="PowerPlusWaterMarkObject206" style="position:absolute;margin-left:150.255pt;margin-top:539.821pt;mso-position-vertical-relative:page;mso-position-horizontal-relative:page;width:7.6pt;height:7.9pt;z-index:-251555840;" o:allowincell="f" fillcolor="#212529" filled="true" stroked="false" type="#_x0000_t136">
          <v:textpath style="font-family:&quot;SimSun&quot;;font-size:7.5;v-text-kern:t;mso-text-shadow:auto" string="住"/>
        </v:shape>
      </w:pict>
    </w:r>
    <w:r>
      <w:pict>
        <v:shape id="PowerPlusWaterMarkObject208"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776.106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391.92pt;margin-top:776.106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_x0000_s216" style="position:absolute;margin-left:30pt;margin-top:29.5pt;mso-position-vertical-relative:page;mso-position-horizontal-relative:page;width:535pt;height:1pt;z-index:-2515517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18" style="position:absolute;margin-left:86.2339pt;margin-top:267.372pt;mso-position-vertical-relative:page;mso-position-horizontal-relative:page;width:15.5pt;height:7.9pt;z-index:-251541504;" o:allowincell="f" fillcolor="#212529" filled="true" stroked="false" type="#_x0000_t136">
          <v:textpath style="font-family:&quot;SimSun&quot;;font-size:7.5;v-text-kern:t;mso-text-shadow:auto" string="公务"/>
        </v:shape>
      </w:pict>
    </w:r>
    <w:r>
      <w:pict>
        <v:shape id="PowerPlusWaterMarkObject220" style="position:absolute;margin-left:86.92pt;margin-top:27.7862pt;mso-position-vertical-relative:text;mso-position-horizontal-relative:text;width:119.4pt;height:18.85pt;z-index:-251533312;rotation:330;" fillcolor="#404040" filled="true" stroked="false" type="#_x0000_t136">
          <v:fill opacity="0.400000"/>
          <v:textpath style="font-family:&quot;STSong&quot;;font-size:20;v-text-kern:t;mso-text-shadow:auto" string="仅供内部审核"/>
        </v:shape>
      </w:pict>
    </w:r>
    <w:r>
      <w:pict>
        <v:shape id="PowerPlusWaterMarkObject222"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86.92pt;margin-top:532.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13.08pt;margin-top:776.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486.557pt;margin-top:71.2915pt;mso-position-vertical-relative:page;mso-position-horizontal-relative:page;width:35.45pt;height:6.5pt;z-index:-251534336;" o:allowincell="f" fillcolor="#212529" filled="true" stroked="false" type="#_x0000_t136">
          <v:textpath style="font-family:&quot;SimSun&quot;;font-size:6;v-text-kern:t;mso-text-shadow:auto" string="预算公开表6"/>
        </v:shape>
      </w:pict>
    </w:r>
    <w:r>
      <w:pict>
        <v:shape id="PowerPlusWaterMarkObject230" style="position:absolute;margin-left:450.543pt;margin-top:282.508pt;mso-position-vertical-relative:page;mso-position-horizontal-relative:page;width:15.8pt;height:7.9pt;z-index:-251543552;" o:allowincell="f" fillcolor="#212529" filled="true" stroked="false" type="#_x0000_t136">
          <v:textpath style="font-family:&quot;SimSun&quot;;font-size:7.5;v-text-kern:t;mso-text-shadow:auto" string="0 72"/>
        </v:shape>
      </w:pict>
    </w:r>
    <w:r>
      <w:pict>
        <v:shape id="PowerPlusWaterMarkObject232" style="position:absolute;margin-left:446.52pt;margin-top:297.644pt;mso-position-vertical-relative:page;mso-position-horizontal-relative:page;width:19.8pt;height:7.9pt;z-index:-251546624;" o:allowincell="f" fillcolor="#212529" filled="true" stroked="false" type="#_x0000_t136">
          <v:textpath style="font-family:&quot;SimSun&quot;;font-size:7.5;v-text-kern:t;mso-text-shadow:auto" string="29 04"/>
        </v:shape>
      </w:pict>
    </w:r>
    <w:r>
      <w:pict>
        <v:shape id="PowerPlusWaterMarkObject234" style="position:absolute;margin-left:399.095pt;margin-top:312.78pt;mso-position-vertical-relative:page;mso-position-horizontal-relative:page;width:7.65pt;height:7.9pt;z-index:-251545600;" o:allowincell="f" fillcolor="#212529" filled="true" stroked="false" type="#_x0000_t136">
          <v:textpath style="font-family:&quot;SimSun&quot;;font-size:7.5;v-text-kern:t;mso-text-shadow:auto" string="64"/>
        </v:shape>
      </w:pict>
    </w:r>
    <w:r>
      <w:pict>
        <v:shape id="PowerPlusWaterMarkObject236" style="position:absolute;margin-left:399.127pt;margin-top:327.916pt;mso-position-vertical-relative:page;mso-position-horizontal-relative:page;width:7.65pt;height:7.9pt;z-index:-251544576;" o:allowincell="f" fillcolor="#212529" filled="true" stroked="false" type="#_x0000_t136">
          <v:textpath style="font-family:&quot;SimSun&quot;;font-size:7.5;v-text-kern:t;mso-text-shadow:auto" string="21"/>
        </v:shape>
      </w:pict>
    </w:r>
    <w:r>
      <w:pict>
        <v:shape id="PowerPlusWaterMarkObject238" style="position:absolute;margin-left:491.92pt;margin-top:44.1055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491.92pt;margin-top:532.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_x0000_s246" style="position:absolute;margin-left:30pt;margin-top:29.5pt;mso-position-vertical-relative:page;mso-position-horizontal-relative:page;width:535pt;height:1pt;z-index:-2515363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48" style="position:absolute;margin-left:86.92pt;margin-top:27.7862pt;mso-position-vertical-relative:text;mso-position-horizontal-relative:text;width:119.4pt;height:18.85pt;z-index:-251523072;rotation:330;" fillcolor="#404040" filled="true" stroked="false" type="#_x0000_t136">
          <v:fill opacity="0.400000"/>
          <v:textpath style="font-family:&quot;STSong&quot;;font-size:20;v-text-kern:t;mso-text-shadow:auto" string="仅供内部审核"/>
        </v:shape>
      </w:pict>
    </w:r>
    <w:r>
      <w:pict>
        <v:shape id="PowerPlusWaterMarkObject250" style="position:absolute;margin-left:490.334pt;margin-top:73.4279pt;mso-position-vertical-relative:page;mso-position-horizontal-relative:page;width:35.4pt;height:6.5pt;z-index:-251524096;" o:allowincell="f" fillcolor="#212529" filled="true" stroked="false" type="#_x0000_t136">
          <v:textpath style="font-family:&quot;SimSun&quot;;font-size:6;v-text-kern:t;mso-text-shadow:auto" string="预算公开表7"/>
        </v:shape>
      </w:pict>
    </w:r>
    <w:r>
      <w:pict>
        <v:shape id="PowerPlusWaterMarkObject252" style="position:absolute;margin-left:491.92pt;margin-top:44.1055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13.08pt;margin-top:288.10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288.105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86.92pt;margin-top:532.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776.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491.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_x0000_s266" style="position:absolute;margin-left:30pt;margin-top:29.5pt;mso-position-vertical-relative:page;mso-position-horizontal-relative:page;width:535pt;height:1pt;z-index:-25152614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68" style="position:absolute;margin-left:86.92pt;margin-top:27.7862pt;mso-position-vertical-relative:text;mso-position-horizontal-relative:text;width:119.4pt;height:18.85pt;z-index:-251512832;rotation:330;" fillcolor="#404040" filled="true" stroked="false" type="#_x0000_t136">
          <v:fill opacity="0.400000"/>
          <v:textpath style="font-family:&quot;STSong&quot;;font-size:20;v-text-kern:t;mso-text-shadow:auto" string="仅供内部审核"/>
        </v:shape>
      </w:pict>
    </w:r>
    <w:r>
      <w:pict>
        <v:shape id="PowerPlusWaterMarkObject270" style="position:absolute;margin-left:490.282pt;margin-top:73.4538pt;mso-position-vertical-relative:page;mso-position-horizontal-relative:page;width:35.45pt;height:6.5pt;z-index:-251513856;" o:allowincell="f" fillcolor="#212529" filled="true" stroked="false" type="#_x0000_t136">
          <v:textpath style="font-family:&quot;SimSun&quot;;font-size:6;v-text-kern:t;mso-text-shadow:auto" string="预算公开表8"/>
        </v:shape>
      </w:pict>
    </w:r>
    <w:r>
      <w:pict>
        <v:shape id="PowerPlusWaterMarkObject272" style="position:absolute;margin-left:491.92pt;margin-top:44.1055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391.92pt;margin-top:288.10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78" style="position:absolute;margin-left:86.92pt;margin-top:532.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80" style="position:absolute;margin-left:-13.08pt;margin-top:776.106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491.92pt;margin-top:532.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_x0000_s286" style="position:absolute;margin-left:30pt;margin-top:29.5pt;mso-position-vertical-relative:page;mso-position-horizontal-relative:page;width:535pt;height:1pt;z-index:-2515159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288" style="position:absolute;margin-left:86.92pt;margin-top:27.7862pt;mso-position-vertical-relative:text;mso-position-horizontal-relative:text;width:119.4pt;height:18.85pt;z-index:-251502592;rotation:330;" fillcolor="#404040" filled="true" stroked="false" type="#_x0000_t136">
          <v:fill opacity="0.400000"/>
          <v:textpath style="font-family:&quot;STSong&quot;;font-size:20;v-text-kern:t;mso-text-shadow:auto" string="仅供内部审核"/>
        </v:shape>
      </w:pict>
    </w:r>
    <w:r>
      <w:pict>
        <v:shape id="PowerPlusWaterMarkObject290" style="position:absolute;margin-left:490.36pt;margin-top:78.8596pt;mso-position-vertical-relative:page;mso-position-horizontal-relative:page;width:35.35pt;height:6.5pt;z-index:-251503616;" o:allowincell="f" fillcolor="#212529" filled="true" stroked="false" type="#_x0000_t136">
          <v:textpath style="font-family:&quot;SimSun&quot;;font-size:6;v-text-kern:t;mso-text-shadow:auto" string="部门公开表9"/>
        </v:shape>
      </w:pict>
    </w:r>
    <w:r>
      <w:pict>
        <v:shape id="PowerPlusWaterMarkObject292" style="position:absolute;margin-left:491.92pt;margin-top:44.1055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13.08pt;margin-top:288.105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391.92pt;margin-top:288.10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98" style="position:absolute;margin-left:86.92pt;margin-top:532.106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776.106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491.92pt;margin-top:532.106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304" style="position:absolute;margin-left:391.92pt;margin-top:776.106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_x0000_s306" style="position:absolute;margin-left:30pt;margin-top:29.5pt;mso-position-vertical-relative:page;mso-position-horizontal-relative:page;width:535pt;height:1pt;z-index:-2515056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08" style="position:absolute;margin-left:86.92pt;margin-top:27.7862pt;mso-position-vertical-relative:text;mso-position-horizontal-relative:text;width:119.4pt;height:18.85pt;z-index:-251492352;rotation:330;" fillcolor="#404040" filled="true" stroked="false" type="#_x0000_t136">
          <v:fill opacity="0.400000"/>
          <v:textpath style="font-family:&quot;STSong&quot;;font-size:20;v-text-kern:t;mso-text-shadow:auto" string="仅供内部审核"/>
        </v:shape>
      </w:pict>
    </w:r>
    <w:r>
      <w:pict>
        <v:shape id="PowerPlusWaterMarkObject310"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86.92pt;margin-top:532.106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8496;rotation:330;" o:allowincell="f" fillcolor="#404040" filled="true" stroked="false" type="#_x0000_t136">
          <v:fill opacity="0.400000"/>
          <v:textpath style="font-family:&quot;STSong&quot;;font-size:20;v-text-kern:t;mso-text-shadow:auto" string="仅供内部审核"/>
        </v:shape>
      </w:pict>
    </w:r>
    <w:r>
      <w:pict>
        <v:shape id="PowerPlusWaterMarkObject316" style="position:absolute;margin-left:487.09pt;margin-top:67.4816pt;mso-position-vertical-relative:page;mso-position-horizontal-relative:page;width:38.65pt;height:6.5pt;z-index:-251493376;" o:allowincell="f" fillcolor="#212529" filled="true" stroked="false" type="#_x0000_t136">
          <v:textpath style="font-family:&quot;SimSun&quot;;font-size:6;v-text-kern:t;mso-text-shadow:auto" string="预算公开表11"/>
        </v:shape>
      </w:pict>
    </w:r>
    <w:r>
      <w:pict>
        <v:shape id="PowerPlusWaterMarkObject318"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391.92pt;margin-top:288.105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28" style="position:absolute;margin-left:78.0381pt;margin-top:267.372pt;mso-position-vertical-relative:page;mso-position-horizontal-relative:page;width:23.7pt;height:7.9pt;z-index:-251488256;" o:allowincell="f" fillcolor="#212529" filled="true" stroked="false" type="#_x0000_t136">
          <v:textpath style="font-family:&quot;SimSun&quot;;font-size:7.5;v-text-kern:t;mso-text-shadow:auto" string="安全专"/>
        </v:shape>
      </w:pict>
    </w:r>
    <w:r>
      <w:pict>
        <v:shape id="PowerPlusWaterMarkObject330" style="position:absolute;margin-left:77.8796pt;margin-top:282.508pt;mso-position-vertical-relative:page;mso-position-horizontal-relative:page;width:7.65pt;height:7.9pt;z-index:-251489280;" o:allowincell="f" fillcolor="#212529" filled="true" stroked="false" type="#_x0000_t136">
          <v:textpath style="font-family:&quot;SimSun&quot;;font-size:7.5;v-text-kern:t;mso-text-shadow:auto" string="创"/>
        </v:shape>
      </w:pict>
    </w:r>
    <w:r>
      <w:pict>
        <v:shape id="PowerPlusWaterMarkObject332" style="position:absolute;margin-left:86.92pt;margin-top:27.7862pt;mso-position-vertical-relative:text;mso-position-horizontal-relative:text;width:119.4pt;height:18.85pt;z-index:-251480064;rotation:330;" fillcolor="#404040" filled="true" stroked="false" type="#_x0000_t136">
          <v:fill opacity="0.400000"/>
          <v:textpath style="font-family:&quot;STSong&quot;;font-size:20;v-text-kern:t;mso-text-shadow:auto" string="仅供内部审核"/>
        </v:shape>
      </w:pict>
    </w:r>
    <w:r>
      <w:pict>
        <v:shape id="PowerPlusWaterMarkObject334" style="position:absolute;margin-left:-13.08pt;margin-top:288.10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36" style="position:absolute;margin-left:86.92pt;margin-top:532.106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487.09pt;margin-top:73.4279pt;mso-position-vertical-relative:page;mso-position-horizontal-relative:page;width:38.65pt;height:6.5pt;z-index:-251481088;" o:allowincell="f" fillcolor="#212529" filled="true" stroked="false" type="#_x0000_t136">
          <v:textpath style="font-family:&quot;SimSun&quot;;font-size:6;v-text-kern:t;mso-text-shadow:auto" string="预算公开表12"/>
        </v:shape>
      </w:pict>
    </w:r>
    <w:r>
      <w:pict>
        <v:shape id="PowerPlusWaterMarkObject342" style="position:absolute;margin-left:491.92pt;margin-top:44.1055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_x0000_s350" style="position:absolute;margin-left:30pt;margin-top:29.5pt;mso-position-vertical-relative:page;mso-position-horizontal-relative:page;width:535pt;height:1pt;z-index:-2514831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52" style="position:absolute;margin-left:86.92pt;margin-top:27.7862pt;mso-position-vertical-relative:text;mso-position-horizontal-relative:text;width:119.4pt;height:18.85pt;z-index:-251469824;rotation:330;" fillcolor="#404040" filled="true" stroked="false" type="#_x0000_t136">
          <v:fill opacity="0.400000"/>
          <v:textpath style="font-family:&quot;STSong&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73920;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86.92pt;margin-top:532.106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13.08pt;margin-top:776.106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487.09pt;margin-top:73.4279pt;mso-position-vertical-relative:page;mso-position-horizontal-relative:page;width:38.65pt;height:6.5pt;z-index:-251470848;" o:allowincell="f" fillcolor="#212529" filled="true" stroked="false" type="#_x0000_t136">
          <v:textpath style="font-family:&quot;SimSun&quot;;font-size:6;v-text-kern:t;mso-text-shadow:auto" string="预算公开表13"/>
        </v:shape>
      </w:pict>
    </w:r>
    <w:r>
      <w:pict>
        <v:shape id="PowerPlusWaterMarkObject362" style="position:absolute;margin-left:491.92pt;margin-top:44.105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391.92pt;margin-top:288.105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491.92pt;margin-top:532.106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68" style="position:absolute;margin-left:391.92pt;margin-top:776.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_x0000_s370"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72" style="position:absolute;margin-left:86.92pt;margin-top:27.7862pt;mso-position-vertical-relative:text;mso-position-horizontal-relative:text;width:119.4pt;height:18.85pt;z-index:-251460608;rotation:330;" fillcolor="#404040" filled="true" stroked="false" type="#_x0000_t136">
          <v:fill opacity="0.400000"/>
          <v:textpath style="font-family:&quot;STSong&quot;;font-size:20;v-text-kern:t;mso-text-shadow:auto" string="仅供内部审核"/>
        </v:shape>
      </w:pict>
    </w:r>
    <w:r>
      <w:pict>
        <v:shape id="PowerPlusWaterMarkObject374" style="position:absolute;margin-left:491.92pt;margin-top:44.1055pt;mso-position-vertical-relative:page;mso-position-horizontal-relative:page;width:119.4pt;height:18.85pt;z-index:-251461632;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401.114pt;margin-top:317.522pt;mso-position-vertical-relative:page;mso-position-horizontal-relative:page;width:35.65pt;height:12.3pt;z-index:-251466752;" o:allowincell="f" fillcolor="#000000" filled="true" stroked="false" type="#_x0000_t136">
          <v:textpath style="font-family:&quot;FangSong&quot;;font-size:12;v-text-kern:t;mso-text-shadow:auto" string="448.28"/>
        </v:shape>
      </w:pict>
    </w:r>
    <w:r>
      <w:pict>
        <v:shape id="PowerPlusWaterMarkObject378" style="position:absolute;margin-left:-13.08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391.92pt;margin-top:288.105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13.08pt;margin-top:776.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PowerPlusWaterMarkObject386" style="position:absolute;margin-left:391.92pt;margin-top:776.106pt;mso-position-vertical-relative:page;mso-position-horizontal-relative:page;width:119.4pt;height:18.85pt;z-index:-251463680;rotation:330;" o:allowincell="f" fillcolor="#404040" filled="true" stroked="false" type="#_x0000_t136">
          <v:fill opacity="0.400000"/>
          <v:textpath style="font-family:&quot;STSong&quot;;font-size:20;v-text-kern:t;mso-text-shadow:auto" string="仅供内部审核"/>
        </v:shape>
      </w:pict>
    </w:r>
    <w:r>
      <w:pict>
        <v:shape id="_x0000_s388" style="position:absolute;margin-left:30pt;margin-top:29.5pt;mso-position-vertical-relative:page;mso-position-horizontal-relative:page;width:535pt;height:1pt;z-index:-2514626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392" style="position:absolute;margin-left:99.564pt;margin-top:64.7721pt;mso-position-vertical-relative:page;mso-position-horizontal-relative:page;width:35.95pt;height:12.3pt;z-index:-251451392;" o:allowincell="f" fillcolor="#000000" filled="true" stroked="false" type="#_x0000_t136">
          <v:textpath style="font-family:&quot;FangSong&quot;;font-size:12;v-text-kern:t;mso-text-shadow:auto" string="2026年"/>
        </v:shape>
      </w:pict>
    </w:r>
    <w:r>
      <w:pict>
        <v:shape id="PowerPlusWaterMarkObject394" style="position:absolute;margin-left:86.92pt;margin-top:27.7862pt;mso-position-vertical-relative:text;mso-position-horizontal-relative:text;width:119.4pt;height:18.85pt;z-index:-251447296;rotation:330;" fillcolor="#404040" filled="true" stroked="false" type="#_x0000_t136">
          <v:fill opacity="0.400000"/>
          <v:textpath style="font-family:&quot;STSong&quot;;font-size:20;v-text-kern:t;mso-text-shadow:auto" string="仅供内部审核"/>
        </v:shape>
      </w:pict>
    </w:r>
    <w:r>
      <w:pict>
        <v:shape id="PowerPlusWaterMarkObject396" style="position:absolute;margin-left:-13.08pt;margin-top:288.105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PowerPlusWaterMarkObject398" style="position:absolute;margin-left:-13.08pt;margin-top:776.106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473.147pt;margin-top:64.7721pt;mso-position-vertical-relative:page;mso-position-horizontal-relative:page;width:48.15pt;height:12.3pt;z-index:-251448320;" o:allowincell="f" fillcolor="#000000" filled="true" stroked="false" type="#_x0000_t136">
          <v:textpath style="font-family:&quot;FangSong&quot;;font-size:12;v-text-kern:t;mso-text-shadow:auto" string="448.28万"/>
        </v:shape>
      </w:pict>
    </w:r>
    <w:r>
      <w:pict>
        <v:shape id="PowerPlusWaterMarkObject402" style="position:absolute;margin-left:437.992pt;margin-top:295.022pt;mso-position-vertical-relative:page;mso-position-horizontal-relative:page;width:23.05pt;height:12.3pt;z-index:-251457536;" o:allowincell="f" fillcolor="#000000" filled="true" stroked="false" type="#_x0000_t136">
          <v:textpath style="font-family:&quot;FangSong&quot;;font-size:12;v-text-kern:t;mso-text-shadow:auto" string="年支"/>
        </v:shape>
      </w:pict>
    </w:r>
    <w:r>
      <w:pict>
        <v:shape id="PowerPlusWaterMarkObject404" style="position:absolute;margin-left:406.052pt;margin-top:317.522pt;mso-position-vertical-relative:page;mso-position-horizontal-relative:page;width:26.75pt;height:12.3pt;z-index:-251456512;" o:allowincell="f" fillcolor="#000000" filled="true" stroked="false" type="#_x0000_t136">
          <v:textpath style="font-family:&quot;FangSong&quot;;font-size:12;v-text-kern:t;mso-text-shadow:auto" string="39%；"/>
        </v:shape>
      </w:pict>
    </w:r>
    <w:r>
      <w:pict>
        <v:shape id="PowerPlusWaterMarkObject406" style="position:absolute;margin-left:485.958pt;margin-top:749.522pt;mso-position-vertical-relative:page;mso-position-horizontal-relative:page;width:23.05pt;height:12.3pt;z-index:-251454464;" o:allowincell="f" fillcolor="#000000" filled="true" stroked="false" type="#_x0000_t136">
          <v:textpath style="font-family:&quot;FangSong&quot;;font-size:12;v-text-kern:t;mso-text-shadow:auto" string="商品"/>
        </v:shape>
      </w:pict>
    </w:r>
    <w:r>
      <w:pict>
        <v:shape id="PowerPlusWaterMarkObject408" style="position:absolute;margin-left:491.92pt;margin-top:44.1055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391.92pt;margin-top:288.10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491.92pt;margin-top:532.106pt;mso-position-vertical-relative:page;mso-position-horizontal-relative:page;width:119.4pt;height:18.85pt;z-index:-251452416;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391.92pt;margin-top:776.106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_x0000_s416" style="position:absolute;margin-left:30pt;margin-top:29.5pt;mso-position-vertical-relative:page;mso-position-horizontal-relative:page;width:535pt;height:1pt;z-index:-2514503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20" style="position:absolute;margin-left:86.92pt;margin-top:27.7862pt;mso-position-vertical-relative:text;mso-position-horizontal-relative:text;width:119.4pt;height:18.85pt;z-index:-251436032;rotation:330;" fillcolor="#404040" filled="true" stroked="false" type="#_x0000_t136">
          <v:fill opacity="0.400000"/>
          <v:textpath style="font-family:&quot;STSong&quot;;font-size:20;v-text-kern:t;mso-text-shadow:auto" string="仅供内部审核"/>
        </v:shape>
      </w:pict>
    </w:r>
    <w:r>
      <w:pict>
        <v:shape id="PowerPlusWaterMarkObject422" style="position:absolute;margin-left:491.92pt;margin-top:44.1055pt;mso-position-vertical-relative:page;mso-position-horizontal-relative:page;width:119.4pt;height:18.85pt;z-index:-251437056;rotation:330;" o:allowincell="f" fillcolor="#404040" filled="true" stroked="false" type="#_x0000_t136">
          <v:fill opacity="0.400000"/>
          <v:textpath style="font-family:&quot;STSong&quot;;font-size:20;v-text-kern:t;mso-text-shadow:auto" string="仅供内部审核"/>
        </v:shape>
      </w:pict>
    </w:r>
    <w:r>
      <w:pict>
        <v:shape id="PowerPlusWaterMarkObject424" style="position:absolute;margin-left:447.911pt;margin-top:295.022pt;mso-position-vertical-relative:page;mso-position-horizontal-relative:page;width:23.6pt;height:12.3pt;z-index:-251443200;" o:allowincell="f" fillcolor="#000000" filled="true" stroked="false" type="#_x0000_t136">
          <v:textpath style="font-family:&quot;FangSong&quot;;font-size:12;v-text-kern:t;mso-text-shadow:auto" string="其中"/>
        </v:shape>
      </w:pict>
    </w:r>
    <w:r>
      <w:pict>
        <v:shape id="PowerPlusWaterMarkObject426" style="position:absolute;margin-left:407.524pt;margin-top:317.522pt;mso-position-vertical-relative:page;mso-position-horizontal-relative:page;width:29.25pt;height:12.3pt;z-index:-251444224;" o:allowincell="f" fillcolor="#000000" filled="true" stroked="false" type="#_x0000_t136">
          <v:textpath style="font-family:&quot;FangSong&quot;;font-size:12;v-text-kern:t;mso-text-shadow:auto" string="其中0"/>
        </v:shape>
      </w:pict>
    </w:r>
    <w:r>
      <w:pict>
        <v:shape id="PowerPlusWaterMarkObject428" style="position:absolute;margin-left:-13.08pt;margin-top:288.105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30" style="position:absolute;margin-left:391.92pt;margin-top:288.105pt;mso-position-vertical-relative:page;mso-position-horizontal-relative:page;width:119.4pt;height:18.85pt;z-index:-251445248;rotation:330;" o:allowincell="f" fillcolor="#404040" filled="true" stroked="false" type="#_x0000_t136">
          <v:fill opacity="0.400000"/>
          <v:textpath style="font-family:&quot;STSong&quot;;font-size:20;v-text-kern:t;mso-text-shadow:auto" string="仅供内部审核"/>
        </v:shape>
      </w:pict>
    </w:r>
    <w:r>
      <w:pict>
        <v:shape id="PowerPlusWaterMarkObject432" style="position:absolute;margin-left:86.92pt;margin-top:532.106pt;mso-position-vertical-relative:page;mso-position-horizontal-relative:page;width:119.4pt;height:18.85pt;z-index:-251442176;rotation:330;" o:allowincell="f" fillcolor="#404040" filled="true" stroked="false" type="#_x0000_t136">
          <v:fill opacity="0.400000"/>
          <v:textpath style="font-family:&quot;STSong&quot;;font-size:20;v-text-kern:t;mso-text-shadow:auto" string="仅供内部审核"/>
        </v:shape>
      </w:pict>
    </w:r>
    <w:r>
      <w:pict>
        <v:shape id="PowerPlusWaterMarkObject434" style="position:absolute;margin-left:491.92pt;margin-top:532.106pt;mso-position-vertical-relative:page;mso-position-horizontal-relative:page;width:119.4pt;height:18.85pt;z-index:-251441152;rotation:330;" o:allowincell="f" fillcolor="#404040" filled="true" stroked="false" type="#_x0000_t136">
          <v:fill opacity="0.400000"/>
          <v:textpath style="font-family:&quot;STSong&quot;;font-size:20;v-text-kern:t;mso-text-shadow:auto" string="仅供内部审核"/>
        </v:shape>
      </w:pict>
    </w:r>
    <w:r>
      <w:pict>
        <v:shape id="PowerPlusWaterMarkObject436" style="position:absolute;margin-left:-13.08pt;margin-top:776.106pt;mso-position-vertical-relative:page;mso-position-horizontal-relative:page;width:119.4pt;height:18.85pt;z-index:-251439104;rotation:330;" o:allowincell="f" fillcolor="#404040" filled="true" stroked="false" type="#_x0000_t136">
          <v:fill opacity="0.400000"/>
          <v:textpath style="font-family:&quot;STSong&quot;;font-size:20;v-text-kern:t;mso-text-shadow:auto" string="仅供内部审核"/>
        </v:shape>
      </w:pict>
    </w:r>
    <w:r>
      <w:pict>
        <v:shape id="PowerPlusWaterMarkObject438" style="position:absolute;margin-left:391.92pt;margin-top:776.106pt;mso-position-vertical-relative:page;mso-position-horizontal-relative:page;width:119.4pt;height:18.85pt;z-index:-251440128;rotation:330;" o:allowincell="f" fillcolor="#404040" filled="true" stroked="false" type="#_x0000_t136">
          <v:fill opacity="0.400000"/>
          <v:textpath style="font-family:&quot;STSong&quot;;font-size:20;v-text-kern:t;mso-text-shadow:auto" string="仅供内部审核"/>
        </v:shape>
      </w:pict>
    </w:r>
    <w:r>
      <w:pict>
        <v:shape id="_x0000_s440" style="position:absolute;margin-left:30pt;margin-top:29.5pt;mso-position-vertical-relative:page;mso-position-horizontal-relative:page;width:535pt;height:1pt;z-index:-2514380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42" style="position:absolute;margin-left:86.92pt;margin-top:27.7862pt;mso-position-vertical-relative:text;mso-position-horizontal-relative:text;width:119.4pt;height:18.85pt;z-index:-251428864;rotation:330;" fillcolor="#404040" filled="true" stroked="false" type="#_x0000_t136">
          <v:fill opacity="0.400000"/>
          <v:textpath style="font-family:&quot;STSong&quot;;font-size:20;v-text-kern:t;mso-text-shadow:auto" string="仅供内部审核"/>
        </v:shape>
      </w:pict>
    </w:r>
    <w:r>
      <w:pict>
        <v:shape id="PowerPlusWaterMarkObject444" style="position:absolute;margin-left:-13.08pt;margin-top:288.105pt;mso-position-vertical-relative:page;mso-position-horizontal-relative:page;width:119.4pt;height:18.85pt;z-index:-251431936;rotation:330;" o:allowincell="f" fillcolor="#404040" filled="true" stroked="false" type="#_x0000_t136">
          <v:fill opacity="0.400000"/>
          <v:textpath style="font-family:&quot;STSong&quot;;font-size:20;v-text-kern:t;mso-text-shadow:auto" string="仅供内部审核"/>
        </v:shape>
      </w:pict>
    </w:r>
    <w:r>
      <w:pict>
        <v:shape id="PowerPlusWaterMarkObject446" style="position:absolute;margin-left:491.92pt;margin-top:44.1055pt;mso-position-vertical-relative:page;mso-position-horizontal-relative:page;width:119.4pt;height:18.85pt;z-index:-251429888;rotation:330;" o:allowincell="f" fillcolor="#404040" filled="true" stroked="false" type="#_x0000_t136">
          <v:fill opacity="0.400000"/>
          <v:textpath style="font-family:&quot;STSong&quot;;font-size:20;v-text-kern:t;mso-text-shadow:auto" string="仅供内部审核"/>
        </v:shape>
      </w:pict>
    </w:r>
    <w:r>
      <w:pict>
        <v:shape id="PowerPlusWaterMarkObject448" style="position:absolute;margin-left:-13.08pt;margin-top:776.106pt;mso-position-vertical-relative:page;mso-position-horizontal-relative:page;width:119.4pt;height:18.85pt;z-index:-251432960;rotation:330;" o:allowincell="f" fillcolor="#404040" filled="true" stroked="false" type="#_x0000_t136">
          <v:fill opacity="0.400000"/>
          <v:textpath style="font-family:&quot;STSong&quot;;font-size:20;v-text-kern:t;mso-text-shadow:auto" string="仅供内部审核"/>
        </v:shape>
      </w:pict>
    </w:r>
    <w:r>
      <w:pict>
        <v:shape id="PowerPlusWaterMarkObject450" style="position:absolute;margin-left:491.92pt;margin-top:532.106pt;mso-position-vertical-relative:page;mso-position-horizontal-relative:page;width:119.4pt;height:18.85pt;z-index:-251435008;rotation:330;" o:allowincell="f" fillcolor="#404040" filled="true" stroked="false" type="#_x0000_t136">
          <v:fill opacity="0.400000"/>
          <v:textpath style="font-family:&quot;STSong&quot;;font-size:20;v-text-kern:t;mso-text-shadow:auto" string="仅供内部审核"/>
        </v:shape>
      </w:pict>
    </w:r>
    <w:r>
      <w:pict>
        <v:shape id="PowerPlusWaterMarkObject452" style="position:absolute;margin-left:391.92pt;margin-top:776.106pt;mso-position-vertical-relative:page;mso-position-horizontal-relative:page;width:119.4pt;height:18.85pt;z-index:-251433984;rotation:330;" o:allowincell="f" fillcolor="#404040" filled="true" stroked="false" type="#_x0000_t136">
          <v:fill opacity="0.400000"/>
          <v:textpath style="font-family:&quot;STSong&quot;;font-size:20;v-text-kern:t;mso-text-shadow:auto" string="仅供内部审核"/>
        </v:shape>
      </w:pict>
    </w:r>
    <w:r>
      <w:pict>
        <v:shape id="_x0000_s454" style="position:absolute;margin-left:30pt;margin-top:29.5pt;mso-position-vertical-relative:page;mso-position-horizontal-relative:page;width:535pt;height:1pt;z-index:-2514309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496" style="position:absolute;margin-left:86.92pt;margin-top:27.7862pt;mso-position-vertical-relative:text;mso-position-horizontal-relative:text;width:119.4pt;height:18.85pt;z-index:-251424768;rotation:330;" fillcolor="#404040" filled="true" stroked="false" type="#_x0000_t136">
          <v:fill opacity="0.400000"/>
          <v:textpath style="font-family:&quot;STSong&quot;;font-size:20;v-text-kern:t;mso-text-shadow:auto" string="仅供内部审核"/>
        </v:shape>
      </w:pict>
    </w:r>
    <w:r>
      <w:pict>
        <v:shape id="PowerPlusWaterMarkObject498" style="position:absolute;margin-left:-13.08pt;margin-top:776.106pt;mso-position-vertical-relative:page;mso-position-horizontal-relative:page;width:119.4pt;height:18.85pt;z-index:-251426816;rotation:330;" o:allowincell="f" fillcolor="#404040" filled="true" stroked="false" type="#_x0000_t136">
          <v:fill opacity="0.400000"/>
          <v:textpath style="font-family:&quot;STSong&quot;;font-size:20;v-text-kern:t;mso-text-shadow:auto" string="仅供内部审核"/>
        </v:shape>
      </w:pict>
    </w:r>
    <w:r>
      <w:pict>
        <v:shape id="PowerPlusWaterMarkObject500" style="position:absolute;margin-left:391.92pt;margin-top:776.106pt;mso-position-vertical-relative:page;mso-position-horizontal-relative:page;width:119.4pt;height:18.85pt;z-index:-251427840;rotation:330;" o:allowincell="f" fillcolor="#404040" filled="true" stroked="false" type="#_x0000_t136">
          <v:fill opacity="0.400000"/>
          <v:textpath style="font-family:&quot;STSong&quot;;font-size:20;v-text-kern:t;mso-text-shadow:auto" string="仅供内部审核"/>
        </v:shape>
      </w:pict>
    </w:r>
    <w:r>
      <w:pict>
        <v:shape id="_x0000_s502" style="position:absolute;margin-left:30pt;margin-top:29.5pt;mso-position-vertical-relative:page;mso-position-horizontal-relative:page;width:535pt;height:1pt;z-index:-2514257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514" style="position:absolute;margin-left:86.92pt;margin-top:27.7862pt;mso-position-vertical-relative:text;mso-position-horizontal-relative:text;width:119.4pt;height:18.85pt;z-index:-251415552;rotation:330;" fillcolor="#404040" filled="true" stroked="false" type="#_x0000_t136">
          <v:fill opacity="0.400000"/>
          <v:textpath style="font-family:&quot;STSong&quot;;font-size:20;v-text-kern:t;mso-text-shadow:auto" string="仅供内部审核"/>
        </v:shape>
      </w:pict>
    </w:r>
    <w:r>
      <w:pict>
        <v:shape id="PowerPlusWaterMarkObject516" style="position:absolute;margin-left:-13.08pt;margin-top:288.105pt;mso-position-vertical-relative:page;mso-position-horizontal-relative:page;width:119.4pt;height:18.85pt;z-index:-251423744;rotation:330;" o:allowincell="f" fillcolor="#404040" filled="true" stroked="false" type="#_x0000_t136">
          <v:fill opacity="0.400000"/>
          <v:textpath style="font-family:&quot;STSong&quot;;font-size:20;v-text-kern:t;mso-text-shadow:auto" string="仅供内部审核"/>
        </v:shape>
      </w:pict>
    </w:r>
    <w:r>
      <w:pict>
        <v:shape id="PowerPlusWaterMarkObject518" style="position:absolute;margin-left:491.92pt;margin-top:44.1055pt;mso-position-vertical-relative:page;mso-position-horizontal-relative:page;width:119.4pt;height:18.85pt;z-index:-251416576;rotation:330;" o:allowincell="f" fillcolor="#404040" filled="true" stroked="false" type="#_x0000_t136">
          <v:fill opacity="0.400000"/>
          <v:textpath style="font-family:&quot;STSong&quot;;font-size:20;v-text-kern:t;mso-text-shadow:auto" string="仅供内部审核"/>
        </v:shape>
      </w:pict>
    </w:r>
    <w:r>
      <w:pict>
        <v:shape id="PowerPlusWaterMarkObject520" style="position:absolute;margin-left:391.92pt;margin-top:288.105pt;mso-position-vertical-relative:page;mso-position-horizontal-relative:page;width:119.4pt;height:18.85pt;z-index:-251422720;rotation:330;" o:allowincell="f" fillcolor="#404040" filled="true" stroked="false" type="#_x0000_t136">
          <v:fill opacity="0.400000"/>
          <v:textpath style="font-family:&quot;STSong&quot;;font-size:20;v-text-kern:t;mso-text-shadow:auto" string="仅供内部审核"/>
        </v:shape>
      </w:pict>
    </w:r>
    <w:r>
      <w:pict>
        <v:shape id="PowerPlusWaterMarkObject522" style="position:absolute;margin-left:86.92pt;margin-top:532.106pt;mso-position-vertical-relative:page;mso-position-horizontal-relative:page;width:119.4pt;height:18.85pt;z-index:-251421696;rotation:330;" o:allowincell="f" fillcolor="#404040" filled="true" stroked="false" type="#_x0000_t136">
          <v:fill opacity="0.400000"/>
          <v:textpath style="font-family:&quot;STSong&quot;;font-size:20;v-text-kern:t;mso-text-shadow:auto" string="仅供内部审核"/>
        </v:shape>
      </w:pict>
    </w:r>
    <w:r>
      <w:pict>
        <v:shape id="PowerPlusWaterMarkObject524" style="position:absolute;margin-left:-13.08pt;margin-top:776.106pt;mso-position-vertical-relative:page;mso-position-horizontal-relative:page;width:119.4pt;height:18.85pt;z-index:-251419648;rotation:330;" o:allowincell="f" fillcolor="#404040" filled="true" stroked="false" type="#_x0000_t136">
          <v:fill opacity="0.400000"/>
          <v:textpath style="font-family:&quot;STSong&quot;;font-size:20;v-text-kern:t;mso-text-shadow:auto" string="仅供内部审核"/>
        </v:shape>
      </w:pict>
    </w:r>
    <w:r>
      <w:pict>
        <v:shape id="PowerPlusWaterMarkObject526" style="position:absolute;margin-left:491.92pt;margin-top:532.106pt;mso-position-vertical-relative:page;mso-position-horizontal-relative:page;width:119.4pt;height:18.85pt;z-index:-251420672;rotation:330;" o:allowincell="f" fillcolor="#404040" filled="true" stroked="false" type="#_x0000_t136">
          <v:fill opacity="0.400000"/>
          <v:textpath style="font-family:&quot;STSong&quot;;font-size:20;v-text-kern:t;mso-text-shadow:auto" string="仅供内部审核"/>
        </v:shape>
      </w:pict>
    </w:r>
    <w:r>
      <w:pict>
        <v:shape id="PowerPlusWaterMarkObject528" style="position:absolute;margin-left:391.92pt;margin-top:776.106pt;mso-position-vertical-relative:page;mso-position-horizontal-relative:page;width:119.4pt;height:18.85pt;z-index:-251418624;rotation:330;" o:allowincell="f" fillcolor="#404040" filled="true" stroked="false" type="#_x0000_t136">
          <v:fill opacity="0.400000"/>
          <v:textpath style="font-family:&quot;STSong&quot;;font-size:20;v-text-kern:t;mso-text-shadow:auto" string="仅供内部审核"/>
        </v:shape>
      </w:pict>
    </w:r>
    <w:r>
      <w:pict>
        <v:shape id="_x0000_s530" style="position:absolute;margin-left:30pt;margin-top:29.5pt;mso-position-vertical-relative:page;mso-position-horizontal-relative:page;width:535pt;height:1pt;z-index:-2514176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13.08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长治高新区老顶山物流园事业服务中心2026年部门预算公开报告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45.0434pt;margin-top:406.395pt;mso-position-vertical-relative:page;mso-position-horizontal-relative:page;width:609.35pt;height:22.25pt;z-index:-2516060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08" style="position:absolute;margin-left:638.92pt;margin-top:529.106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2" style="position:absolute;margin-left:86.92pt;margin-top:287.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长治高新区老顶山物流园事业服务中心2026年部门预算公开报告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_x0000_s120"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pict>
        <v:shape id="PowerPlusWaterMarkObject122" style="position:absolute;margin-left:86.92pt;margin-top:532.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WordPictureWatermark124"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6"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13.08pt;margin-top:288.105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86.92pt;margin-top:27.7862pt;mso-position-vertical-relative:text;mso-position-horizontal-relative:text;width:119.4pt;height:18.85pt;z-index:-25158963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长治高新区老顶山物流园事业服务中心2026年部门预算公开报告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27" w:lineRule="auto"/>
      <w:rPr>
        <w:rFonts w:ascii="STSong" w:hAnsi="STSong" w:eastAsia="STSong" w:cs="STSong"/>
        <w:sz w:val="16"/>
        <w:szCs w:val="16"/>
      </w:rPr>
    </w:pPr>
    <w:r>
      <w:pict>
        <v:shape id="PowerPlusWaterMarkObject138"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405.388pt;margin-top:325.754pt;mso-position-vertical-relative:page;mso-position-horizontal-relative:page;width:7.65pt;height:7.9pt;z-index:-251584512;" o:allowincell="f" fillcolor="#212529" filled="true" stroked="false" type="#_x0000_t136">
          <v:textpath style="font-family:&quot;SimSun&quot;;font-size:7.5;v-text-kern:t;mso-text-shadow:auto" string="66"/>
        </v:shape>
      </w:pict>
    </w:r>
    <w:r>
      <w:pict>
        <v:shape id="PowerPlusWaterMarkObject146" style="position:absolute;margin-left:-13.08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长治高新区老顶山物流园事业服务中心2026年部门预算公开报告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6.xml"/><Relationship Id="rId72" Type="http://schemas.openxmlformats.org/officeDocument/2006/relationships/fontTable" Target="fontTable.xml"/><Relationship Id="rId71" Type="http://schemas.openxmlformats.org/officeDocument/2006/relationships/styles" Target="styles.xml"/><Relationship Id="rId70" Type="http://schemas.openxmlformats.org/officeDocument/2006/relationships/settings" Target="settings.xml"/><Relationship Id="rId7" Type="http://schemas.openxmlformats.org/officeDocument/2006/relationships/footer" Target="footer2.xml"/><Relationship Id="rId69" Type="http://schemas.openxmlformats.org/officeDocument/2006/relationships/footer" Target="footer32.xml"/><Relationship Id="rId68" Type="http://schemas.openxmlformats.org/officeDocument/2006/relationships/header" Target="header24.xml"/><Relationship Id="rId67" Type="http://schemas.openxmlformats.org/officeDocument/2006/relationships/image" Target="media/image14.png"/><Relationship Id="rId66" Type="http://schemas.openxmlformats.org/officeDocument/2006/relationships/footer" Target="footer31.xml"/><Relationship Id="rId65" Type="http://schemas.openxmlformats.org/officeDocument/2006/relationships/header" Target="header23.xml"/><Relationship Id="rId64" Type="http://schemas.openxmlformats.org/officeDocument/2006/relationships/footer" Target="footer30.xml"/><Relationship Id="rId63" Type="http://schemas.openxmlformats.org/officeDocument/2006/relationships/image" Target="media/image13.png"/><Relationship Id="rId62" Type="http://schemas.openxmlformats.org/officeDocument/2006/relationships/footer" Target="footer29.xml"/><Relationship Id="rId61" Type="http://schemas.openxmlformats.org/officeDocument/2006/relationships/image" Target="media/image12.png"/><Relationship Id="rId60" Type="http://schemas.openxmlformats.org/officeDocument/2006/relationships/footer" Target="footer28.xml"/><Relationship Id="rId6" Type="http://schemas.openxmlformats.org/officeDocument/2006/relationships/header" Target="header5.xml"/><Relationship Id="rId59" Type="http://schemas.openxmlformats.org/officeDocument/2006/relationships/image" Target="media/image11.png"/><Relationship Id="rId58" Type="http://schemas.openxmlformats.org/officeDocument/2006/relationships/footer" Target="footer27.xml"/><Relationship Id="rId57" Type="http://schemas.openxmlformats.org/officeDocument/2006/relationships/image" Target="media/image10.png"/><Relationship Id="rId56" Type="http://schemas.openxmlformats.org/officeDocument/2006/relationships/footer" Target="footer26.xml"/><Relationship Id="rId55" Type="http://schemas.openxmlformats.org/officeDocument/2006/relationships/image" Target="media/image9.png"/><Relationship Id="rId54" Type="http://schemas.openxmlformats.org/officeDocument/2006/relationships/footer" Target="footer25.xml"/><Relationship Id="rId53" Type="http://schemas.openxmlformats.org/officeDocument/2006/relationships/image" Target="media/image8.png"/><Relationship Id="rId52" Type="http://schemas.openxmlformats.org/officeDocument/2006/relationships/footer" Target="footer24.xml"/><Relationship Id="rId51" Type="http://schemas.openxmlformats.org/officeDocument/2006/relationships/image" Target="media/image7.png"/><Relationship Id="rId50" Type="http://schemas.openxmlformats.org/officeDocument/2006/relationships/footer" Target="footer23.xml"/><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footer" Target="footer22.xml"/><Relationship Id="rId47" Type="http://schemas.openxmlformats.org/officeDocument/2006/relationships/image" Target="media/image5.png"/><Relationship Id="rId46" Type="http://schemas.openxmlformats.org/officeDocument/2006/relationships/footer" Target="footer21.xml"/><Relationship Id="rId45" Type="http://schemas.openxmlformats.org/officeDocument/2006/relationships/image" Target="media/image4.png"/><Relationship Id="rId44" Type="http://schemas.openxmlformats.org/officeDocument/2006/relationships/footer" Target="footer20.xml"/><Relationship Id="rId43" Type="http://schemas.openxmlformats.org/officeDocument/2006/relationships/header" Target="header22.xml"/><Relationship Id="rId42" Type="http://schemas.openxmlformats.org/officeDocument/2006/relationships/footer" Target="footer19.xml"/><Relationship Id="rId41" Type="http://schemas.openxmlformats.org/officeDocument/2006/relationships/header" Target="header21.xml"/><Relationship Id="rId40" Type="http://schemas.openxmlformats.org/officeDocument/2006/relationships/image" Target="media/image3.png"/><Relationship Id="rId4" Type="http://schemas.openxmlformats.org/officeDocument/2006/relationships/header" Target="header4.xml"/><Relationship Id="rId39" Type="http://schemas.openxmlformats.org/officeDocument/2006/relationships/footer" Target="footer18.xml"/><Relationship Id="rId38" Type="http://schemas.openxmlformats.org/officeDocument/2006/relationships/header" Target="header20.xml"/><Relationship Id="rId37" Type="http://schemas.openxmlformats.org/officeDocument/2006/relationships/image" Target="media/image2.png"/><Relationship Id="rId36" Type="http://schemas.openxmlformats.org/officeDocument/2006/relationships/footer" Target="footer17.xml"/><Relationship Id="rId35" Type="http://schemas.openxmlformats.org/officeDocument/2006/relationships/header" Target="header19.xml"/><Relationship Id="rId34" Type="http://schemas.openxmlformats.org/officeDocument/2006/relationships/footer" Target="footer16.xml"/><Relationship Id="rId33" Type="http://schemas.openxmlformats.org/officeDocument/2006/relationships/header" Target="header18.xml"/><Relationship Id="rId32" Type="http://schemas.openxmlformats.org/officeDocument/2006/relationships/footer" Target="footer15.xml"/><Relationship Id="rId31" Type="http://schemas.openxmlformats.org/officeDocument/2006/relationships/header" Target="header17.xml"/><Relationship Id="rId30" Type="http://schemas.openxmlformats.org/officeDocument/2006/relationships/footer" Target="footer14.xml"/><Relationship Id="rId3" Type="http://schemas.openxmlformats.org/officeDocument/2006/relationships/header" Target="header3.xml"/><Relationship Id="rId29" Type="http://schemas.openxmlformats.org/officeDocument/2006/relationships/header" Target="header16.xml"/><Relationship Id="rId28" Type="http://schemas.openxmlformats.org/officeDocument/2006/relationships/footer" Target="footer13.xml"/><Relationship Id="rId27" Type="http://schemas.openxmlformats.org/officeDocument/2006/relationships/header" Target="header15.xml"/><Relationship Id="rId26" Type="http://schemas.openxmlformats.org/officeDocument/2006/relationships/footer" Target="footer12.xml"/><Relationship Id="rId25" Type="http://schemas.openxmlformats.org/officeDocument/2006/relationships/header" Target="header14.xml"/><Relationship Id="rId24" Type="http://schemas.openxmlformats.org/officeDocument/2006/relationships/footer" Target="footer11.xml"/><Relationship Id="rId23" Type="http://schemas.openxmlformats.org/officeDocument/2006/relationships/header" Target="header13.xml"/><Relationship Id="rId22" Type="http://schemas.openxmlformats.org/officeDocument/2006/relationships/footer" Target="footer10.xml"/><Relationship Id="rId21" Type="http://schemas.openxmlformats.org/officeDocument/2006/relationships/header" Target="header12.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7.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2026-02-26T11:08:18Z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2026-02-26T15:45:35</vt:filetime>
  </property>
</Properties>
</file>