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spacing w:before="159" w:line="198" w:lineRule="auto"/>
        <w:jc w:val="right"/>
        <w:rPr>
          <w:rFonts w:ascii="STZhongsong" w:hAnsi="STZhongsong" w:eastAsia="STZhongsong" w:cs="STZhongsong"/>
          <w:sz w:val="43"/>
          <w:szCs w:val="43"/>
        </w:rPr>
      </w:pPr>
      <w:r>
        <w:rPr>
          <w:rFonts w:ascii="STZhongsong" w:hAnsi="STZhongsong" w:eastAsia="STZhongsong" w:cs="STZhongsong"/>
          <w:sz w:val="43"/>
          <w:szCs w:val="43"/>
          <w:spacing w:val="102"/>
        </w:rPr>
        <w:t>长治市规划和自然资源局开发区分局</w:t>
      </w:r>
    </w:p>
    <w:p>
      <w:pPr>
        <w:pStyle w:val="BodyText"/>
        <w:spacing w:line="349" w:lineRule="auto"/>
        <w:rPr/>
      </w:pPr>
      <w:r/>
    </w:p>
    <w:p>
      <w:pPr>
        <w:ind w:left="141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2 0 2 6</w:t>
      </w:r>
      <w:r>
        <w:rPr>
          <w:rFonts w:ascii="STZhongsong" w:hAnsi="STZhongsong" w:eastAsia="STZhongsong" w:cs="STZhongsong"/>
          <w:sz w:val="43"/>
          <w:szCs w:val="43"/>
          <w:spacing w:val="-14"/>
          <w:position w:val="8"/>
        </w:rPr>
        <w:t xml:space="preserve"> </w:t>
      </w:r>
      <w:r>
        <w:rPr>
          <w:rFonts w:ascii="STZhongsong" w:hAnsi="STZhongsong" w:eastAsia="STZhongsong" w:cs="STZhongsong"/>
          <w:sz w:val="43"/>
          <w:szCs w:val="43"/>
          <w:spacing w:val="-12"/>
          <w:position w:val="8"/>
        </w:rPr>
        <w:t>年</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 开</w:t>
      </w:r>
    </w:p>
    <w:p>
      <w:pPr>
        <w:spacing w:line="676" w:lineRule="exact"/>
        <w:sectPr>
          <w:pgSz w:w="11900" w:h="16840"/>
          <w:pgMar w:top="1431" w:right="1718" w:bottom="0" w:left="1659" w:header="0" w:footer="0" w:gutter="0"/>
        </w:sectPr>
        <w:rPr>
          <w:rFonts w:ascii="STZhongsong" w:hAnsi="STZhongsong" w:eastAsia="STZhongsong" w:cs="STZhongsong"/>
          <w:sz w:val="43"/>
          <w:szCs w:val="43"/>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3" w:line="222"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6"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2"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2026年部门预算报表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表一2026年预算收支总表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表二2026年预算收入总表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5"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表三2026年预算支出总表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1"/>
              </w:rPr>
              <w:t xml:space="preserve"> </w:t>
            </w:r>
            <w:r>
              <w:rPr>
                <w:rFonts w:ascii="FangSong" w:hAnsi="FangSong" w:eastAsia="FangSong" w:cs="FangSong"/>
                <w:sz w:val="32"/>
                <w:szCs w:val="32"/>
                <w:spacing w:val="-14"/>
              </w:rPr>
              <w:t>6</w:t>
            </w:r>
          </w:hyperlink>
        </w:p>
        <w:p>
          <w:pPr>
            <w:ind w:left="640"/>
            <w:spacing w:before="117"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表四2026年财政拨款收支总表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19"/>
              </w:rPr>
              <w:t>7</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表五2026年一般公共预算支出预算表（不含上年结转）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表六2026年一般公共预算安排基本支出分经济科目表（不含</w:t>
            </w:r>
          </w:hyperlink>
        </w:p>
        <w:p>
          <w:pPr>
            <w:spacing w:before="116"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10</w:t>
            </w:r>
          </w:hyperlink>
        </w:p>
        <w:p>
          <w:pPr>
            <w:ind w:left="640"/>
            <w:spacing w:before="121"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表七2026年政府性基金预算收入表（不含上年结转）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表八2026年政府性基金预算支出表（不含上年结转）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12</w:t>
            </w:r>
          </w:hyperlink>
        </w:p>
      </w:sdtContent>
    </w:sdt>
    <w:p>
      <w:pPr>
        <w:ind w:left="640"/>
        <w:spacing w:before="120" w:line="222" w:lineRule="auto"/>
        <w:rPr>
          <w:rFonts w:ascii="FangSong" w:hAnsi="FangSong" w:eastAsia="FangSong" w:cs="FangSong"/>
          <w:sz w:val="32"/>
          <w:szCs w:val="32"/>
        </w:rPr>
      </w:pPr>
      <w:r>
        <w:rPr>
          <w:rFonts w:ascii="FangSong" w:hAnsi="FangSong" w:eastAsia="FangSong" w:cs="FangSong"/>
          <w:sz w:val="32"/>
          <w:szCs w:val="32"/>
          <w:spacing w:val="-1"/>
        </w:rPr>
        <w:t>表九2026年国有资本经营预算收支预算表（不含上年结</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
            <w:spacing w:before="116" w:line="219"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3"/>
              </w:rPr>
              <w:t>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13</w:t>
            </w:r>
          </w:hyperlink>
        </w:p>
        <w:p>
          <w:pPr>
            <w:ind w:left="640"/>
            <w:spacing w:before="120" w:line="222"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表十2026年财政拨款安排“三公”经费支出预算表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13</w:t>
            </w:r>
          </w:hyperlink>
        </w:p>
        <w:p>
          <w:pPr>
            <w:ind w:left="640"/>
            <w:spacing w:before="115" w:line="221"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1"/>
              </w:rPr>
              <w:t>表十一2026年财政拨款安排机关运行经费预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7" w:line="222"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表十二2026年项目支出预算表（本年预算）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640"/>
            <w:spacing w:before="115" w:line="219"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spacing w:val="-2"/>
              </w:rPr>
              <w:t>表十三2026年项目支出预算表（上年结转）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17</w:t>
            </w:r>
          </w:hyperlink>
        </w:p>
        <w:p>
          <w:pPr>
            <w:ind w:left="11"/>
            <w:spacing w:before="120" w:line="222"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2026年度部门预算情况说明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1"/>
              </w:rPr>
              <w:t>18</w:t>
            </w:r>
          </w:hyperlink>
        </w:p>
        <w:p>
          <w:pPr>
            <w:ind w:left="642"/>
            <w:spacing w:before="116"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18</w:t>
            </w:r>
          </w:hyperlink>
        </w:p>
        <w:p>
          <w:pPr>
            <w:ind w:left="647"/>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18</w:t>
            </w:r>
          </w:hyperlink>
        </w:p>
        <w:p>
          <w:pPr>
            <w:ind w:left="646"/>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18</w:t>
            </w:r>
          </w:hyperlink>
        </w:p>
        <w:p>
          <w:pPr>
            <w:ind w:left="675"/>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18</w:t>
            </w:r>
          </w:hyperlink>
        </w:p>
        <w:p>
          <w:pPr>
            <w:ind w:left="642"/>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19</w:t>
            </w:r>
          </w:hyperlink>
        </w:p>
        <w:p>
          <w:pPr>
            <w:ind w:left="640"/>
            <w:spacing w:before="116" w:line="222"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19</w:t>
            </w:r>
          </w:hyperlink>
        </w:p>
        <w:p>
          <w:pPr>
            <w:ind w:left="643"/>
            <w:spacing w:before="116" w:line="223"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19</w:t>
            </w:r>
          </w:hyperlink>
        </w:p>
        <w:p>
          <w:pPr>
            <w:ind w:left="636"/>
            <w:spacing w:before="113" w:line="221" w:lineRule="auto"/>
            <w:tabs>
              <w:tab w:val="right" w:leader="dot" w:pos="9235"/>
            </w:tabs>
            <w:rPr>
              <w:rFonts w:ascii="FangSong" w:hAnsi="FangSong" w:eastAsia="FangSong" w:cs="FangSong"/>
              <w:sz w:val="32"/>
              <w:szCs w:val="32"/>
            </w:rPr>
          </w:pPr>
          <w:hyperlink w:history="true" w:anchor="bookmark28">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20</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20</w:t>
            </w:r>
          </w:hyperlink>
        </w:p>
        <w:p>
          <w:pPr>
            <w:ind w:left="635"/>
            <w:spacing w:before="115"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1"/>
              </w:rPr>
              <w:t xml:space="preserve"> </w:t>
            </w:r>
            <w:r>
              <w:rPr>
                <w:rFonts w:ascii="FangSong" w:hAnsi="FangSong" w:eastAsia="FangSong" w:cs="FangSong"/>
                <w:sz w:val="32"/>
                <w:szCs w:val="32"/>
                <w:spacing w:val="-10"/>
              </w:rPr>
              <w:t>79</w:t>
            </w:r>
          </w:hyperlink>
        </w:p>
        <w:p>
          <w:pPr>
            <w:ind w:left="635"/>
            <w:spacing w:before="113" w:line="222"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0"/>
              </w:rPr>
              <w:t>79</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10"/>
              </w:rPr>
              <w:t>79</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0"/>
              </w:rPr>
              <w:t>79</w:t>
            </w:r>
          </w:hyperlink>
        </w:p>
        <w:p>
          <w:pPr>
            <w:spacing w:before="116" w:line="222" w:lineRule="auto"/>
            <w:tabs>
              <w:tab w:val="right" w:leader="dot" w:pos="9225"/>
            </w:tabs>
            <w:rPr>
              <w:rFonts w:ascii="FangSong" w:hAnsi="FangSong" w:eastAsia="FangSong" w:cs="FangSong"/>
              <w:sz w:val="32"/>
              <w:szCs w:val="32"/>
            </w:rPr>
          </w:pPr>
          <w:hyperlink w:history="true" w:anchor="bookmark35">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8"/>
              </w:rPr>
              <w:t xml:space="preserve"> </w:t>
            </w:r>
            <w:r>
              <w:rPr>
                <w:rFonts w:ascii="FangSong" w:hAnsi="FangSong" w:eastAsia="FangSong" w:cs="FangSong"/>
                <w:sz w:val="32"/>
                <w:szCs w:val="32"/>
                <w:b/>
                <w:bCs/>
                <w:spacing w:val="-10"/>
              </w:rPr>
              <w:t>81</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4587"/>
        <w:spacing w:before="99" w:line="238" w:lineRule="exact"/>
        <w:outlineLvl w:val="0"/>
        <w:rPr>
          <w:rFonts w:ascii="Microsoft YaHei" w:hAnsi="Microsoft YaHei" w:eastAsia="Microsoft YaHei" w:cs="Microsoft YaHei"/>
          <w:sz w:val="23"/>
          <w:szCs w:val="23"/>
        </w:rPr>
      </w:pPr>
      <w:bookmarkStart w:name="bookmark36"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60" w:lineRule="auto"/>
        <w:rPr/>
      </w:pPr>
      <w:r/>
    </w:p>
    <w:p>
      <w:pPr>
        <w:ind w:left="913"/>
        <w:spacing w:before="98" w:line="239" w:lineRule="exact"/>
        <w:outlineLvl w:val="1"/>
        <w:rPr>
          <w:rFonts w:ascii="Microsoft YaHei" w:hAnsi="Microsoft YaHei" w:eastAsia="Microsoft YaHei" w:cs="Microsoft YaHei"/>
          <w:sz w:val="23"/>
          <w:szCs w:val="23"/>
        </w:rPr>
      </w:pPr>
      <w:bookmarkStart w:name="bookmark3" w:id="4"/>
      <w:bookmarkEnd w:id="4"/>
      <w:r>
        <w:rPr>
          <w:rFonts w:ascii="Microsoft YaHei" w:hAnsi="Microsoft YaHei" w:eastAsia="Microsoft YaHei" w:cs="Microsoft YaHei"/>
          <w:sz w:val="23"/>
          <w:szCs w:val="23"/>
          <w:spacing w:val="7"/>
          <w:position w:val="-1"/>
        </w:rPr>
        <w:t>一、本部门职责</w:t>
      </w:r>
    </w:p>
    <w:p>
      <w:pPr>
        <w:ind w:left="939" w:right="874" w:hanging="24"/>
        <w:spacing w:before="260" w:line="290" w:lineRule="auto"/>
        <w:rPr>
          <w:rFonts w:ascii="FangSong" w:hAnsi="FangSong" w:eastAsia="FangSong" w:cs="FangSong"/>
          <w:sz w:val="24"/>
          <w:szCs w:val="24"/>
        </w:rPr>
      </w:pPr>
      <w:r>
        <w:rPr>
          <w:rFonts w:ascii="FangSong" w:hAnsi="FangSong" w:eastAsia="FangSong" w:cs="FangSong"/>
          <w:sz w:val="24"/>
          <w:szCs w:val="24"/>
          <w:spacing w:val="-1"/>
        </w:rPr>
        <w:t>（一）负责“</w:t>
      </w:r>
      <w:r>
        <w:rPr>
          <w:rFonts w:ascii="FangSong" w:hAnsi="FangSong" w:eastAsia="FangSong" w:cs="FangSong"/>
          <w:sz w:val="24"/>
          <w:szCs w:val="24"/>
          <w:spacing w:val="-89"/>
        </w:rPr>
        <w:t xml:space="preserve"> </w:t>
      </w:r>
      <w:r>
        <w:rPr>
          <w:rFonts w:ascii="FangSong" w:hAnsi="FangSong" w:eastAsia="FangSong" w:cs="FangSong"/>
          <w:sz w:val="24"/>
          <w:szCs w:val="24"/>
          <w:spacing w:val="-1"/>
        </w:rPr>
        <w:t>两区</w:t>
      </w:r>
      <w:r>
        <w:rPr>
          <w:rFonts w:ascii="FangSong" w:hAnsi="FangSong" w:eastAsia="FangSong" w:cs="FangSong"/>
          <w:sz w:val="24"/>
          <w:szCs w:val="24"/>
          <w:spacing w:val="-86"/>
        </w:rPr>
        <w:t xml:space="preserve"> </w:t>
      </w:r>
      <w:r>
        <w:rPr>
          <w:rFonts w:ascii="FangSong" w:hAnsi="FangSong" w:eastAsia="FangSong" w:cs="FangSong"/>
          <w:sz w:val="24"/>
          <w:szCs w:val="24"/>
          <w:spacing w:val="-1"/>
        </w:rPr>
        <w:t>”规划范围土地的划拨、出让（非商品房项目用地）、租赁、作价</w:t>
      </w:r>
      <w:r>
        <w:rPr>
          <w:rFonts w:ascii="FangSong" w:hAnsi="FangSong" w:eastAsia="FangSong" w:cs="FangSong"/>
          <w:sz w:val="24"/>
          <w:szCs w:val="24"/>
          <w:spacing w:val="-5"/>
        </w:rPr>
        <w:t>出资和储备，负责对已供土地的批后监管；</w:t>
      </w:r>
    </w:p>
    <w:p>
      <w:pPr>
        <w:ind w:left="920" w:right="874" w:hanging="5"/>
        <w:spacing w:before="175" w:line="284" w:lineRule="auto"/>
        <w:rPr>
          <w:rFonts w:ascii="FangSong" w:hAnsi="FangSong" w:eastAsia="FangSong" w:cs="FangSong"/>
          <w:sz w:val="24"/>
          <w:szCs w:val="24"/>
        </w:rPr>
      </w:pPr>
      <w:r>
        <w:rPr>
          <w:rFonts w:ascii="FangSong" w:hAnsi="FangSong" w:eastAsia="FangSong" w:cs="FangSong"/>
          <w:sz w:val="24"/>
          <w:szCs w:val="24"/>
          <w:spacing w:val="-1"/>
        </w:rPr>
        <w:t>（二）负责“</w:t>
      </w:r>
      <w:r>
        <w:rPr>
          <w:rFonts w:ascii="FangSong" w:hAnsi="FangSong" w:eastAsia="FangSong" w:cs="FangSong"/>
          <w:sz w:val="24"/>
          <w:szCs w:val="24"/>
          <w:spacing w:val="-89"/>
        </w:rPr>
        <w:t xml:space="preserve"> </w:t>
      </w:r>
      <w:r>
        <w:rPr>
          <w:rFonts w:ascii="FangSong" w:hAnsi="FangSong" w:eastAsia="FangSong" w:cs="FangSong"/>
          <w:sz w:val="24"/>
          <w:szCs w:val="24"/>
          <w:spacing w:val="-1"/>
        </w:rPr>
        <w:t>两区</w:t>
      </w:r>
      <w:r>
        <w:rPr>
          <w:rFonts w:ascii="FangSong" w:hAnsi="FangSong" w:eastAsia="FangSong" w:cs="FangSong"/>
          <w:sz w:val="24"/>
          <w:szCs w:val="24"/>
          <w:spacing w:val="-86"/>
        </w:rPr>
        <w:t xml:space="preserve"> </w:t>
      </w:r>
      <w:r>
        <w:rPr>
          <w:rFonts w:ascii="FangSong" w:hAnsi="FangSong" w:eastAsia="FangSong" w:cs="FangSong"/>
          <w:sz w:val="24"/>
          <w:szCs w:val="24"/>
          <w:spacing w:val="-1"/>
        </w:rPr>
        <w:t>”规划范围内土地的合理开发利用。开展土地利用评价考核和土地</w:t>
      </w:r>
      <w:r>
        <w:rPr>
          <w:rFonts w:ascii="FangSong" w:hAnsi="FangSong" w:eastAsia="FangSong" w:cs="FangSong"/>
          <w:sz w:val="24"/>
          <w:szCs w:val="24"/>
          <w:spacing w:val="-2"/>
        </w:rPr>
        <w:t>节约集约利用，负责“两区”规范范围土地</w:t>
      </w:r>
      <w:r>
        <w:rPr>
          <w:rFonts w:ascii="FangSong" w:hAnsi="FangSong" w:eastAsia="FangSong" w:cs="FangSong"/>
          <w:sz w:val="24"/>
          <w:szCs w:val="24"/>
          <w:spacing w:val="-3"/>
        </w:rPr>
        <w:t>市场监管。</w:t>
      </w:r>
    </w:p>
    <w:p>
      <w:pPr>
        <w:ind w:left="917" w:right="874" w:hanging="2"/>
        <w:spacing w:before="177" w:line="328" w:lineRule="auto"/>
        <w:rPr>
          <w:rFonts w:ascii="FangSong" w:hAnsi="FangSong" w:eastAsia="FangSong" w:cs="FangSong"/>
          <w:sz w:val="24"/>
          <w:szCs w:val="24"/>
        </w:rPr>
      </w:pPr>
      <w:r>
        <w:rPr>
          <w:rFonts w:ascii="FangSong" w:hAnsi="FangSong" w:eastAsia="FangSong" w:cs="FangSong"/>
          <w:sz w:val="24"/>
          <w:szCs w:val="24"/>
          <w:spacing w:val="-2"/>
        </w:rPr>
        <w:t>（三）协助属地自然资源部门建立“</w:t>
      </w:r>
      <w:r>
        <w:rPr>
          <w:rFonts w:ascii="FangSong" w:hAnsi="FangSong" w:eastAsia="FangSong" w:cs="FangSong"/>
          <w:sz w:val="24"/>
          <w:szCs w:val="24"/>
          <w:spacing w:val="-81"/>
        </w:rPr>
        <w:t xml:space="preserve"> </w:t>
      </w:r>
      <w:r>
        <w:rPr>
          <w:rFonts w:ascii="FangSong" w:hAnsi="FangSong" w:eastAsia="FangSong" w:cs="FangSong"/>
          <w:sz w:val="24"/>
          <w:szCs w:val="24"/>
          <w:spacing w:val="-2"/>
        </w:rPr>
        <w:t>两区</w:t>
      </w:r>
      <w:r>
        <w:rPr>
          <w:rFonts w:ascii="FangSong" w:hAnsi="FangSong" w:eastAsia="FangSong" w:cs="FangSong"/>
          <w:sz w:val="24"/>
          <w:szCs w:val="24"/>
          <w:spacing w:val="-87"/>
        </w:rPr>
        <w:t xml:space="preserve"> </w:t>
      </w:r>
      <w:r>
        <w:rPr>
          <w:rFonts w:ascii="FangSong" w:hAnsi="FangSong" w:eastAsia="FangSong" w:cs="FangSong"/>
          <w:sz w:val="24"/>
          <w:szCs w:val="24"/>
          <w:spacing w:val="-2"/>
        </w:rPr>
        <w:t>”空间规划体系并监督实施。监督实施“</w:t>
      </w:r>
      <w:r>
        <w:rPr>
          <w:rFonts w:ascii="FangSong" w:hAnsi="FangSong" w:eastAsia="FangSong" w:cs="FangSong"/>
          <w:sz w:val="24"/>
          <w:szCs w:val="24"/>
          <w:spacing w:val="-90"/>
        </w:rPr>
        <w:t xml:space="preserve"> </w:t>
      </w:r>
      <w:r>
        <w:rPr>
          <w:rFonts w:ascii="FangSong" w:hAnsi="FangSong" w:eastAsia="FangSong" w:cs="FangSong"/>
          <w:sz w:val="24"/>
          <w:szCs w:val="24"/>
          <w:spacing w:val="-2"/>
        </w:rPr>
        <w:t>两</w:t>
      </w:r>
      <w:r>
        <w:rPr>
          <w:rFonts w:ascii="FangSong" w:hAnsi="FangSong" w:eastAsia="FangSong" w:cs="FangSong"/>
          <w:sz w:val="24"/>
          <w:szCs w:val="24"/>
          <w:spacing w:val="-2"/>
        </w:rPr>
        <w:t>区</w:t>
      </w:r>
      <w:r>
        <w:rPr>
          <w:rFonts w:ascii="FangSong" w:hAnsi="FangSong" w:eastAsia="FangSong" w:cs="FangSong"/>
          <w:sz w:val="24"/>
          <w:szCs w:val="24"/>
          <w:spacing w:val="-84"/>
        </w:rPr>
        <w:t xml:space="preserve"> </w:t>
      </w:r>
      <w:r>
        <w:rPr>
          <w:rFonts w:ascii="FangSong" w:hAnsi="FangSong" w:eastAsia="FangSong" w:cs="FangSong"/>
          <w:sz w:val="24"/>
          <w:szCs w:val="24"/>
          <w:spacing w:val="-2"/>
        </w:rPr>
        <w:t>”国土空间规划和相关专项规划，建立健全“</w:t>
      </w:r>
      <w:r>
        <w:rPr>
          <w:rFonts w:ascii="FangSong" w:hAnsi="FangSong" w:eastAsia="FangSong" w:cs="FangSong"/>
          <w:sz w:val="24"/>
          <w:szCs w:val="24"/>
          <w:spacing w:val="-90"/>
        </w:rPr>
        <w:t xml:space="preserve"> </w:t>
      </w:r>
      <w:r>
        <w:rPr>
          <w:rFonts w:ascii="FangSong" w:hAnsi="FangSong" w:eastAsia="FangSong" w:cs="FangSong"/>
          <w:sz w:val="24"/>
          <w:szCs w:val="24"/>
          <w:spacing w:val="-2"/>
        </w:rPr>
        <w:t>两区</w:t>
      </w:r>
      <w:r>
        <w:rPr>
          <w:rFonts w:ascii="FangSong" w:hAnsi="FangSong" w:eastAsia="FangSong" w:cs="FangSong"/>
          <w:sz w:val="24"/>
          <w:szCs w:val="24"/>
          <w:spacing w:val="-87"/>
        </w:rPr>
        <w:t xml:space="preserve"> </w:t>
      </w:r>
      <w:r>
        <w:rPr>
          <w:rFonts w:ascii="FangSong" w:hAnsi="FangSong" w:eastAsia="FangSong" w:cs="FangSong"/>
          <w:sz w:val="24"/>
          <w:szCs w:val="24"/>
          <w:spacing w:val="-2"/>
        </w:rPr>
        <w:t>”国土空间用途管制制度并监督</w:t>
      </w:r>
      <w:r>
        <w:rPr>
          <w:rFonts w:ascii="FangSong" w:hAnsi="FangSong" w:eastAsia="FangSong" w:cs="FangSong"/>
          <w:sz w:val="24"/>
          <w:szCs w:val="24"/>
          <w:spacing w:val="-1"/>
        </w:rPr>
        <w:t>实施。组织拟订并实施“</w:t>
      </w:r>
      <w:r>
        <w:rPr>
          <w:rFonts w:ascii="FangSong" w:hAnsi="FangSong" w:eastAsia="FangSong" w:cs="FangSong"/>
          <w:sz w:val="24"/>
          <w:szCs w:val="24"/>
          <w:spacing w:val="-91"/>
        </w:rPr>
        <w:t xml:space="preserve"> </w:t>
      </w:r>
      <w:r>
        <w:rPr>
          <w:rFonts w:ascii="FangSong" w:hAnsi="FangSong" w:eastAsia="FangSong" w:cs="FangSong"/>
          <w:sz w:val="24"/>
          <w:szCs w:val="24"/>
          <w:spacing w:val="-1"/>
        </w:rPr>
        <w:t>两区</w:t>
      </w:r>
      <w:r>
        <w:rPr>
          <w:rFonts w:ascii="FangSong" w:hAnsi="FangSong" w:eastAsia="FangSong" w:cs="FangSong"/>
          <w:sz w:val="24"/>
          <w:szCs w:val="24"/>
          <w:spacing w:val="-87"/>
        </w:rPr>
        <w:t xml:space="preserve"> </w:t>
      </w:r>
      <w:r>
        <w:rPr>
          <w:rFonts w:ascii="FangSong" w:hAnsi="FangSong" w:eastAsia="FangSong" w:cs="FangSong"/>
          <w:sz w:val="24"/>
          <w:szCs w:val="24"/>
          <w:spacing w:val="-1"/>
        </w:rPr>
        <w:t>”土地年度利用计划，负责土地等国土空间用途转用工</w:t>
      </w:r>
      <w:r>
        <w:rPr>
          <w:rFonts w:ascii="FangSong" w:hAnsi="FangSong" w:eastAsia="FangSong" w:cs="FangSong"/>
          <w:sz w:val="24"/>
          <w:szCs w:val="24"/>
          <w:spacing w:val="-1"/>
        </w:rPr>
        <w:t>作和征收征用管理。负责对“</w:t>
      </w:r>
      <w:r>
        <w:rPr>
          <w:rFonts w:ascii="FangSong" w:hAnsi="FangSong" w:eastAsia="FangSong" w:cs="FangSong"/>
          <w:sz w:val="24"/>
          <w:szCs w:val="24"/>
          <w:spacing w:val="-90"/>
        </w:rPr>
        <w:t xml:space="preserve"> </w:t>
      </w:r>
      <w:r>
        <w:rPr>
          <w:rFonts w:ascii="FangSong" w:hAnsi="FangSong" w:eastAsia="FangSong" w:cs="FangSong"/>
          <w:sz w:val="24"/>
          <w:szCs w:val="24"/>
          <w:spacing w:val="-1"/>
        </w:rPr>
        <w:t>两区</w:t>
      </w:r>
      <w:r>
        <w:rPr>
          <w:rFonts w:ascii="FangSong" w:hAnsi="FangSong" w:eastAsia="FangSong" w:cs="FangSong"/>
          <w:sz w:val="24"/>
          <w:szCs w:val="24"/>
          <w:spacing w:val="-87"/>
        </w:rPr>
        <w:t xml:space="preserve"> </w:t>
      </w:r>
      <w:r>
        <w:rPr>
          <w:rFonts w:ascii="FangSong" w:hAnsi="FangSong" w:eastAsia="FangSong" w:cs="FangSong"/>
          <w:sz w:val="24"/>
          <w:szCs w:val="24"/>
          <w:spacing w:val="-1"/>
        </w:rPr>
        <w:t>”规划区内</w:t>
      </w:r>
      <w:r>
        <w:rPr>
          <w:rFonts w:ascii="FangSong" w:hAnsi="FangSong" w:eastAsia="FangSong" w:cs="FangSong"/>
          <w:sz w:val="24"/>
          <w:szCs w:val="24"/>
          <w:spacing w:val="-2"/>
        </w:rPr>
        <w:t>各类详细规划（包括控制性和修建性）</w:t>
      </w:r>
      <w:r>
        <w:rPr>
          <w:rFonts w:ascii="FangSong" w:hAnsi="FangSong" w:eastAsia="FangSong" w:cs="FangSong"/>
          <w:sz w:val="24"/>
          <w:szCs w:val="24"/>
          <w:spacing w:val="-4"/>
        </w:rPr>
        <w:t>及专项规划进行监督实施。</w:t>
      </w:r>
    </w:p>
    <w:p>
      <w:pPr>
        <w:ind w:left="915" w:right="874"/>
        <w:spacing w:before="163" w:line="313" w:lineRule="auto"/>
        <w:rPr>
          <w:rFonts w:ascii="FangSong" w:hAnsi="FangSong" w:eastAsia="FangSong" w:cs="FangSong"/>
          <w:sz w:val="24"/>
          <w:szCs w:val="24"/>
        </w:rPr>
      </w:pPr>
      <w:r>
        <w:rPr>
          <w:rFonts w:ascii="FangSong" w:hAnsi="FangSong" w:eastAsia="FangSong" w:cs="FangSong"/>
          <w:sz w:val="24"/>
          <w:szCs w:val="24"/>
          <w:spacing w:val="-2"/>
        </w:rPr>
        <w:t>（四）负责对“</w:t>
      </w:r>
      <w:r>
        <w:rPr>
          <w:rFonts w:ascii="FangSong" w:hAnsi="FangSong" w:eastAsia="FangSong" w:cs="FangSong"/>
          <w:sz w:val="24"/>
          <w:szCs w:val="24"/>
          <w:spacing w:val="-85"/>
        </w:rPr>
        <w:t xml:space="preserve"> </w:t>
      </w:r>
      <w:r>
        <w:rPr>
          <w:rFonts w:ascii="FangSong" w:hAnsi="FangSong" w:eastAsia="FangSong" w:cs="FangSong"/>
          <w:sz w:val="24"/>
          <w:szCs w:val="24"/>
          <w:spacing w:val="-2"/>
        </w:rPr>
        <w:t>两区</w:t>
      </w:r>
      <w:r>
        <w:rPr>
          <w:rFonts w:ascii="FangSong" w:hAnsi="FangSong" w:eastAsia="FangSong" w:cs="FangSong"/>
          <w:sz w:val="24"/>
          <w:szCs w:val="24"/>
          <w:spacing w:val="-87"/>
        </w:rPr>
        <w:t xml:space="preserve"> </w:t>
      </w:r>
      <w:r>
        <w:rPr>
          <w:rFonts w:ascii="FangSong" w:hAnsi="FangSong" w:eastAsia="FangSong" w:cs="FangSong"/>
          <w:sz w:val="24"/>
          <w:szCs w:val="24"/>
          <w:spacing w:val="-2"/>
        </w:rPr>
        <w:t>”规划区内转型项目、工业项目“一书三证</w:t>
      </w:r>
      <w:r>
        <w:rPr>
          <w:rFonts w:ascii="FangSong" w:hAnsi="FangSong" w:eastAsia="FangSong" w:cs="FangSong"/>
          <w:sz w:val="24"/>
          <w:szCs w:val="24"/>
          <w:spacing w:val="-86"/>
        </w:rPr>
        <w:t xml:space="preserve"> </w:t>
      </w:r>
      <w:r>
        <w:rPr>
          <w:rFonts w:ascii="FangSong" w:hAnsi="FangSong" w:eastAsia="FangSong" w:cs="FangSong"/>
          <w:sz w:val="24"/>
          <w:szCs w:val="24"/>
          <w:spacing w:val="-2"/>
        </w:rPr>
        <w:t>”（即选址意见书、</w:t>
      </w:r>
      <w:r>
        <w:rPr>
          <w:rFonts w:ascii="FangSong" w:hAnsi="FangSong" w:eastAsia="FangSong" w:cs="FangSong"/>
          <w:sz w:val="24"/>
          <w:szCs w:val="24"/>
          <w:spacing w:val="1"/>
        </w:rPr>
        <w:t>建设用地规划许可证、建设工程规划许可证、建设工程竣工认可</w:t>
      </w:r>
      <w:r>
        <w:rPr>
          <w:rFonts w:ascii="FangSong" w:hAnsi="FangSong" w:eastAsia="FangSong" w:cs="FangSong"/>
          <w:sz w:val="24"/>
          <w:szCs w:val="24"/>
        </w:rPr>
        <w:t>证）的行政许可及规</w:t>
      </w:r>
      <w:r>
        <w:rPr>
          <w:rFonts w:ascii="FangSong" w:hAnsi="FangSong" w:eastAsia="FangSong" w:cs="FangSong"/>
          <w:sz w:val="24"/>
          <w:szCs w:val="24"/>
          <w:spacing w:val="-9"/>
        </w:rPr>
        <w:t>划管理。</w:t>
      </w:r>
    </w:p>
    <w:p>
      <w:pPr>
        <w:ind w:left="915" w:right="874"/>
        <w:spacing w:before="160" w:line="312" w:lineRule="auto"/>
        <w:rPr>
          <w:rFonts w:ascii="FangSong" w:hAnsi="FangSong" w:eastAsia="FangSong" w:cs="FangSong"/>
          <w:sz w:val="24"/>
          <w:szCs w:val="24"/>
        </w:rPr>
      </w:pPr>
      <w:r>
        <w:rPr>
          <w:rFonts w:ascii="FangSong" w:hAnsi="FangSong" w:eastAsia="FangSong" w:cs="FangSong"/>
          <w:sz w:val="24"/>
          <w:szCs w:val="24"/>
          <w:spacing w:val="-3"/>
        </w:rPr>
        <w:t>（五）负责组织实施“</w:t>
      </w:r>
      <w:r>
        <w:rPr>
          <w:rFonts w:ascii="FangSong" w:hAnsi="FangSong" w:eastAsia="FangSong" w:cs="FangSong"/>
          <w:sz w:val="24"/>
          <w:szCs w:val="24"/>
          <w:spacing w:val="-77"/>
        </w:rPr>
        <w:t xml:space="preserve"> </w:t>
      </w:r>
      <w:r>
        <w:rPr>
          <w:rFonts w:ascii="FangSong" w:hAnsi="FangSong" w:eastAsia="FangSong" w:cs="FangSong"/>
          <w:sz w:val="24"/>
          <w:szCs w:val="24"/>
          <w:spacing w:val="-3"/>
        </w:rPr>
        <w:t>两区</w:t>
      </w:r>
      <w:r>
        <w:rPr>
          <w:rFonts w:ascii="FangSong" w:hAnsi="FangSong" w:eastAsia="FangSong" w:cs="FangSong"/>
          <w:sz w:val="24"/>
          <w:szCs w:val="24"/>
          <w:spacing w:val="-87"/>
        </w:rPr>
        <w:t xml:space="preserve"> </w:t>
      </w:r>
      <w:r>
        <w:rPr>
          <w:rFonts w:ascii="FangSong" w:hAnsi="FangSong" w:eastAsia="FangSong" w:cs="FangSong"/>
          <w:sz w:val="24"/>
          <w:szCs w:val="24"/>
          <w:spacing w:val="-3"/>
        </w:rPr>
        <w:t>”最严格的耕地保护制度。牵头拟订并实施“</w:t>
      </w:r>
      <w:r>
        <w:rPr>
          <w:rFonts w:ascii="FangSong" w:hAnsi="FangSong" w:eastAsia="FangSong" w:cs="FangSong"/>
          <w:sz w:val="24"/>
          <w:szCs w:val="24"/>
          <w:spacing w:val="-91"/>
        </w:rPr>
        <w:t xml:space="preserve"> </w:t>
      </w:r>
      <w:r>
        <w:rPr>
          <w:rFonts w:ascii="FangSong" w:hAnsi="FangSong" w:eastAsia="FangSong" w:cs="FangSong"/>
          <w:sz w:val="24"/>
          <w:szCs w:val="24"/>
          <w:spacing w:val="-3"/>
        </w:rPr>
        <w:t>两区</w:t>
      </w:r>
      <w:r>
        <w:rPr>
          <w:rFonts w:ascii="FangSong" w:hAnsi="FangSong" w:eastAsia="FangSong" w:cs="FangSong"/>
          <w:sz w:val="24"/>
          <w:szCs w:val="24"/>
          <w:spacing w:val="-86"/>
        </w:rPr>
        <w:t xml:space="preserve"> </w:t>
      </w:r>
      <w:r>
        <w:rPr>
          <w:rFonts w:ascii="FangSong" w:hAnsi="FangSong" w:eastAsia="FangSong" w:cs="FangSong"/>
          <w:sz w:val="24"/>
          <w:szCs w:val="24"/>
          <w:spacing w:val="-3"/>
        </w:rPr>
        <w:t>”耕地</w:t>
      </w:r>
      <w:r>
        <w:rPr>
          <w:rFonts w:ascii="FangSong" w:hAnsi="FangSong" w:eastAsia="FangSong" w:cs="FangSong"/>
          <w:sz w:val="24"/>
          <w:szCs w:val="24"/>
          <w:spacing w:val="-1"/>
        </w:rPr>
        <w:t>保护政策，负责耕地数量、质量、生态保护。完善“</w:t>
      </w:r>
      <w:r>
        <w:rPr>
          <w:rFonts w:ascii="FangSong" w:hAnsi="FangSong" w:eastAsia="FangSong" w:cs="FangSong"/>
          <w:sz w:val="24"/>
          <w:szCs w:val="24"/>
          <w:spacing w:val="-89"/>
        </w:rPr>
        <w:t xml:space="preserve"> </w:t>
      </w:r>
      <w:r>
        <w:rPr>
          <w:rFonts w:ascii="FangSong" w:hAnsi="FangSong" w:eastAsia="FangSong" w:cs="FangSong"/>
          <w:sz w:val="24"/>
          <w:szCs w:val="24"/>
          <w:spacing w:val="-1"/>
        </w:rPr>
        <w:t>两区</w:t>
      </w:r>
      <w:r>
        <w:rPr>
          <w:rFonts w:ascii="FangSong" w:hAnsi="FangSong" w:eastAsia="FangSong" w:cs="FangSong"/>
          <w:sz w:val="24"/>
          <w:szCs w:val="24"/>
          <w:spacing w:val="-87"/>
        </w:rPr>
        <w:t xml:space="preserve"> </w:t>
      </w:r>
      <w:r>
        <w:rPr>
          <w:rFonts w:ascii="FangSong" w:hAnsi="FangSong" w:eastAsia="FangSong" w:cs="FangSong"/>
          <w:sz w:val="24"/>
          <w:szCs w:val="24"/>
          <w:spacing w:val="-1"/>
        </w:rPr>
        <w:t>”耕地占补平衡制度，监督</w:t>
      </w:r>
      <w:r>
        <w:rPr>
          <w:rFonts w:ascii="FangSong" w:hAnsi="FangSong" w:eastAsia="FangSong" w:cs="FangSong"/>
          <w:sz w:val="24"/>
          <w:szCs w:val="24"/>
          <w:spacing w:val="-1"/>
        </w:rPr>
        <w:t>占用耕地补偿制度执行情况。完成长治市规划和自然资源局交办的其他事项</w:t>
      </w:r>
    </w:p>
    <w:p>
      <w:pPr>
        <w:ind w:left="913"/>
        <w:spacing w:before="205" w:line="235" w:lineRule="exact"/>
        <w:outlineLvl w:val="1"/>
        <w:rPr>
          <w:rFonts w:ascii="Microsoft YaHei" w:hAnsi="Microsoft YaHei" w:eastAsia="Microsoft YaHei" w:cs="Microsoft YaHei"/>
          <w:sz w:val="23"/>
          <w:szCs w:val="23"/>
        </w:rPr>
      </w:pPr>
      <w:bookmarkStart w:name="bookmark4" w:id="5"/>
      <w:bookmarkEnd w:id="5"/>
      <w:r>
        <w:rPr>
          <w:rFonts w:ascii="Microsoft YaHei" w:hAnsi="Microsoft YaHei" w:eastAsia="Microsoft YaHei" w:cs="Microsoft YaHei"/>
          <w:sz w:val="23"/>
          <w:szCs w:val="23"/>
          <w:spacing w:val="8"/>
          <w:position w:val="-1"/>
        </w:rPr>
        <w:t>二、机构设置情况</w:t>
      </w:r>
    </w:p>
    <w:p>
      <w:pPr>
        <w:ind w:left="916" w:right="874"/>
        <w:spacing w:before="233" w:line="352" w:lineRule="auto"/>
        <w:jc w:val="both"/>
        <w:rPr>
          <w:rFonts w:ascii="FangSong" w:hAnsi="FangSong" w:eastAsia="FangSong" w:cs="FangSong"/>
          <w:sz w:val="24"/>
          <w:szCs w:val="24"/>
        </w:rPr>
      </w:pPr>
      <w:r>
        <w:rPr>
          <w:rFonts w:ascii="FangSong" w:hAnsi="FangSong" w:eastAsia="FangSong" w:cs="FangSong"/>
          <w:sz w:val="24"/>
          <w:szCs w:val="24"/>
          <w:spacing w:val="1"/>
        </w:rPr>
        <w:t>本部门内设综合办公室、综合业务科，为正科级建制，共核定</w:t>
      </w:r>
      <w:r>
        <w:rPr>
          <w:rFonts w:ascii="FangSong" w:hAnsi="FangSong" w:eastAsia="FangSong" w:cs="FangSong"/>
          <w:sz w:val="24"/>
          <w:szCs w:val="24"/>
        </w:rPr>
        <w:t>行政编制4名，设局长1</w:t>
      </w:r>
      <w:r>
        <w:rPr>
          <w:rFonts w:ascii="FangSong" w:hAnsi="FangSong" w:eastAsia="FangSong" w:cs="FangSong"/>
          <w:sz w:val="24"/>
          <w:szCs w:val="24"/>
          <w:spacing w:val="1"/>
        </w:rPr>
        <w:t>名，副局长1名，副科级领导职数2名。从预算单位构成看，</w:t>
      </w:r>
      <w:r>
        <w:rPr>
          <w:rFonts w:ascii="FangSong" w:hAnsi="FangSong" w:eastAsia="FangSong" w:cs="FangSong"/>
          <w:sz w:val="24"/>
          <w:szCs w:val="24"/>
        </w:rPr>
        <w:t>纳入本部门2026年部门汇</w:t>
      </w:r>
      <w:r>
        <w:rPr>
          <w:rFonts w:ascii="FangSong" w:hAnsi="FangSong" w:eastAsia="FangSong" w:cs="FangSong"/>
          <w:sz w:val="24"/>
          <w:szCs w:val="24"/>
          <w:spacing w:val="-2"/>
        </w:rPr>
        <w:t>总预算编制范围的预算单位为长治市规划和自然资源局开发区分局。</w:t>
      </w:r>
    </w:p>
    <w:p>
      <w:pPr>
        <w:spacing w:line="352" w:lineRule="auto"/>
        <w:sectPr>
          <w:headerReference w:type="default" r:id="rId1"/>
          <w:footerReference w:type="default" r:id="rId2"/>
          <w:pgSz w:w="11900" w:h="16840"/>
          <w:pgMar w:top="642" w:right="600" w:bottom="340" w:left="600" w:header="326" w:footer="91" w:gutter="0"/>
        </w:sectPr>
        <w:rPr>
          <w:rFonts w:ascii="FangSong" w:hAnsi="FangSong" w:eastAsia="FangSong" w:cs="FangSong"/>
          <w:sz w:val="24"/>
          <w:szCs w:val="24"/>
        </w:rPr>
      </w:pPr>
    </w:p>
    <w:p>
      <w:pPr>
        <w:pStyle w:val="BodyText"/>
        <w:spacing w:line="280" w:lineRule="auto"/>
        <w:rPr/>
      </w:pPr>
      <w:r/>
    </w:p>
    <w:p>
      <w:pPr>
        <w:pStyle w:val="BodyText"/>
        <w:spacing w:line="281" w:lineRule="auto"/>
        <w:rPr/>
      </w:pPr>
      <w:r/>
    </w:p>
    <w:p>
      <w:pPr>
        <w:ind w:left="3747"/>
        <w:spacing w:before="99" w:line="237"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2026年部门预算报表</w:t>
      </w:r>
    </w:p>
    <w:p>
      <w:pPr>
        <w:rPr/>
      </w:pPr>
      <w:r/>
    </w:p>
    <w:p>
      <w:pPr>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39"/>
        <w:gridCol w:w="1273"/>
        <w:gridCol w:w="1991"/>
        <w:gridCol w:w="1288"/>
        <w:gridCol w:w="1273"/>
        <w:gridCol w:w="78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60"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28"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2026年预算收支总表</w:t>
            </w:r>
          </w:p>
        </w:tc>
      </w:tr>
      <w:tr>
        <w:trPr>
          <w:trHeight w:val="524" w:hRule="atLeast"/>
        </w:trPr>
        <w:tc>
          <w:tcPr>
            <w:tcW w:w="5203" w:type="dxa"/>
            <w:vAlign w:val="top"/>
            <w:gridSpan w:val="3"/>
            <w:tcBorders>
              <w:top w:val="single" w:color="FFFFFF" w:sz="6" w:space="0"/>
              <w:left w:val="single" w:color="FFFFFF" w:sz="2" w:space="0"/>
              <w:right w:val="single" w:color="FFFFFF" w:sz="2" w:space="0"/>
            </w:tcBorders>
          </w:tcPr>
          <w:p>
            <w:pPr>
              <w:ind w:left="14"/>
              <w:spacing w:before="154" w:line="219" w:lineRule="auto"/>
              <w:rPr>
                <w:rFonts w:ascii="SimSun" w:hAnsi="SimSun" w:eastAsia="SimSun" w:cs="SimSun"/>
                <w:sz w:val="18"/>
                <w:szCs w:val="18"/>
              </w:rPr>
            </w:pPr>
            <w:r>
              <w:rPr>
                <w:rFonts w:ascii="SimSun" w:hAnsi="SimSun" w:eastAsia="SimSun" w:cs="SimSun"/>
                <w:sz w:val="18"/>
                <w:szCs w:val="18"/>
                <w:color w:val="212529"/>
                <w:spacing w:val="-1"/>
              </w:rPr>
              <w:t>部门名称：长治市规划和自然资源局开发区分局</w:t>
            </w:r>
          </w:p>
        </w:tc>
        <w:tc>
          <w:tcPr>
            <w:tcW w:w="3347" w:type="dxa"/>
            <w:vAlign w:val="top"/>
            <w:gridSpan w:val="3"/>
            <w:tcBorders>
              <w:top w:val="single" w:color="FFFFFF" w:sz="6" w:space="0"/>
              <w:left w:val="single" w:color="FFFFFF" w:sz="2" w:space="0"/>
              <w:right w:val="single" w:color="FFFFFF" w:sz="2" w:space="0"/>
            </w:tcBorders>
          </w:tcPr>
          <w:p>
            <w:pPr>
              <w:ind w:left="2415"/>
              <w:spacing w:before="15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12" w:type="dxa"/>
            <w:vAlign w:val="top"/>
            <w:gridSpan w:val="2"/>
          </w:tcPr>
          <w:p>
            <w:pPr>
              <w:ind w:left="1410"/>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38" w:type="dxa"/>
            <w:vAlign w:val="top"/>
            <w:gridSpan w:val="4"/>
          </w:tcPr>
          <w:p>
            <w:pPr>
              <w:ind w:left="2467"/>
              <w:spacing w:before="15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39" w:type="dxa"/>
            <w:vAlign w:val="top"/>
          </w:tcPr>
          <w:p>
            <w:pPr>
              <w:ind w:left="769"/>
              <w:spacing w:before="15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73" w:type="dxa"/>
            <w:vAlign w:val="top"/>
          </w:tcPr>
          <w:p>
            <w:pPr>
              <w:ind w:left="346"/>
              <w:spacing w:before="154"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2026年</w:t>
            </w:r>
          </w:p>
        </w:tc>
        <w:tc>
          <w:tcPr>
            <w:tcW w:w="1991" w:type="dxa"/>
            <w:vAlign w:val="top"/>
          </w:tcPr>
          <w:p>
            <w:pPr>
              <w:ind w:left="796"/>
              <w:spacing w:before="15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88" w:type="dxa"/>
            <w:vAlign w:val="top"/>
          </w:tcPr>
          <w:p>
            <w:pPr>
              <w:ind w:left="185"/>
              <w:spacing w:before="154"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2026年合计</w:t>
            </w:r>
          </w:p>
        </w:tc>
        <w:tc>
          <w:tcPr>
            <w:tcW w:w="1273" w:type="dxa"/>
            <w:vAlign w:val="top"/>
          </w:tcPr>
          <w:p>
            <w:pPr>
              <w:ind w:left="90"/>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786" w:type="dxa"/>
            <w:vAlign w:val="top"/>
          </w:tcPr>
          <w:p>
            <w:pPr>
              <w:ind w:left="196" w:right="33" w:hanging="182"/>
              <w:spacing w:before="49"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1939"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73" w:type="dxa"/>
            <w:vAlign w:val="top"/>
          </w:tcPr>
          <w:p>
            <w:pPr>
              <w:ind w:left="598"/>
              <w:spacing w:before="158" w:line="238" w:lineRule="auto"/>
              <w:rPr>
                <w:rFonts w:ascii="SimSun" w:hAnsi="SimSun" w:eastAsia="SimSun" w:cs="SimSun"/>
                <w:sz w:val="18"/>
                <w:szCs w:val="18"/>
              </w:rPr>
            </w:pPr>
            <w:r>
              <w:rPr>
                <w:rFonts w:ascii="SimSun" w:hAnsi="SimSun" w:eastAsia="SimSun" w:cs="SimSun"/>
                <w:sz w:val="18"/>
                <w:szCs w:val="18"/>
                <w:color w:val="212529"/>
                <w:spacing w:val="-2"/>
              </w:rPr>
              <w:t>2264.47</w:t>
            </w:r>
          </w:p>
        </w:tc>
        <w:tc>
          <w:tcPr>
            <w:tcW w:w="1991" w:type="dxa"/>
            <w:vAlign w:val="top"/>
          </w:tcPr>
          <w:p>
            <w:pPr>
              <w:spacing w:before="157"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ind w:left="9"/>
              <w:spacing w:before="158"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273" w:type="dxa"/>
            <w:vAlign w:val="top"/>
          </w:tcPr>
          <w:p>
            <w:pPr>
              <w:ind w:left="508"/>
              <w:spacing w:before="159" w:line="238" w:lineRule="auto"/>
              <w:rPr>
                <w:rFonts w:ascii="SimSun" w:hAnsi="SimSun" w:eastAsia="SimSun" w:cs="SimSun"/>
                <w:sz w:val="18"/>
                <w:szCs w:val="18"/>
              </w:rPr>
            </w:pPr>
            <w:r>
              <w:rPr>
                <w:rFonts w:ascii="SimSun" w:hAnsi="SimSun" w:eastAsia="SimSun" w:cs="SimSun"/>
                <w:sz w:val="18"/>
                <w:szCs w:val="18"/>
                <w:color w:val="212529"/>
                <w:spacing w:val="-2"/>
              </w:rPr>
              <w:t>22999.92</w:t>
            </w:r>
          </w:p>
        </w:tc>
        <w:tc>
          <w:tcPr>
            <w:tcW w:w="1991" w:type="dxa"/>
            <w:vAlign w:val="top"/>
          </w:tcPr>
          <w:p>
            <w:pPr>
              <w:ind w:left="1"/>
              <w:spacing w:before="159"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ind w:left="6"/>
              <w:spacing w:before="159"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273" w:type="dxa"/>
            <w:vAlign w:val="top"/>
          </w:tcPr>
          <w:p>
            <w:pPr>
              <w:pStyle w:val="TableText"/>
              <w:rPr/>
            </w:pPr>
            <w:r/>
          </w:p>
        </w:tc>
        <w:tc>
          <w:tcPr>
            <w:tcW w:w="1991" w:type="dxa"/>
            <w:vAlign w:val="top"/>
          </w:tcPr>
          <w:p>
            <w:pPr>
              <w:spacing w:before="160" w:line="219"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ind w:left="23"/>
              <w:spacing w:before="16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273" w:type="dxa"/>
            <w:vAlign w:val="top"/>
          </w:tcPr>
          <w:p>
            <w:pPr>
              <w:pStyle w:val="TableText"/>
              <w:rPr/>
            </w:pPr>
            <w:r/>
          </w:p>
        </w:tc>
        <w:tc>
          <w:tcPr>
            <w:tcW w:w="199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ind w:left="9"/>
              <w:spacing w:before="162"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73" w:type="dxa"/>
            <w:vAlign w:val="top"/>
          </w:tcPr>
          <w:p>
            <w:pPr>
              <w:pStyle w:val="TableText"/>
              <w:rPr/>
            </w:pPr>
            <w:r/>
          </w:p>
        </w:tc>
        <w:tc>
          <w:tcPr>
            <w:tcW w:w="1991" w:type="dxa"/>
            <w:vAlign w:val="top"/>
          </w:tcPr>
          <w:p>
            <w:pPr>
              <w:ind w:left="1"/>
              <w:spacing w:before="16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spacing w:before="162"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right="184"/>
              <w:spacing w:before="59"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spacing w:val="-2"/>
              </w:rPr>
              <w:t>媒支出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13" w:right="184" w:hanging="12"/>
              <w:spacing w:before="60"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w:t>
            </w:r>
            <w:r>
              <w:rPr>
                <w:rFonts w:ascii="SimSun" w:hAnsi="SimSun" w:eastAsia="SimSun" w:cs="SimSun"/>
                <w:sz w:val="18"/>
                <w:szCs w:val="18"/>
                <w:color w:val="212529"/>
              </w:rPr>
              <w:t>出</w:t>
            </w:r>
          </w:p>
        </w:tc>
        <w:tc>
          <w:tcPr>
            <w:tcW w:w="1288" w:type="dxa"/>
            <w:vAlign w:val="top"/>
          </w:tcPr>
          <w:p>
            <w:pPr>
              <w:ind w:right="23"/>
              <w:spacing w:before="165" w:line="238" w:lineRule="auto"/>
              <w:jc w:val="right"/>
              <w:rPr>
                <w:rFonts w:ascii="SimSun" w:hAnsi="SimSun" w:eastAsia="SimSun" w:cs="SimSun"/>
                <w:sz w:val="18"/>
                <w:szCs w:val="18"/>
              </w:rPr>
            </w:pPr>
            <w:r>
              <w:rPr>
                <w:rFonts w:ascii="SimSun" w:hAnsi="SimSun" w:eastAsia="SimSun" w:cs="SimSun"/>
                <w:sz w:val="18"/>
                <w:szCs w:val="18"/>
                <w:color w:val="212529"/>
                <w:spacing w:val="-2"/>
              </w:rPr>
              <w:t>5.26</w:t>
            </w:r>
          </w:p>
        </w:tc>
        <w:tc>
          <w:tcPr>
            <w:tcW w:w="1273" w:type="dxa"/>
            <w:vAlign w:val="top"/>
          </w:tcPr>
          <w:p>
            <w:pPr>
              <w:ind w:right="24"/>
              <w:spacing w:before="165" w:line="238" w:lineRule="auto"/>
              <w:jc w:val="right"/>
              <w:rPr>
                <w:rFonts w:ascii="SimSun" w:hAnsi="SimSun" w:eastAsia="SimSun" w:cs="SimSun"/>
                <w:sz w:val="18"/>
                <w:szCs w:val="18"/>
              </w:rPr>
            </w:pPr>
            <w:r>
              <w:rPr>
                <w:rFonts w:ascii="SimSun" w:hAnsi="SimSun" w:eastAsia="SimSun" w:cs="SimSun"/>
                <w:sz w:val="18"/>
                <w:szCs w:val="18"/>
                <w:color w:val="212529"/>
                <w:spacing w:val="-2"/>
              </w:rPr>
              <w:t>5.26</w:t>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1"/>
              <w:spacing w:before="165"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spacing w:before="166"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88" w:type="dxa"/>
            <w:vAlign w:val="top"/>
          </w:tcPr>
          <w:p>
            <w:pPr>
              <w:ind w:right="23"/>
              <w:spacing w:before="167" w:line="238" w:lineRule="auto"/>
              <w:jc w:val="right"/>
              <w:rPr>
                <w:rFonts w:ascii="SimSun" w:hAnsi="SimSun" w:eastAsia="SimSun" w:cs="SimSun"/>
                <w:sz w:val="18"/>
                <w:szCs w:val="18"/>
              </w:rPr>
            </w:pPr>
            <w:r>
              <w:rPr>
                <w:rFonts w:ascii="SimSun" w:hAnsi="SimSun" w:eastAsia="SimSun" w:cs="SimSun"/>
                <w:sz w:val="18"/>
                <w:szCs w:val="18"/>
                <w:color w:val="212529"/>
                <w:spacing w:val="-2"/>
              </w:rPr>
              <w:t>3.18</w:t>
            </w:r>
          </w:p>
        </w:tc>
        <w:tc>
          <w:tcPr>
            <w:tcW w:w="1273" w:type="dxa"/>
            <w:vAlign w:val="top"/>
          </w:tcPr>
          <w:p>
            <w:pPr>
              <w:ind w:right="24"/>
              <w:spacing w:before="167" w:line="238" w:lineRule="auto"/>
              <w:jc w:val="right"/>
              <w:rPr>
                <w:rFonts w:ascii="SimSun" w:hAnsi="SimSun" w:eastAsia="SimSun" w:cs="SimSun"/>
                <w:sz w:val="18"/>
                <w:szCs w:val="18"/>
              </w:rPr>
            </w:pPr>
            <w:r>
              <w:rPr>
                <w:rFonts w:ascii="SimSun" w:hAnsi="SimSun" w:eastAsia="SimSun" w:cs="SimSun"/>
                <w:sz w:val="18"/>
                <w:szCs w:val="18"/>
                <w:color w:val="212529"/>
                <w:spacing w:val="-2"/>
              </w:rPr>
              <w:t>3.18</w:t>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spacing w:before="168" w:line="219" w:lineRule="auto"/>
              <w:rPr>
                <w:rFonts w:ascii="SimSun" w:hAnsi="SimSun" w:eastAsia="SimSun" w:cs="SimSun"/>
                <w:sz w:val="18"/>
                <w:szCs w:val="18"/>
              </w:rPr>
            </w:pPr>
            <w:r>
              <w:rPr>
                <w:rFonts w:ascii="SimSun" w:hAnsi="SimSun" w:eastAsia="SimSun" w:cs="SimSun"/>
                <w:sz w:val="18"/>
                <w:szCs w:val="18"/>
                <w:color w:val="212529"/>
                <w:spacing w:val="-4"/>
              </w:rPr>
              <w:t>十一、节能环保支出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5"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spacing w:before="168"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88" w:type="dxa"/>
            <w:vAlign w:val="top"/>
          </w:tcPr>
          <w:p>
            <w:pPr>
              <w:ind w:right="24"/>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22999.92</w:t>
            </w:r>
          </w:p>
        </w:tc>
        <w:tc>
          <w:tcPr>
            <w:tcW w:w="1273" w:type="dxa"/>
            <w:vAlign w:val="top"/>
          </w:tcPr>
          <w:p>
            <w:pPr>
              <w:ind w:right="25"/>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22999.92</w:t>
            </w:r>
          </w:p>
        </w:tc>
        <w:tc>
          <w:tcPr>
            <w:tcW w:w="786" w:type="dxa"/>
            <w:vAlign w:val="top"/>
          </w:tcPr>
          <w:p>
            <w:pPr>
              <w:pStyle w:val="TableText"/>
              <w:rPr/>
            </w:pPr>
            <w:r/>
          </w:p>
        </w:tc>
      </w:tr>
      <w:tr>
        <w:trPr>
          <w:trHeight w:val="525"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spacing w:before="168"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5"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spacing w:before="168"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5"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4" w:right="184" w:hanging="4"/>
              <w:spacing w:before="63"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spacing w:val="-3"/>
              </w:rPr>
              <w:t>息等支出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5"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13" w:right="184" w:hanging="14"/>
              <w:spacing w:before="64"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rPr>
              <w:t>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5"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spacing w:before="169" w:line="219"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5"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13" w:right="184" w:hanging="14"/>
              <w:spacing w:before="6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rPr>
              <w:t>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5"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right="184"/>
              <w:spacing w:before="63"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w:t>
            </w:r>
            <w:r>
              <w:rPr>
                <w:rFonts w:ascii="SimSun" w:hAnsi="SimSun" w:eastAsia="SimSun" w:cs="SimSun"/>
                <w:sz w:val="18"/>
                <w:szCs w:val="18"/>
                <w:color w:val="212529"/>
                <w:spacing w:val="-2"/>
              </w:rPr>
              <w:t>象等支出</w:t>
            </w:r>
          </w:p>
        </w:tc>
        <w:tc>
          <w:tcPr>
            <w:tcW w:w="1288" w:type="dxa"/>
            <w:vAlign w:val="top"/>
          </w:tcPr>
          <w:p>
            <w:pPr>
              <w:ind w:right="24"/>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2253.23</w:t>
            </w:r>
          </w:p>
        </w:tc>
        <w:tc>
          <w:tcPr>
            <w:tcW w:w="1273" w:type="dxa"/>
            <w:vAlign w:val="top"/>
          </w:tcPr>
          <w:p>
            <w:pPr>
              <w:ind w:right="25"/>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2253.23</w:t>
            </w:r>
          </w:p>
        </w:tc>
        <w:tc>
          <w:tcPr>
            <w:tcW w:w="786" w:type="dxa"/>
            <w:vAlign w:val="top"/>
          </w:tcPr>
          <w:p>
            <w:pPr>
              <w:pStyle w:val="TableText"/>
              <w:rPr/>
            </w:pPr>
            <w:r/>
          </w:p>
        </w:tc>
      </w:tr>
      <w:tr>
        <w:trPr>
          <w:trHeight w:val="525"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1"/>
              <w:spacing w:before="168"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88" w:type="dxa"/>
            <w:vAlign w:val="top"/>
          </w:tcPr>
          <w:p>
            <w:pPr>
              <w:ind w:right="23"/>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2.79</w:t>
            </w:r>
          </w:p>
        </w:tc>
        <w:tc>
          <w:tcPr>
            <w:tcW w:w="1273" w:type="dxa"/>
            <w:vAlign w:val="top"/>
          </w:tcPr>
          <w:p>
            <w:pPr>
              <w:ind w:right="24"/>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2.79</w:t>
            </w:r>
          </w:p>
        </w:tc>
        <w:tc>
          <w:tcPr>
            <w:tcW w:w="786" w:type="dxa"/>
            <w:vAlign w:val="top"/>
          </w:tcPr>
          <w:p>
            <w:pPr>
              <w:pStyle w:val="TableText"/>
              <w:rPr/>
            </w:pPr>
            <w:r/>
          </w:p>
        </w:tc>
      </w:tr>
      <w:tr>
        <w:trPr>
          <w:trHeight w:val="532"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right="193" w:firstLine="2"/>
              <w:spacing w:before="63" w:line="21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spacing w:val="-2"/>
              </w:rPr>
              <w:t>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bl>
    <w:p>
      <w:pPr>
        <w:pStyle w:val="BodyText"/>
        <w:rPr/>
      </w:pPr>
      <w:r/>
    </w:p>
    <w:p>
      <w:pPr>
        <w:sectPr>
          <w:footerReference w:type="default" r:id="rId3"/>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39"/>
        <w:gridCol w:w="1273"/>
        <w:gridCol w:w="1991"/>
        <w:gridCol w:w="1288"/>
        <w:gridCol w:w="1273"/>
        <w:gridCol w:w="786"/>
      </w:tblGrid>
      <w:tr>
        <w:trPr>
          <w:trHeight w:val="531"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right="184" w:firstLine="2"/>
              <w:spacing w:before="55" w:line="218" w:lineRule="auto"/>
              <w:rPr>
                <w:rFonts w:ascii="SimSun" w:hAnsi="SimSun" w:eastAsia="SimSun" w:cs="SimSun"/>
                <w:sz w:val="18"/>
                <w:szCs w:val="18"/>
              </w:rPr>
            </w:pPr>
            <w:bookmarkStart w:name="bookmark37" w:id="8"/>
            <w:bookmarkEnd w:id="8"/>
            <w:r>
              <w:rPr>
                <w:rFonts w:ascii="SimSun" w:hAnsi="SimSun" w:eastAsia="SimSun" w:cs="SimSun"/>
                <w:sz w:val="18"/>
                <w:szCs w:val="18"/>
                <w:color w:val="212529"/>
                <w:spacing w:val="-2"/>
              </w:rPr>
              <w:t>二十二、国有资本经营</w:t>
            </w:r>
            <w:r>
              <w:rPr>
                <w:rFonts w:ascii="SimSun" w:hAnsi="SimSun" w:eastAsia="SimSun" w:cs="SimSun"/>
                <w:sz w:val="18"/>
                <w:szCs w:val="18"/>
                <w:color w:val="212529"/>
                <w:spacing w:val="-2"/>
              </w:rPr>
              <w:t>预算支出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3"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3" w:right="184" w:hanging="2"/>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w:t>
            </w:r>
            <w:r>
              <w:rPr>
                <w:rFonts w:ascii="SimSun" w:hAnsi="SimSun" w:eastAsia="SimSun" w:cs="SimSun"/>
                <w:sz w:val="18"/>
                <w:szCs w:val="18"/>
                <w:color w:val="212529"/>
                <w:spacing w:val="-3"/>
              </w:rPr>
              <w:t>急管理支出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1"/>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1"/>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1"/>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1"/>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left="1"/>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right="184" w:firstLine="2"/>
              <w:spacing w:before="56" w:line="218" w:lineRule="auto"/>
              <w:rPr>
                <w:rFonts w:ascii="SimSun" w:hAnsi="SimSun" w:eastAsia="SimSun" w:cs="SimSun"/>
                <w:sz w:val="18"/>
                <w:szCs w:val="18"/>
              </w:rPr>
            </w:pPr>
            <w:r>
              <w:rPr>
                <w:rFonts w:ascii="SimSun" w:hAnsi="SimSun" w:eastAsia="SimSun" w:cs="SimSun"/>
                <w:sz w:val="18"/>
                <w:szCs w:val="18"/>
                <w:color w:val="212529"/>
                <w:spacing w:val="-2"/>
              </w:rPr>
              <w:t>二十九、债务发行费用</w:t>
            </w:r>
            <w:r>
              <w:rPr>
                <w:rFonts w:ascii="SimSun" w:hAnsi="SimSun" w:eastAsia="SimSun" w:cs="SimSun"/>
                <w:sz w:val="18"/>
                <w:szCs w:val="18"/>
                <w:color w:val="212529"/>
                <w:spacing w:val="-2"/>
              </w:rPr>
              <w:t>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ind w:right="184"/>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spacing w:val="-2"/>
              </w:rPr>
              <w:t>排的支出</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pStyle w:val="TableText"/>
              <w:rPr/>
            </w:pPr>
            <w:r/>
          </w:p>
        </w:tc>
        <w:tc>
          <w:tcPr>
            <w:tcW w:w="1273" w:type="dxa"/>
            <w:vAlign w:val="top"/>
          </w:tcPr>
          <w:p>
            <w:pPr>
              <w:pStyle w:val="TableText"/>
              <w:rPr/>
            </w:pPr>
            <w:r/>
          </w:p>
        </w:tc>
        <w:tc>
          <w:tcPr>
            <w:tcW w:w="1991"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24" w:hRule="atLeast"/>
        </w:trPr>
        <w:tc>
          <w:tcPr>
            <w:tcW w:w="193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73" w:type="dxa"/>
            <w:vAlign w:val="top"/>
          </w:tcPr>
          <w:p>
            <w:pPr>
              <w:pStyle w:val="TableText"/>
              <w:ind w:left="508"/>
              <w:spacing w:before="187" w:line="171" w:lineRule="auto"/>
              <w:rPr>
                <w:sz w:val="16"/>
                <w:szCs w:val="16"/>
              </w:rPr>
            </w:pPr>
            <w:r>
              <w:rPr>
                <w:sz w:val="16"/>
                <w:szCs w:val="16"/>
                <w:color w:val="212529"/>
                <w:spacing w:val="5"/>
              </w:rPr>
              <w:t>25264.39</w:t>
            </w:r>
          </w:p>
        </w:tc>
        <w:tc>
          <w:tcPr>
            <w:tcW w:w="1991" w:type="dxa"/>
            <w:vAlign w:val="top"/>
          </w:tcPr>
          <w:p>
            <w:pPr>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88" w:type="dxa"/>
            <w:vAlign w:val="top"/>
          </w:tcPr>
          <w:p>
            <w:pPr>
              <w:pStyle w:val="TableText"/>
              <w:ind w:left="536"/>
              <w:spacing w:before="187" w:line="171" w:lineRule="auto"/>
              <w:rPr>
                <w:sz w:val="16"/>
                <w:szCs w:val="16"/>
              </w:rPr>
            </w:pPr>
            <w:r>
              <w:rPr>
                <w:sz w:val="16"/>
                <w:szCs w:val="16"/>
                <w:color w:val="212529"/>
                <w:spacing w:val="5"/>
              </w:rPr>
              <w:t>25264.39</w:t>
            </w:r>
          </w:p>
        </w:tc>
        <w:tc>
          <w:tcPr>
            <w:tcW w:w="1273" w:type="dxa"/>
            <w:vAlign w:val="top"/>
          </w:tcPr>
          <w:p>
            <w:pPr>
              <w:pStyle w:val="TableText"/>
              <w:ind w:left="520"/>
              <w:spacing w:before="186" w:line="183" w:lineRule="auto"/>
              <w:rPr>
                <w:sz w:val="15"/>
                <w:szCs w:val="15"/>
              </w:rPr>
            </w:pPr>
            <w:r>
              <w:rPr>
                <w:sz w:val="15"/>
                <w:szCs w:val="15"/>
                <w:color w:val="212529"/>
                <w:spacing w:val="3"/>
              </w:rPr>
              <w:t>25264.</w:t>
            </w:r>
            <w:r>
              <w:rPr>
                <w:sz w:val="15"/>
                <w:szCs w:val="15"/>
                <w:color w:val="212529"/>
                <w:spacing w:val="16"/>
              </w:rPr>
              <w:t xml:space="preserve"> </w:t>
            </w:r>
            <w:r>
              <w:rPr>
                <w:sz w:val="15"/>
                <w:szCs w:val="15"/>
                <w:color w:val="212529"/>
                <w:spacing w:val="3"/>
              </w:rPr>
              <w:t>39</w:t>
            </w:r>
          </w:p>
        </w:tc>
        <w:tc>
          <w:tcPr>
            <w:tcW w:w="786" w:type="dxa"/>
            <w:vAlign w:val="top"/>
          </w:tcPr>
          <w:p>
            <w:pPr>
              <w:pStyle w:val="TableText"/>
              <w:rPr/>
            </w:pPr>
            <w:r/>
          </w:p>
        </w:tc>
      </w:tr>
      <w:tr>
        <w:trPr>
          <w:trHeight w:val="524" w:hRule="atLeast"/>
        </w:trPr>
        <w:tc>
          <w:tcPr>
            <w:tcW w:w="193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273" w:type="dxa"/>
            <w:vAlign w:val="top"/>
          </w:tcPr>
          <w:p>
            <w:pPr>
              <w:pStyle w:val="TableText"/>
              <w:rPr/>
            </w:pPr>
            <w:r/>
          </w:p>
        </w:tc>
        <w:tc>
          <w:tcPr>
            <w:tcW w:w="1991" w:type="dxa"/>
            <w:vAlign w:val="top"/>
          </w:tcPr>
          <w:p>
            <w:pPr>
              <w:ind w:left="186"/>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88" w:type="dxa"/>
            <w:vAlign w:val="top"/>
          </w:tcPr>
          <w:p>
            <w:pPr>
              <w:pStyle w:val="TableText"/>
              <w:rPr/>
            </w:pPr>
            <w:r/>
          </w:p>
        </w:tc>
        <w:tc>
          <w:tcPr>
            <w:tcW w:w="1273" w:type="dxa"/>
            <w:vAlign w:val="top"/>
          </w:tcPr>
          <w:p>
            <w:pPr>
              <w:pStyle w:val="TableText"/>
              <w:rPr/>
            </w:pPr>
            <w:r/>
          </w:p>
        </w:tc>
        <w:tc>
          <w:tcPr>
            <w:tcW w:w="786" w:type="dxa"/>
            <w:vAlign w:val="top"/>
          </w:tcPr>
          <w:p>
            <w:pPr>
              <w:pStyle w:val="TableText"/>
              <w:rPr/>
            </w:pPr>
            <w:r/>
          </w:p>
        </w:tc>
      </w:tr>
      <w:tr>
        <w:trPr>
          <w:trHeight w:val="531" w:hRule="atLeast"/>
        </w:trPr>
        <w:tc>
          <w:tcPr>
            <w:tcW w:w="193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273" w:type="dxa"/>
            <w:vAlign w:val="top"/>
          </w:tcPr>
          <w:p>
            <w:pPr>
              <w:pStyle w:val="TableText"/>
              <w:ind w:left="508"/>
              <w:spacing w:before="189" w:line="171" w:lineRule="auto"/>
              <w:rPr>
                <w:sz w:val="16"/>
                <w:szCs w:val="16"/>
              </w:rPr>
            </w:pPr>
            <w:r>
              <w:rPr>
                <w:sz w:val="16"/>
                <w:szCs w:val="16"/>
                <w:color w:val="212529"/>
                <w:spacing w:val="5"/>
              </w:rPr>
              <w:t>25264.39</w:t>
            </w:r>
          </w:p>
        </w:tc>
        <w:tc>
          <w:tcPr>
            <w:tcW w:w="1991" w:type="dxa"/>
            <w:vAlign w:val="top"/>
          </w:tcPr>
          <w:p>
            <w:pPr>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88" w:type="dxa"/>
            <w:vAlign w:val="top"/>
          </w:tcPr>
          <w:p>
            <w:pPr>
              <w:pStyle w:val="TableText"/>
              <w:ind w:left="536"/>
              <w:spacing w:before="189" w:line="171" w:lineRule="auto"/>
              <w:rPr>
                <w:sz w:val="16"/>
                <w:szCs w:val="16"/>
              </w:rPr>
            </w:pPr>
            <w:r>
              <w:rPr>
                <w:sz w:val="16"/>
                <w:szCs w:val="16"/>
                <w:color w:val="212529"/>
                <w:spacing w:val="5"/>
              </w:rPr>
              <w:t>25264.39</w:t>
            </w:r>
          </w:p>
        </w:tc>
        <w:tc>
          <w:tcPr>
            <w:tcW w:w="1273" w:type="dxa"/>
            <w:vAlign w:val="top"/>
          </w:tcPr>
          <w:p>
            <w:pPr>
              <w:pStyle w:val="TableText"/>
              <w:ind w:left="520"/>
              <w:spacing w:before="188" w:line="183" w:lineRule="auto"/>
              <w:rPr>
                <w:sz w:val="15"/>
                <w:szCs w:val="15"/>
              </w:rPr>
            </w:pPr>
            <w:r>
              <w:rPr>
                <w:sz w:val="15"/>
                <w:szCs w:val="15"/>
                <w:color w:val="212529"/>
                <w:spacing w:val="3"/>
              </w:rPr>
              <w:t>25264.</w:t>
            </w:r>
            <w:r>
              <w:rPr>
                <w:sz w:val="15"/>
                <w:szCs w:val="15"/>
                <w:color w:val="212529"/>
                <w:spacing w:val="16"/>
              </w:rPr>
              <w:t xml:space="preserve"> </w:t>
            </w:r>
            <w:r>
              <w:rPr>
                <w:sz w:val="15"/>
                <w:szCs w:val="15"/>
                <w:color w:val="212529"/>
                <w:spacing w:val="3"/>
              </w:rPr>
              <w:t>39</w:t>
            </w:r>
          </w:p>
        </w:tc>
        <w:tc>
          <w:tcPr>
            <w:tcW w:w="786" w:type="dxa"/>
            <w:vAlign w:val="top"/>
          </w:tcPr>
          <w:p>
            <w:pPr>
              <w:pStyle w:val="TableText"/>
              <w:rPr/>
            </w:pPr>
            <w:r/>
          </w:p>
        </w:tc>
      </w:tr>
    </w:tbl>
    <w:p>
      <w:pPr>
        <w:ind w:left="1094"/>
        <w:spacing w:before="152" w:line="22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5"/>
          <w:position w:val="-1"/>
        </w:rPr>
        <w:t>注:</w:t>
      </w:r>
      <w:r>
        <w:rPr>
          <w:rFonts w:ascii="Microsoft YaHei" w:hAnsi="Microsoft YaHei" w:eastAsia="Microsoft YaHei" w:cs="Microsoft YaHei"/>
          <w:sz w:val="21"/>
          <w:szCs w:val="21"/>
          <w:color w:val="212529"/>
          <w:spacing w:val="15"/>
          <w:position w:val="-1"/>
        </w:rPr>
        <w:t xml:space="preserve">  </w:t>
      </w:r>
      <w:r>
        <w:rPr>
          <w:rFonts w:ascii="Microsoft YaHei" w:hAnsi="Microsoft YaHei" w:eastAsia="Microsoft YaHei" w:cs="Microsoft YaHei"/>
          <w:sz w:val="21"/>
          <w:szCs w:val="21"/>
          <w:color w:val="212529"/>
          <w:spacing w:val="15"/>
          <w:position w:val="-1"/>
        </w:rPr>
        <w:t>本套报表因取数时四舍五入,</w:t>
      </w:r>
      <w:r>
        <w:rPr>
          <w:rFonts w:ascii="Microsoft YaHei" w:hAnsi="Microsoft YaHei" w:eastAsia="Microsoft YaHei" w:cs="Microsoft YaHei"/>
          <w:sz w:val="21"/>
          <w:szCs w:val="21"/>
          <w:color w:val="212529"/>
          <w:spacing w:val="15"/>
          <w:position w:val="-1"/>
        </w:rPr>
        <w:t xml:space="preserve">  </w:t>
      </w:r>
      <w:r>
        <w:rPr>
          <w:rFonts w:ascii="Microsoft YaHei" w:hAnsi="Microsoft YaHei" w:eastAsia="Microsoft YaHei" w:cs="Microsoft YaHei"/>
          <w:sz w:val="21"/>
          <w:szCs w:val="21"/>
          <w:color w:val="212529"/>
          <w:spacing w:val="15"/>
          <w:position w:val="-1"/>
        </w:rPr>
        <w:t>部分金额可能存在尾差</w:t>
      </w:r>
    </w:p>
    <w:p>
      <w:pPr>
        <w:spacing w:line="220" w:lineRule="exact"/>
        <w:sectPr>
          <w:footerReference w:type="default" r:id="rId4"/>
          <w:pgSz w:w="11900" w:h="16840"/>
          <w:pgMar w:top="642" w:right="600" w:bottom="340" w:left="600" w:header="326" w:footer="93" w:gutter="0"/>
        </w:sectPr>
        <w:rPr>
          <w:rFonts w:ascii="Microsoft YaHei" w:hAnsi="Microsoft YaHei" w:eastAsia="Microsoft YaHei" w:cs="Microsoft YaHei"/>
          <w:sz w:val="21"/>
          <w:szCs w:val="21"/>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07"/>
        <w:gridCol w:w="1543"/>
        <w:gridCol w:w="1274"/>
        <w:gridCol w:w="1423"/>
        <w:gridCol w:w="1483"/>
        <w:gridCol w:w="1468"/>
        <w:gridCol w:w="959"/>
        <w:gridCol w:w="996"/>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0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4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2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955" w:type="dxa"/>
            <w:vAlign w:val="top"/>
            <w:gridSpan w:val="2"/>
            <w:tcBorders>
              <w:left w:val="single" w:color="FFFFFF" w:sz="2" w:space="0"/>
              <w:right w:val="single" w:color="FFFFFF" w:sz="2" w:space="0"/>
              <w:bottom w:val="single" w:color="FFFFFF" w:sz="6" w:space="0"/>
              <w:top w:val="single" w:color="FFFFFF" w:sz="6" w:space="0"/>
            </w:tcBorders>
          </w:tcPr>
          <w:p>
            <w:pPr>
              <w:ind w:left="93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8" w:id="9"/>
            <w:bookmarkEnd w:id="9"/>
            <w:bookmarkStart w:name="bookmark7" w:id="10"/>
            <w:bookmarkEnd w:id="10"/>
            <w:r>
              <w:rPr>
                <w:rFonts w:ascii="Microsoft YaHei" w:hAnsi="Microsoft YaHei" w:eastAsia="Microsoft YaHei" w:cs="Microsoft YaHei"/>
                <w:sz w:val="23"/>
                <w:szCs w:val="23"/>
                <w:color w:val="212529"/>
                <w:position w:val="-1"/>
              </w:rPr>
              <w:t>2026年预算收入总表</w:t>
            </w:r>
          </w:p>
        </w:tc>
      </w:tr>
      <w:tr>
        <w:trPr>
          <w:trHeight w:val="434" w:hRule="atLeast"/>
        </w:trPr>
        <w:tc>
          <w:tcPr>
            <w:tcW w:w="4323"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部门名称：长治市规划和自然资源局开发区分局</w:t>
            </w:r>
          </w:p>
        </w:tc>
        <w:tc>
          <w:tcPr>
            <w:tcW w:w="1543"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42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1955" w:type="dxa"/>
            <w:vAlign w:val="top"/>
            <w:gridSpan w:val="2"/>
            <w:tcBorders>
              <w:left w:val="single" w:color="FFFFFF" w:sz="2" w:space="0"/>
              <w:right w:val="single" w:color="FFFFFF" w:sz="2" w:space="0"/>
              <w:top w:val="single" w:color="FFFFFF" w:sz="6" w:space="0"/>
            </w:tcBorders>
          </w:tcPr>
          <w:p>
            <w:pPr>
              <w:ind w:left="102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23" w:type="dxa"/>
            <w:vAlign w:val="top"/>
            <w:gridSpan w:val="2"/>
          </w:tcPr>
          <w:p>
            <w:pPr>
              <w:ind w:left="196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150" w:type="dxa"/>
            <w:vAlign w:val="top"/>
            <w:gridSpan w:val="6"/>
          </w:tcPr>
          <w:p>
            <w:pPr>
              <w:ind w:left="370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996" w:type="dxa"/>
            <w:vAlign w:val="top"/>
            <w:vMerge w:val="restart"/>
            <w:tcBorders>
              <w:bottom w:val="nil"/>
            </w:tcBorders>
          </w:tcPr>
          <w:p>
            <w:pPr>
              <w:pStyle w:val="TableText"/>
              <w:spacing w:line="273" w:lineRule="auto"/>
              <w:rPr/>
            </w:pPr>
            <w:r/>
          </w:p>
          <w:p>
            <w:pPr>
              <w:ind w:left="12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07" w:type="dxa"/>
            <w:vAlign w:val="top"/>
          </w:tcPr>
          <w:p>
            <w:pPr>
              <w:ind w:left="1069"/>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543" w:type="dxa"/>
            <w:vAlign w:val="top"/>
          </w:tcPr>
          <w:p>
            <w:pPr>
              <w:ind w:left="575"/>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0"/>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423" w:type="dxa"/>
            <w:vAlign w:val="top"/>
          </w:tcPr>
          <w:p>
            <w:pPr>
              <w:ind w:left="248"/>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631" w:right="112" w:hanging="517"/>
              <w:spacing w:before="19"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rPr>
              <w:t>国有资本经营预</w:t>
            </w:r>
            <w:r>
              <w:rPr>
                <w:rFonts w:ascii="Microsoft YaHei" w:hAnsi="Microsoft YaHei" w:eastAsia="Microsoft YaHei" w:cs="Microsoft YaHei"/>
                <w:sz w:val="17"/>
                <w:szCs w:val="17"/>
                <w:color w:val="212529"/>
                <w:spacing w:val="12"/>
              </w:rPr>
              <w:t>算</w:t>
            </w:r>
          </w:p>
        </w:tc>
        <w:tc>
          <w:tcPr>
            <w:tcW w:w="1468" w:type="dxa"/>
            <w:vAlign w:val="top"/>
          </w:tcPr>
          <w:p>
            <w:pPr>
              <w:ind w:left="629" w:right="114" w:hanging="536"/>
              <w:spacing w:before="17" w:line="164" w:lineRule="auto"/>
              <w:rPr>
                <w:rFonts w:ascii="Microsoft YaHei" w:hAnsi="Microsoft YaHei" w:eastAsia="Microsoft YaHei" w:cs="Microsoft YaHei"/>
                <w:sz w:val="16"/>
                <w:szCs w:val="16"/>
              </w:rPr>
            </w:pPr>
            <w:r>
              <w:rPr>
                <w:rFonts w:ascii="Microsoft YaHei" w:hAnsi="Microsoft YaHei" w:eastAsia="Microsoft YaHei" w:cs="Microsoft YaHei"/>
                <w:sz w:val="17"/>
                <w:szCs w:val="17"/>
                <w:color w:val="212529"/>
                <w:spacing w:val="7"/>
              </w:rPr>
              <w:t>财政专户管理资</w:t>
            </w:r>
            <w:r>
              <w:rPr>
                <w:rFonts w:ascii="Microsoft YaHei" w:hAnsi="Microsoft YaHei" w:eastAsia="Microsoft YaHei" w:cs="Microsoft YaHei"/>
                <w:sz w:val="16"/>
                <w:szCs w:val="16"/>
                <w:color w:val="212529"/>
                <w:spacing w:val="18"/>
              </w:rPr>
              <w:t>金</w:t>
            </w:r>
          </w:p>
        </w:tc>
        <w:tc>
          <w:tcPr>
            <w:tcW w:w="959" w:type="dxa"/>
            <w:vAlign w:val="top"/>
          </w:tcPr>
          <w:p>
            <w:pPr>
              <w:ind w:left="10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996" w:type="dxa"/>
            <w:vAlign w:val="top"/>
            <w:vMerge w:val="continue"/>
            <w:tcBorders>
              <w:top w:val="nil"/>
            </w:tcBorders>
          </w:tcPr>
          <w:p>
            <w:pPr>
              <w:pStyle w:val="TableText"/>
              <w:rPr/>
            </w:pPr>
            <w:r/>
          </w:p>
        </w:tc>
      </w:tr>
      <w:tr>
        <w:trPr>
          <w:trHeight w:val="434" w:hRule="atLeast"/>
        </w:trPr>
        <w:tc>
          <w:tcPr>
            <w:tcW w:w="4323" w:type="dxa"/>
            <w:vAlign w:val="top"/>
            <w:gridSpan w:val="2"/>
          </w:tcPr>
          <w:p>
            <w:pPr>
              <w:ind w:left="196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543" w:type="dxa"/>
            <w:vAlign w:val="top"/>
          </w:tcPr>
          <w:p>
            <w:pPr>
              <w:pStyle w:val="TableText"/>
              <w:ind w:left="783"/>
              <w:spacing w:before="149" w:line="183" w:lineRule="auto"/>
              <w:rPr>
                <w:sz w:val="15"/>
                <w:szCs w:val="15"/>
              </w:rPr>
            </w:pPr>
            <w:r>
              <w:rPr>
                <w:sz w:val="15"/>
                <w:szCs w:val="15"/>
                <w:color w:val="212529"/>
                <w:spacing w:val="3"/>
              </w:rPr>
              <w:t>25264.</w:t>
            </w:r>
            <w:r>
              <w:rPr>
                <w:sz w:val="15"/>
                <w:szCs w:val="15"/>
                <w:color w:val="212529"/>
                <w:spacing w:val="16"/>
              </w:rPr>
              <w:t xml:space="preserve"> </w:t>
            </w:r>
            <w:r>
              <w:rPr>
                <w:sz w:val="15"/>
                <w:szCs w:val="15"/>
                <w:color w:val="212529"/>
                <w:spacing w:val="3"/>
              </w:rPr>
              <w:t>39</w:t>
            </w:r>
          </w:p>
        </w:tc>
        <w:tc>
          <w:tcPr>
            <w:tcW w:w="1274" w:type="dxa"/>
            <w:vAlign w:val="top"/>
          </w:tcPr>
          <w:p>
            <w:pPr>
              <w:pStyle w:val="TableText"/>
              <w:ind w:left="615"/>
              <w:spacing w:before="150" w:line="161" w:lineRule="auto"/>
              <w:rPr>
                <w:sz w:val="17"/>
                <w:szCs w:val="17"/>
              </w:rPr>
            </w:pPr>
            <w:r>
              <w:rPr>
                <w:sz w:val="17"/>
                <w:szCs w:val="17"/>
                <w:color w:val="212529"/>
              </w:rPr>
              <w:t>2264.47</w:t>
            </w:r>
          </w:p>
        </w:tc>
        <w:tc>
          <w:tcPr>
            <w:tcW w:w="1423" w:type="dxa"/>
            <w:vAlign w:val="top"/>
          </w:tcPr>
          <w:p>
            <w:pPr>
              <w:pStyle w:val="TableText"/>
              <w:ind w:left="668"/>
              <w:spacing w:before="149" w:line="183" w:lineRule="auto"/>
              <w:rPr>
                <w:sz w:val="15"/>
                <w:szCs w:val="15"/>
              </w:rPr>
            </w:pPr>
            <w:r>
              <w:rPr>
                <w:sz w:val="15"/>
                <w:szCs w:val="15"/>
                <w:color w:val="212529"/>
                <w:spacing w:val="3"/>
              </w:rPr>
              <w:t>22999.</w:t>
            </w:r>
            <w:r>
              <w:rPr>
                <w:sz w:val="15"/>
                <w:szCs w:val="15"/>
                <w:color w:val="212529"/>
                <w:spacing w:val="15"/>
              </w:rPr>
              <w:t xml:space="preserve"> </w:t>
            </w:r>
            <w:r>
              <w:rPr>
                <w:sz w:val="15"/>
                <w:szCs w:val="15"/>
                <w:color w:val="212529"/>
                <w:spacing w:val="3"/>
              </w:rPr>
              <w:t>92</w:t>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07" w:type="dxa"/>
            <w:vAlign w:val="top"/>
          </w:tcPr>
          <w:p>
            <w:pPr>
              <w:spacing w:before="128"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543" w:type="dxa"/>
            <w:vAlign w:val="top"/>
          </w:tcPr>
          <w:p>
            <w:pPr>
              <w:ind w:right="30"/>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5.26</w:t>
            </w:r>
          </w:p>
        </w:tc>
        <w:tc>
          <w:tcPr>
            <w:tcW w:w="1274" w:type="dxa"/>
            <w:vAlign w:val="top"/>
          </w:tcPr>
          <w:p>
            <w:pPr>
              <w:ind w:right="20"/>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5.26</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0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43" w:type="dxa"/>
            <w:vAlign w:val="top"/>
          </w:tcPr>
          <w:p>
            <w:pPr>
              <w:ind w:right="3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4.88</w:t>
            </w:r>
          </w:p>
        </w:tc>
        <w:tc>
          <w:tcPr>
            <w:tcW w:w="1274"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4.88</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07" w:type="dxa"/>
            <w:vAlign w:val="top"/>
          </w:tcPr>
          <w:p>
            <w:pPr>
              <w:ind w:left="16" w:right="203" w:hanging="16"/>
              <w:spacing w:before="26" w:line="204"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w:t>
            </w:r>
            <w:r>
              <w:rPr>
                <w:rFonts w:ascii="SimSun" w:hAnsi="SimSun" w:eastAsia="SimSun" w:cs="SimSun"/>
                <w:sz w:val="18"/>
                <w:szCs w:val="18"/>
                <w:color w:val="212529"/>
              </w:rPr>
              <w:t>出</w:t>
            </w:r>
          </w:p>
        </w:tc>
        <w:tc>
          <w:tcPr>
            <w:tcW w:w="1543" w:type="dxa"/>
            <w:vAlign w:val="top"/>
          </w:tcPr>
          <w:p>
            <w:pPr>
              <w:ind w:right="30"/>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3.60</w:t>
            </w:r>
          </w:p>
        </w:tc>
        <w:tc>
          <w:tcPr>
            <w:tcW w:w="1274" w:type="dxa"/>
            <w:vAlign w:val="top"/>
          </w:tcPr>
          <w:p>
            <w:pPr>
              <w:ind w:right="20"/>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3.60</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07" w:type="dxa"/>
            <w:vAlign w:val="top"/>
          </w:tcPr>
          <w:p>
            <w:pPr>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43" w:type="dxa"/>
            <w:vAlign w:val="top"/>
          </w:tcPr>
          <w:p>
            <w:pPr>
              <w:ind w:right="28"/>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1.28</w:t>
            </w:r>
          </w:p>
        </w:tc>
        <w:tc>
          <w:tcPr>
            <w:tcW w:w="1274" w:type="dxa"/>
            <w:vAlign w:val="top"/>
          </w:tcPr>
          <w:p>
            <w:pPr>
              <w:ind w:right="17"/>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1.28</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2907" w:type="dxa"/>
            <w:vAlign w:val="top"/>
          </w:tcPr>
          <w:p>
            <w:pPr>
              <w:spacing w:before="133"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543" w:type="dxa"/>
            <w:vAlign w:val="top"/>
          </w:tcPr>
          <w:p>
            <w:pPr>
              <w:ind w:right="3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0.34</w:t>
            </w:r>
          </w:p>
        </w:tc>
        <w:tc>
          <w:tcPr>
            <w:tcW w:w="1274" w:type="dxa"/>
            <w:vAlign w:val="top"/>
          </w:tcPr>
          <w:p>
            <w:pPr>
              <w:ind w:right="20"/>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0.34</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2907" w:type="dxa"/>
            <w:vAlign w:val="top"/>
          </w:tcPr>
          <w:p>
            <w:pPr>
              <w:spacing w:before="134"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543" w:type="dxa"/>
            <w:vAlign w:val="top"/>
          </w:tcPr>
          <w:p>
            <w:pPr>
              <w:ind w:right="3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0.34</w:t>
            </w:r>
          </w:p>
        </w:tc>
        <w:tc>
          <w:tcPr>
            <w:tcW w:w="1274" w:type="dxa"/>
            <w:vAlign w:val="top"/>
          </w:tcPr>
          <w:p>
            <w:pPr>
              <w:ind w:right="20"/>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0.34</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2907" w:type="dxa"/>
            <w:vAlign w:val="top"/>
          </w:tcPr>
          <w:p>
            <w:pPr>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543" w:type="dxa"/>
            <w:vAlign w:val="top"/>
          </w:tcPr>
          <w:p>
            <w:pPr>
              <w:ind w:right="3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0.05</w:t>
            </w:r>
          </w:p>
        </w:tc>
        <w:tc>
          <w:tcPr>
            <w:tcW w:w="1274" w:type="dxa"/>
            <w:vAlign w:val="top"/>
          </w:tcPr>
          <w:p>
            <w:pPr>
              <w:ind w:right="20"/>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0.05</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2907" w:type="dxa"/>
            <w:vAlign w:val="top"/>
          </w:tcPr>
          <w:p>
            <w:pPr>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543" w:type="dxa"/>
            <w:vAlign w:val="top"/>
          </w:tcPr>
          <w:p>
            <w:pPr>
              <w:ind w:right="3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0.05</w:t>
            </w:r>
          </w:p>
        </w:tc>
        <w:tc>
          <w:tcPr>
            <w:tcW w:w="1274" w:type="dxa"/>
            <w:vAlign w:val="top"/>
          </w:tcPr>
          <w:p>
            <w:pPr>
              <w:ind w:right="20"/>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0.05</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07"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43" w:type="dxa"/>
            <w:vAlign w:val="top"/>
          </w:tcPr>
          <w:p>
            <w:pPr>
              <w:ind w:right="30"/>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3.18</w:t>
            </w:r>
          </w:p>
        </w:tc>
        <w:tc>
          <w:tcPr>
            <w:tcW w:w="1274" w:type="dxa"/>
            <w:vAlign w:val="top"/>
          </w:tcPr>
          <w:p>
            <w:pPr>
              <w:ind w:right="20"/>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3.18</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0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43" w:type="dxa"/>
            <w:vAlign w:val="top"/>
          </w:tcPr>
          <w:p>
            <w:pPr>
              <w:ind w:right="3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3.18</w:t>
            </w:r>
          </w:p>
        </w:tc>
        <w:tc>
          <w:tcPr>
            <w:tcW w:w="1274" w:type="dxa"/>
            <w:vAlign w:val="top"/>
          </w:tcPr>
          <w:p>
            <w:pPr>
              <w:ind w:right="2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3.18</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0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54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2.19</w:t>
            </w:r>
          </w:p>
        </w:tc>
        <w:tc>
          <w:tcPr>
            <w:tcW w:w="1274"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2.19</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0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4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274"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5" w:hRule="atLeast"/>
        </w:trPr>
        <w:tc>
          <w:tcPr>
            <w:tcW w:w="1416"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212</w:t>
            </w:r>
          </w:p>
        </w:tc>
        <w:tc>
          <w:tcPr>
            <w:tcW w:w="290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54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22999.92</w:t>
            </w:r>
          </w:p>
        </w:tc>
        <w:tc>
          <w:tcPr>
            <w:tcW w:w="1274" w:type="dxa"/>
            <w:vAlign w:val="top"/>
          </w:tcPr>
          <w:p>
            <w:pPr>
              <w:pStyle w:val="TableText"/>
              <w:rPr/>
            </w:pPr>
            <w:r/>
          </w:p>
        </w:tc>
        <w:tc>
          <w:tcPr>
            <w:tcW w:w="1423"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22999.92</w:t>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21208</w:t>
            </w:r>
          </w:p>
        </w:tc>
        <w:tc>
          <w:tcPr>
            <w:tcW w:w="2907" w:type="dxa"/>
            <w:vAlign w:val="top"/>
          </w:tcPr>
          <w:p>
            <w:pPr>
              <w:ind w:left="10" w:right="203" w:firstLine="2"/>
              <w:spacing w:before="35" w:line="200" w:lineRule="auto"/>
              <w:rPr>
                <w:rFonts w:ascii="SimSun" w:hAnsi="SimSun" w:eastAsia="SimSun" w:cs="SimSun"/>
                <w:sz w:val="18"/>
                <w:szCs w:val="18"/>
              </w:rPr>
            </w:pPr>
            <w:r>
              <w:rPr>
                <w:rFonts w:ascii="SimSun" w:hAnsi="SimSun" w:eastAsia="SimSun" w:cs="SimSun"/>
                <w:sz w:val="18"/>
                <w:szCs w:val="18"/>
                <w:color w:val="212529"/>
                <w:spacing w:val="-2"/>
              </w:rPr>
              <w:t>国有土地使用权出让收入安排的支</w:t>
            </w:r>
            <w:r>
              <w:rPr>
                <w:rFonts w:ascii="SimSun" w:hAnsi="SimSun" w:eastAsia="SimSun" w:cs="SimSun"/>
                <w:sz w:val="18"/>
                <w:szCs w:val="18"/>
                <w:color w:val="212529"/>
              </w:rPr>
              <w:t>出</w:t>
            </w:r>
          </w:p>
        </w:tc>
        <w:tc>
          <w:tcPr>
            <w:tcW w:w="1543"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19399.92</w:t>
            </w:r>
          </w:p>
        </w:tc>
        <w:tc>
          <w:tcPr>
            <w:tcW w:w="1274" w:type="dxa"/>
            <w:vAlign w:val="top"/>
          </w:tcPr>
          <w:p>
            <w:pPr>
              <w:pStyle w:val="TableText"/>
              <w:rPr/>
            </w:pPr>
            <w:r/>
          </w:p>
        </w:tc>
        <w:tc>
          <w:tcPr>
            <w:tcW w:w="1423"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19399.92</w:t>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2120801</w:t>
            </w:r>
          </w:p>
        </w:tc>
        <w:tc>
          <w:tcPr>
            <w:tcW w:w="290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征地和拆迁补偿支出</w:t>
            </w:r>
          </w:p>
        </w:tc>
        <w:tc>
          <w:tcPr>
            <w:tcW w:w="1543"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1348.40</w:t>
            </w:r>
          </w:p>
        </w:tc>
        <w:tc>
          <w:tcPr>
            <w:tcW w:w="1274" w:type="dxa"/>
            <w:vAlign w:val="top"/>
          </w:tcPr>
          <w:p>
            <w:pPr>
              <w:pStyle w:val="TableText"/>
              <w:rPr/>
            </w:pPr>
            <w:r/>
          </w:p>
        </w:tc>
        <w:tc>
          <w:tcPr>
            <w:tcW w:w="1423"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1348.40</w:t>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42"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2120805</w:t>
            </w:r>
          </w:p>
        </w:tc>
        <w:tc>
          <w:tcPr>
            <w:tcW w:w="290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补助被征地农民支出</w:t>
            </w:r>
          </w:p>
        </w:tc>
        <w:tc>
          <w:tcPr>
            <w:tcW w:w="154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5000.00</w:t>
            </w:r>
          </w:p>
        </w:tc>
        <w:tc>
          <w:tcPr>
            <w:tcW w:w="1274" w:type="dxa"/>
            <w:vAlign w:val="top"/>
          </w:tcPr>
          <w:p>
            <w:pPr>
              <w:pStyle w:val="TableText"/>
              <w:rPr/>
            </w:pPr>
            <w:r/>
          </w:p>
        </w:tc>
        <w:tc>
          <w:tcPr>
            <w:tcW w:w="1423"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5000.00</w:t>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bl>
    <w:p>
      <w:pPr>
        <w:pStyle w:val="BodyText"/>
        <w:rPr/>
      </w:pPr>
      <w:r/>
    </w:p>
    <w:p>
      <w:pPr>
        <w:sectPr>
          <w:headerReference w:type="default" r:id="rId5"/>
          <w:footerReference w:type="default" r:id="rId6"/>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07"/>
        <w:gridCol w:w="1543"/>
        <w:gridCol w:w="1274"/>
        <w:gridCol w:w="1423"/>
        <w:gridCol w:w="1483"/>
        <w:gridCol w:w="1468"/>
        <w:gridCol w:w="959"/>
        <w:gridCol w:w="996"/>
      </w:tblGrid>
      <w:tr>
        <w:trPr>
          <w:trHeight w:val="441"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2120806</w:t>
            </w:r>
          </w:p>
        </w:tc>
        <w:tc>
          <w:tcPr>
            <w:tcW w:w="2907"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2"/>
              </w:rPr>
              <w:t>土地出让业务支出</w:t>
            </w:r>
          </w:p>
        </w:tc>
        <w:tc>
          <w:tcPr>
            <w:tcW w:w="1543"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2366.52</w:t>
            </w:r>
          </w:p>
        </w:tc>
        <w:tc>
          <w:tcPr>
            <w:tcW w:w="1274" w:type="dxa"/>
            <w:vAlign w:val="top"/>
          </w:tcPr>
          <w:p>
            <w:pPr>
              <w:pStyle w:val="TableText"/>
              <w:rPr/>
            </w:pPr>
            <w:r/>
          </w:p>
        </w:tc>
        <w:tc>
          <w:tcPr>
            <w:tcW w:w="1423"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2366.52</w:t>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3" w:hRule="atLeast"/>
        </w:trPr>
        <w:tc>
          <w:tcPr>
            <w:tcW w:w="1416"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2120899</w:t>
            </w:r>
          </w:p>
        </w:tc>
        <w:tc>
          <w:tcPr>
            <w:tcW w:w="2907" w:type="dxa"/>
            <w:vAlign w:val="top"/>
          </w:tcPr>
          <w:p>
            <w:pPr>
              <w:ind w:left="15" w:right="203" w:hanging="15"/>
              <w:spacing w:before="5" w:line="214" w:lineRule="auto"/>
              <w:rPr>
                <w:rFonts w:ascii="SimSun" w:hAnsi="SimSun" w:eastAsia="SimSun" w:cs="SimSun"/>
                <w:sz w:val="18"/>
                <w:szCs w:val="18"/>
              </w:rPr>
            </w:pPr>
            <w:r>
              <w:rPr>
                <w:rFonts w:ascii="SimSun" w:hAnsi="SimSun" w:eastAsia="SimSun" w:cs="SimSun"/>
                <w:sz w:val="18"/>
                <w:szCs w:val="18"/>
                <w:color w:val="212529"/>
                <w:spacing w:val="-1"/>
              </w:rPr>
              <w:t>其他国有土地使用权出让收入安排</w:t>
            </w:r>
            <w:r>
              <w:rPr>
                <w:rFonts w:ascii="SimSun" w:hAnsi="SimSun" w:eastAsia="SimSun" w:cs="SimSun"/>
                <w:sz w:val="18"/>
                <w:szCs w:val="18"/>
                <w:color w:val="212529"/>
                <w:spacing w:val="-6"/>
              </w:rPr>
              <w:t>的支出</w:t>
            </w:r>
          </w:p>
        </w:tc>
        <w:tc>
          <w:tcPr>
            <w:tcW w:w="1543" w:type="dxa"/>
            <w:vAlign w:val="top"/>
          </w:tcPr>
          <w:p>
            <w:pPr>
              <w:ind w:right="30"/>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3"/>
              </w:rPr>
              <w:t>10685.00</w:t>
            </w:r>
          </w:p>
        </w:tc>
        <w:tc>
          <w:tcPr>
            <w:tcW w:w="1274" w:type="dxa"/>
            <w:vAlign w:val="top"/>
          </w:tcPr>
          <w:p>
            <w:pPr>
              <w:pStyle w:val="TableText"/>
              <w:rPr/>
            </w:pPr>
            <w:r/>
          </w:p>
        </w:tc>
        <w:tc>
          <w:tcPr>
            <w:tcW w:w="1423" w:type="dxa"/>
            <w:vAlign w:val="top"/>
          </w:tcPr>
          <w:p>
            <w:pPr>
              <w:ind w:right="25"/>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3"/>
              </w:rPr>
              <w:t>10685.00</w:t>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3" w:hRule="atLeast"/>
        </w:trPr>
        <w:tc>
          <w:tcPr>
            <w:tcW w:w="141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21210</w:t>
            </w:r>
          </w:p>
        </w:tc>
        <w:tc>
          <w:tcPr>
            <w:tcW w:w="2907" w:type="dxa"/>
            <w:vAlign w:val="top"/>
          </w:tcPr>
          <w:p>
            <w:pPr>
              <w:ind w:left="13"/>
              <w:spacing w:before="111" w:line="219" w:lineRule="auto"/>
              <w:rPr>
                <w:rFonts w:ascii="SimSun" w:hAnsi="SimSun" w:eastAsia="SimSun" w:cs="SimSun"/>
                <w:sz w:val="18"/>
                <w:szCs w:val="18"/>
              </w:rPr>
            </w:pPr>
            <w:r>
              <w:rPr>
                <w:rFonts w:ascii="SimSun" w:hAnsi="SimSun" w:eastAsia="SimSun" w:cs="SimSun"/>
                <w:sz w:val="18"/>
                <w:szCs w:val="18"/>
                <w:color w:val="212529"/>
                <w:spacing w:val="-2"/>
              </w:rPr>
              <w:t>国有土地收益基金安排的支出</w:t>
            </w:r>
          </w:p>
        </w:tc>
        <w:tc>
          <w:tcPr>
            <w:tcW w:w="1543" w:type="dxa"/>
            <w:vAlign w:val="top"/>
          </w:tcPr>
          <w:p>
            <w:pPr>
              <w:ind w:right="31"/>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3600.00</w:t>
            </w:r>
          </w:p>
        </w:tc>
        <w:tc>
          <w:tcPr>
            <w:tcW w:w="1274" w:type="dxa"/>
            <w:vAlign w:val="top"/>
          </w:tcPr>
          <w:p>
            <w:pPr>
              <w:pStyle w:val="TableText"/>
              <w:rPr/>
            </w:pPr>
            <w:r/>
          </w:p>
        </w:tc>
        <w:tc>
          <w:tcPr>
            <w:tcW w:w="1423" w:type="dxa"/>
            <w:vAlign w:val="top"/>
          </w:tcPr>
          <w:p>
            <w:pPr>
              <w:ind w:right="26"/>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3600.00</w:t>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2121001</w:t>
            </w:r>
          </w:p>
        </w:tc>
        <w:tc>
          <w:tcPr>
            <w:tcW w:w="2907"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2"/>
              </w:rPr>
              <w:t>征地和拆迁补偿支出</w:t>
            </w:r>
          </w:p>
        </w:tc>
        <w:tc>
          <w:tcPr>
            <w:tcW w:w="1543" w:type="dxa"/>
            <w:vAlign w:val="top"/>
          </w:tcPr>
          <w:p>
            <w:pPr>
              <w:ind w:right="31"/>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3600.00</w:t>
            </w:r>
          </w:p>
        </w:tc>
        <w:tc>
          <w:tcPr>
            <w:tcW w:w="1274" w:type="dxa"/>
            <w:vAlign w:val="top"/>
          </w:tcPr>
          <w:p>
            <w:pPr>
              <w:pStyle w:val="TableText"/>
              <w:rPr/>
            </w:pPr>
            <w:r/>
          </w:p>
        </w:tc>
        <w:tc>
          <w:tcPr>
            <w:tcW w:w="1423" w:type="dxa"/>
            <w:vAlign w:val="top"/>
          </w:tcPr>
          <w:p>
            <w:pPr>
              <w:ind w:right="26"/>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3600.00</w:t>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3"/>
              </w:rPr>
              <w:t>220</w:t>
            </w:r>
          </w:p>
        </w:tc>
        <w:tc>
          <w:tcPr>
            <w:tcW w:w="2907" w:type="dxa"/>
            <w:vAlign w:val="top"/>
          </w:tcPr>
          <w:p>
            <w:pPr>
              <w:ind w:left="30"/>
              <w:spacing w:before="114" w:line="219" w:lineRule="auto"/>
              <w:rPr>
                <w:rFonts w:ascii="SimSun" w:hAnsi="SimSun" w:eastAsia="SimSun" w:cs="SimSun"/>
                <w:sz w:val="18"/>
                <w:szCs w:val="18"/>
              </w:rPr>
            </w:pPr>
            <w:r>
              <w:rPr>
                <w:rFonts w:ascii="SimSun" w:hAnsi="SimSun" w:eastAsia="SimSun" w:cs="SimSun"/>
                <w:sz w:val="18"/>
                <w:szCs w:val="18"/>
                <w:color w:val="212529"/>
                <w:spacing w:val="-4"/>
              </w:rPr>
              <w:t>自然资源海洋气象等支出</w:t>
            </w:r>
          </w:p>
        </w:tc>
        <w:tc>
          <w:tcPr>
            <w:tcW w:w="1543" w:type="dxa"/>
            <w:vAlign w:val="top"/>
          </w:tcPr>
          <w:p>
            <w:pPr>
              <w:ind w:right="32"/>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2253.23</w:t>
            </w:r>
          </w:p>
        </w:tc>
        <w:tc>
          <w:tcPr>
            <w:tcW w:w="1274" w:type="dxa"/>
            <w:vAlign w:val="top"/>
          </w:tcPr>
          <w:p>
            <w:pPr>
              <w:ind w:right="21"/>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2253.23</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22001</w:t>
            </w:r>
          </w:p>
        </w:tc>
        <w:tc>
          <w:tcPr>
            <w:tcW w:w="2907" w:type="dxa"/>
            <w:vAlign w:val="top"/>
          </w:tcPr>
          <w:p>
            <w:pPr>
              <w:ind w:left="30"/>
              <w:spacing w:before="115" w:line="219" w:lineRule="auto"/>
              <w:rPr>
                <w:rFonts w:ascii="SimSun" w:hAnsi="SimSun" w:eastAsia="SimSun" w:cs="SimSun"/>
                <w:sz w:val="18"/>
                <w:szCs w:val="18"/>
              </w:rPr>
            </w:pPr>
            <w:r>
              <w:rPr>
                <w:rFonts w:ascii="SimSun" w:hAnsi="SimSun" w:eastAsia="SimSun" w:cs="SimSun"/>
                <w:sz w:val="18"/>
                <w:szCs w:val="18"/>
                <w:color w:val="212529"/>
                <w:spacing w:val="-6"/>
              </w:rPr>
              <w:t>自然资源事务</w:t>
            </w:r>
          </w:p>
        </w:tc>
        <w:tc>
          <w:tcPr>
            <w:tcW w:w="1543"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2253.23</w:t>
            </w:r>
          </w:p>
        </w:tc>
        <w:tc>
          <w:tcPr>
            <w:tcW w:w="1274" w:type="dxa"/>
            <w:vAlign w:val="top"/>
          </w:tcPr>
          <w:p>
            <w:pPr>
              <w:ind w:right="2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2253.23</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2200101</w:t>
            </w:r>
          </w:p>
        </w:tc>
        <w:tc>
          <w:tcPr>
            <w:tcW w:w="2907"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543" w:type="dxa"/>
            <w:vAlign w:val="top"/>
          </w:tcPr>
          <w:p>
            <w:pPr>
              <w:ind w:right="31"/>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25.66</w:t>
            </w:r>
          </w:p>
        </w:tc>
        <w:tc>
          <w:tcPr>
            <w:tcW w:w="1274" w:type="dxa"/>
            <w:vAlign w:val="top"/>
          </w:tcPr>
          <w:p>
            <w:pPr>
              <w:ind w:right="20"/>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25.66</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2200102</w:t>
            </w:r>
          </w:p>
        </w:tc>
        <w:tc>
          <w:tcPr>
            <w:tcW w:w="2907"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543" w:type="dxa"/>
            <w:vAlign w:val="top"/>
          </w:tcPr>
          <w:p>
            <w:pPr>
              <w:ind w:right="3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227.58</w:t>
            </w:r>
          </w:p>
        </w:tc>
        <w:tc>
          <w:tcPr>
            <w:tcW w:w="1274" w:type="dxa"/>
            <w:vAlign w:val="top"/>
          </w:tcPr>
          <w:p>
            <w:pPr>
              <w:ind w:right="2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227.58</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2200106</w:t>
            </w:r>
          </w:p>
        </w:tc>
        <w:tc>
          <w:tcPr>
            <w:tcW w:w="2907" w:type="dxa"/>
            <w:vAlign w:val="top"/>
          </w:tcPr>
          <w:p>
            <w:pPr>
              <w:ind w:left="30"/>
              <w:spacing w:before="119" w:line="219" w:lineRule="auto"/>
              <w:rPr>
                <w:rFonts w:ascii="SimSun" w:hAnsi="SimSun" w:eastAsia="SimSun" w:cs="SimSun"/>
                <w:sz w:val="18"/>
                <w:szCs w:val="18"/>
              </w:rPr>
            </w:pPr>
            <w:r>
              <w:rPr>
                <w:rFonts w:ascii="SimSun" w:hAnsi="SimSun" w:eastAsia="SimSun" w:cs="SimSun"/>
                <w:sz w:val="18"/>
                <w:szCs w:val="18"/>
                <w:color w:val="212529"/>
                <w:spacing w:val="-5"/>
              </w:rPr>
              <w:t>自然资源利用与保护</w:t>
            </w:r>
          </w:p>
        </w:tc>
        <w:tc>
          <w:tcPr>
            <w:tcW w:w="1543" w:type="dxa"/>
            <w:vAlign w:val="top"/>
          </w:tcPr>
          <w:p>
            <w:pPr>
              <w:ind w:right="3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2000.00</w:t>
            </w:r>
          </w:p>
        </w:tc>
        <w:tc>
          <w:tcPr>
            <w:tcW w:w="1274" w:type="dxa"/>
            <w:vAlign w:val="top"/>
          </w:tcPr>
          <w:p>
            <w:pPr>
              <w:ind w:right="21"/>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2000.00</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221</w:t>
            </w:r>
          </w:p>
        </w:tc>
        <w:tc>
          <w:tcPr>
            <w:tcW w:w="2907"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43" w:type="dxa"/>
            <w:vAlign w:val="top"/>
          </w:tcPr>
          <w:p>
            <w:pPr>
              <w:ind w:right="31"/>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2.79</w:t>
            </w:r>
          </w:p>
        </w:tc>
        <w:tc>
          <w:tcPr>
            <w:tcW w:w="1274" w:type="dxa"/>
            <w:vAlign w:val="top"/>
          </w:tcPr>
          <w:p>
            <w:pPr>
              <w:ind w:right="20"/>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2.79</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34" w:hRule="atLeast"/>
        </w:trPr>
        <w:tc>
          <w:tcPr>
            <w:tcW w:w="1416"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07" w:type="dxa"/>
            <w:vAlign w:val="top"/>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43" w:type="dxa"/>
            <w:vAlign w:val="top"/>
          </w:tcPr>
          <w:p>
            <w:pPr>
              <w:ind w:right="31"/>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2.79</w:t>
            </w:r>
          </w:p>
        </w:tc>
        <w:tc>
          <w:tcPr>
            <w:tcW w:w="1274" w:type="dxa"/>
            <w:vAlign w:val="top"/>
          </w:tcPr>
          <w:p>
            <w:pPr>
              <w:ind w:right="20"/>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2.79</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r>
        <w:trPr>
          <w:trHeight w:val="441" w:hRule="atLeast"/>
        </w:trPr>
        <w:tc>
          <w:tcPr>
            <w:tcW w:w="141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07" w:type="dxa"/>
            <w:vAlign w:val="top"/>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43" w:type="dxa"/>
            <w:vAlign w:val="top"/>
          </w:tcPr>
          <w:p>
            <w:pPr>
              <w:ind w:right="3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2.79</w:t>
            </w:r>
          </w:p>
        </w:tc>
        <w:tc>
          <w:tcPr>
            <w:tcW w:w="1274" w:type="dxa"/>
            <w:vAlign w:val="top"/>
          </w:tcPr>
          <w:p>
            <w:pPr>
              <w:ind w:right="20"/>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2.79</w:t>
            </w:r>
          </w:p>
        </w:tc>
        <w:tc>
          <w:tcPr>
            <w:tcW w:w="1423"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959" w:type="dxa"/>
            <w:vAlign w:val="top"/>
          </w:tcPr>
          <w:p>
            <w:pPr>
              <w:pStyle w:val="TableText"/>
              <w:rPr/>
            </w:pPr>
            <w:r/>
          </w:p>
        </w:tc>
        <w:tc>
          <w:tcPr>
            <w:tcW w:w="996" w:type="dxa"/>
            <w:vAlign w:val="top"/>
          </w:tcPr>
          <w:p>
            <w:pPr>
              <w:pStyle w:val="TableText"/>
              <w:rPr/>
            </w:pPr>
            <w:r/>
          </w:p>
        </w:tc>
      </w:tr>
    </w:tbl>
    <w:p>
      <w:pPr>
        <w:pStyle w:val="BodyText"/>
        <w:rPr/>
      </w:pPr>
      <w:r/>
    </w:p>
    <w:p>
      <w:pPr>
        <w:sectPr>
          <w:footerReference w:type="default" r:id="rId7"/>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2"/>
        <w:gridCol w:w="3186"/>
        <w:gridCol w:w="1523"/>
        <w:gridCol w:w="1263"/>
        <w:gridCol w:w="1474"/>
      </w:tblGrid>
      <w:tr>
        <w:trPr>
          <w:trHeight w:val="320" w:hRule="atLeast"/>
        </w:trPr>
        <w:tc>
          <w:tcPr>
            <w:tcW w:w="17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8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5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74" w:type="dxa"/>
            <w:vAlign w:val="top"/>
            <w:tcBorders>
              <w:bottom w:val="single" w:color="FFFFFF" w:sz="4" w:space="0"/>
              <w:top w:val="single" w:color="FFFFFF" w:sz="4" w:space="0"/>
              <w:left w:val="single" w:color="FFFFFF" w:sz="2" w:space="0"/>
              <w:right w:val="single" w:color="FFFFFF" w:sz="2" w:space="0"/>
            </w:tcBorders>
          </w:tcPr>
          <w:p>
            <w:pPr>
              <w:ind w:left="735"/>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39" w:id="11"/>
            <w:bookmarkEnd w:id="11"/>
            <w:bookmarkStart w:name="bookmark8" w:id="12"/>
            <w:bookmarkEnd w:id="12"/>
            <w:r>
              <w:rPr>
                <w:rFonts w:ascii="Microsoft YaHei" w:hAnsi="Microsoft YaHei" w:eastAsia="Microsoft YaHei" w:cs="Microsoft YaHei"/>
                <w:sz w:val="19"/>
                <w:szCs w:val="19"/>
                <w:color w:val="212529"/>
                <w:spacing w:val="2"/>
                <w:position w:val="-1"/>
              </w:rPr>
              <w:t>2026年预算支出总表</w:t>
            </w:r>
          </w:p>
        </w:tc>
      </w:tr>
      <w:tr>
        <w:trPr>
          <w:trHeight w:val="314" w:hRule="atLeast"/>
        </w:trPr>
        <w:tc>
          <w:tcPr>
            <w:tcW w:w="6421"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1263" w:type="dxa"/>
            <w:vAlign w:val="top"/>
            <w:tcBorders>
              <w:top w:val="single" w:color="FFFFFF" w:sz="4" w:space="0"/>
              <w:left w:val="single" w:color="FFFFFF" w:sz="2" w:space="0"/>
              <w:right w:val="single" w:color="FFFFFF" w:sz="2" w:space="0"/>
            </w:tcBorders>
          </w:tcPr>
          <w:p>
            <w:pPr>
              <w:pStyle w:val="TableText"/>
              <w:rPr/>
            </w:pPr>
            <w:r/>
          </w:p>
        </w:tc>
        <w:tc>
          <w:tcPr>
            <w:tcW w:w="1474" w:type="dxa"/>
            <w:vAlign w:val="top"/>
            <w:tcBorders>
              <w:top w:val="single" w:color="FFFFFF" w:sz="4" w:space="0"/>
              <w:left w:val="single" w:color="FFFFFF" w:sz="2" w:space="0"/>
              <w:right w:val="single" w:color="FFFFFF" w:sz="2" w:space="0"/>
            </w:tcBorders>
          </w:tcPr>
          <w:p>
            <w:pPr>
              <w:ind w:left="801"/>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898" w:type="dxa"/>
            <w:vAlign w:val="top"/>
            <w:gridSpan w:val="2"/>
          </w:tcPr>
          <w:p>
            <w:pPr>
              <w:ind w:left="2276"/>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60" w:type="dxa"/>
            <w:vAlign w:val="top"/>
            <w:gridSpan w:val="3"/>
          </w:tcPr>
          <w:p>
            <w:pPr>
              <w:ind w:left="163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314" w:hRule="atLeast"/>
        </w:trPr>
        <w:tc>
          <w:tcPr>
            <w:tcW w:w="1712" w:type="dxa"/>
            <w:vAlign w:val="top"/>
          </w:tcPr>
          <w:p>
            <w:pPr>
              <w:ind w:left="518"/>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86" w:type="dxa"/>
            <w:vAlign w:val="top"/>
          </w:tcPr>
          <w:p>
            <w:pPr>
              <w:ind w:left="125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23" w:type="dxa"/>
            <w:vAlign w:val="top"/>
          </w:tcPr>
          <w:p>
            <w:pPr>
              <w:ind w:left="592"/>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63" w:type="dxa"/>
            <w:vAlign w:val="top"/>
          </w:tcPr>
          <w:p>
            <w:pPr>
              <w:ind w:left="293"/>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74" w:type="dxa"/>
            <w:vAlign w:val="top"/>
          </w:tcPr>
          <w:p>
            <w:pPr>
              <w:ind w:left="400"/>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898" w:type="dxa"/>
            <w:vAlign w:val="top"/>
            <w:gridSpan w:val="2"/>
          </w:tcPr>
          <w:p>
            <w:pPr>
              <w:ind w:left="2279"/>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23" w:type="dxa"/>
            <w:vAlign w:val="top"/>
          </w:tcPr>
          <w:p>
            <w:pPr>
              <w:pStyle w:val="TableText"/>
              <w:ind w:left="852"/>
              <w:spacing w:before="96" w:line="172" w:lineRule="auto"/>
              <w:rPr>
                <w:sz w:val="14"/>
                <w:szCs w:val="14"/>
              </w:rPr>
            </w:pPr>
            <w:r>
              <w:rPr>
                <w:sz w:val="14"/>
                <w:szCs w:val="14"/>
                <w:color w:val="212529"/>
              </w:rPr>
              <w:t>25264.</w:t>
            </w:r>
            <w:r>
              <w:rPr>
                <w:sz w:val="14"/>
                <w:szCs w:val="14"/>
                <w:color w:val="212529"/>
                <w:spacing w:val="12"/>
                <w:w w:val="102"/>
              </w:rPr>
              <w:t xml:space="preserve"> </w:t>
            </w:r>
            <w:r>
              <w:rPr>
                <w:sz w:val="14"/>
                <w:szCs w:val="14"/>
                <w:color w:val="212529"/>
              </w:rPr>
              <w:t>39</w:t>
            </w:r>
          </w:p>
        </w:tc>
        <w:tc>
          <w:tcPr>
            <w:tcW w:w="1263" w:type="dxa"/>
            <w:vAlign w:val="top"/>
          </w:tcPr>
          <w:p>
            <w:pPr>
              <w:pStyle w:val="TableText"/>
              <w:ind w:left="835"/>
              <w:spacing w:before="96" w:line="186" w:lineRule="auto"/>
              <w:rPr>
                <w:sz w:val="13"/>
                <w:szCs w:val="13"/>
              </w:rPr>
            </w:pPr>
            <w:r>
              <w:rPr>
                <w:sz w:val="13"/>
                <w:szCs w:val="13"/>
                <w:color w:val="212529"/>
                <w:spacing w:val="4"/>
              </w:rPr>
              <w:t>36.</w:t>
            </w:r>
            <w:r>
              <w:rPr>
                <w:sz w:val="13"/>
                <w:szCs w:val="13"/>
                <w:color w:val="212529"/>
                <w:spacing w:val="9"/>
                <w:w w:val="102"/>
              </w:rPr>
              <w:t xml:space="preserve"> </w:t>
            </w:r>
            <w:r>
              <w:rPr>
                <w:sz w:val="13"/>
                <w:szCs w:val="13"/>
                <w:color w:val="212529"/>
                <w:spacing w:val="4"/>
              </w:rPr>
              <w:t>89</w:t>
            </w:r>
          </w:p>
        </w:tc>
        <w:tc>
          <w:tcPr>
            <w:tcW w:w="1474" w:type="dxa"/>
            <w:vAlign w:val="top"/>
          </w:tcPr>
          <w:p>
            <w:pPr>
              <w:pStyle w:val="TableText"/>
              <w:ind w:left="801"/>
              <w:spacing w:before="96" w:line="172" w:lineRule="auto"/>
              <w:rPr>
                <w:sz w:val="14"/>
                <w:szCs w:val="14"/>
              </w:rPr>
            </w:pPr>
            <w:r>
              <w:rPr>
                <w:sz w:val="14"/>
                <w:szCs w:val="14"/>
                <w:color w:val="212529"/>
              </w:rPr>
              <w:t>25227.</w:t>
            </w:r>
            <w:r>
              <w:rPr>
                <w:sz w:val="14"/>
                <w:szCs w:val="14"/>
                <w:color w:val="212529"/>
                <w:spacing w:val="12"/>
                <w:w w:val="102"/>
              </w:rPr>
              <w:t xml:space="preserve"> </w:t>
            </w:r>
            <w:r>
              <w:rPr>
                <w:sz w:val="14"/>
                <w:szCs w:val="14"/>
                <w:color w:val="212529"/>
              </w:rPr>
              <w:t>49</w:t>
            </w:r>
          </w:p>
        </w:tc>
      </w:tr>
      <w:tr>
        <w:trPr>
          <w:trHeight w:val="314" w:hRule="atLeast"/>
        </w:trPr>
        <w:tc>
          <w:tcPr>
            <w:tcW w:w="1712"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86" w:type="dxa"/>
            <w:vAlign w:val="top"/>
          </w:tcPr>
          <w:p>
            <w:pPr>
              <w:ind w:left="7"/>
              <w:spacing w:before="77"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23"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5.26</w:t>
            </w:r>
          </w:p>
        </w:tc>
        <w:tc>
          <w:tcPr>
            <w:tcW w:w="1263" w:type="dxa"/>
            <w:vAlign w:val="top"/>
          </w:tcPr>
          <w:p>
            <w:pPr>
              <w:pStyle w:val="TableText"/>
              <w:ind w:left="916"/>
              <w:spacing w:before="96" w:line="186" w:lineRule="auto"/>
              <w:rPr>
                <w:sz w:val="13"/>
                <w:szCs w:val="13"/>
              </w:rPr>
            </w:pPr>
            <w:r>
              <w:rPr>
                <w:sz w:val="13"/>
                <w:szCs w:val="13"/>
                <w:color w:val="212529"/>
                <w:spacing w:val="3"/>
              </w:rPr>
              <w:t>5.</w:t>
            </w:r>
            <w:r>
              <w:rPr>
                <w:sz w:val="13"/>
                <w:szCs w:val="13"/>
                <w:color w:val="212529"/>
                <w:spacing w:val="9"/>
                <w:w w:val="101"/>
              </w:rPr>
              <w:t xml:space="preserve"> </w:t>
            </w:r>
            <w:r>
              <w:rPr>
                <w:sz w:val="13"/>
                <w:szCs w:val="13"/>
                <w:color w:val="212529"/>
                <w:spacing w:val="3"/>
              </w:rPr>
              <w:t>26</w:t>
            </w:r>
          </w:p>
        </w:tc>
        <w:tc>
          <w:tcPr>
            <w:tcW w:w="1474" w:type="dxa"/>
            <w:vAlign w:val="top"/>
          </w:tcPr>
          <w:p>
            <w:pPr>
              <w:pStyle w:val="TableText"/>
              <w:rPr/>
            </w:pPr>
            <w:r/>
          </w:p>
        </w:tc>
      </w:tr>
      <w:tr>
        <w:trPr>
          <w:trHeight w:val="314" w:hRule="atLeast"/>
        </w:trPr>
        <w:tc>
          <w:tcPr>
            <w:tcW w:w="1712"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86"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23"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4.88</w:t>
            </w:r>
          </w:p>
        </w:tc>
        <w:tc>
          <w:tcPr>
            <w:tcW w:w="1263" w:type="dxa"/>
            <w:vAlign w:val="top"/>
          </w:tcPr>
          <w:p>
            <w:pPr>
              <w:pStyle w:val="TableText"/>
              <w:ind w:left="912"/>
              <w:spacing w:before="96" w:line="186" w:lineRule="auto"/>
              <w:rPr>
                <w:sz w:val="13"/>
                <w:szCs w:val="13"/>
              </w:rPr>
            </w:pPr>
            <w:r>
              <w:rPr>
                <w:sz w:val="13"/>
                <w:szCs w:val="13"/>
                <w:color w:val="212529"/>
                <w:spacing w:val="3"/>
              </w:rPr>
              <w:t>4.</w:t>
            </w:r>
            <w:r>
              <w:rPr>
                <w:sz w:val="13"/>
                <w:szCs w:val="13"/>
                <w:color w:val="212529"/>
                <w:spacing w:val="12"/>
              </w:rPr>
              <w:t xml:space="preserve"> </w:t>
            </w:r>
            <w:r>
              <w:rPr>
                <w:sz w:val="13"/>
                <w:szCs w:val="13"/>
                <w:color w:val="212529"/>
                <w:spacing w:val="3"/>
              </w:rPr>
              <w:t>88</w:t>
            </w:r>
          </w:p>
        </w:tc>
        <w:tc>
          <w:tcPr>
            <w:tcW w:w="1474" w:type="dxa"/>
            <w:vAlign w:val="top"/>
          </w:tcPr>
          <w:p>
            <w:pPr>
              <w:pStyle w:val="TableText"/>
              <w:rPr/>
            </w:pPr>
            <w:r/>
          </w:p>
        </w:tc>
      </w:tr>
      <w:tr>
        <w:trPr>
          <w:trHeight w:val="314" w:hRule="atLeast"/>
        </w:trPr>
        <w:tc>
          <w:tcPr>
            <w:tcW w:w="1712"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86"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23" w:type="dxa"/>
            <w:vAlign w:val="top"/>
          </w:tcPr>
          <w:p>
            <w:pPr>
              <w:ind w:right="21"/>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263" w:type="dxa"/>
            <w:vAlign w:val="top"/>
          </w:tcPr>
          <w:p>
            <w:pPr>
              <w:ind w:right="23"/>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474" w:type="dxa"/>
            <w:vAlign w:val="top"/>
          </w:tcPr>
          <w:p>
            <w:pPr>
              <w:pStyle w:val="TableText"/>
              <w:rPr/>
            </w:pPr>
            <w:r/>
          </w:p>
        </w:tc>
      </w:tr>
      <w:tr>
        <w:trPr>
          <w:trHeight w:val="314" w:hRule="atLeast"/>
        </w:trPr>
        <w:tc>
          <w:tcPr>
            <w:tcW w:w="1712"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186"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23" w:type="dxa"/>
            <w:vAlign w:val="top"/>
          </w:tcPr>
          <w:p>
            <w:pPr>
              <w:ind w:right="21"/>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1.28</w:t>
            </w:r>
          </w:p>
        </w:tc>
        <w:tc>
          <w:tcPr>
            <w:tcW w:w="1263" w:type="dxa"/>
            <w:vAlign w:val="top"/>
          </w:tcPr>
          <w:p>
            <w:pPr>
              <w:ind w:right="23"/>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1.28</w:t>
            </w:r>
          </w:p>
        </w:tc>
        <w:tc>
          <w:tcPr>
            <w:tcW w:w="1474" w:type="dxa"/>
            <w:vAlign w:val="top"/>
          </w:tcPr>
          <w:p>
            <w:pPr>
              <w:pStyle w:val="TableText"/>
              <w:rPr/>
            </w:pPr>
            <w:r/>
          </w:p>
        </w:tc>
      </w:tr>
      <w:tr>
        <w:trPr>
          <w:trHeight w:val="314" w:hRule="atLeast"/>
        </w:trPr>
        <w:tc>
          <w:tcPr>
            <w:tcW w:w="1712"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186" w:type="dxa"/>
            <w:vAlign w:val="top"/>
          </w:tcPr>
          <w:p>
            <w:pPr>
              <w:ind w:left="5"/>
              <w:spacing w:before="78"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523" w:type="dxa"/>
            <w:vAlign w:val="top"/>
          </w:tcPr>
          <w:p>
            <w:pPr>
              <w:ind w:right="21"/>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263" w:type="dxa"/>
            <w:vAlign w:val="top"/>
          </w:tcPr>
          <w:p>
            <w:pPr>
              <w:pStyle w:val="TableText"/>
              <w:ind w:left="914"/>
              <w:spacing w:before="98" w:line="186" w:lineRule="auto"/>
              <w:rPr>
                <w:sz w:val="13"/>
                <w:szCs w:val="13"/>
              </w:rPr>
            </w:pPr>
            <w:r>
              <w:rPr>
                <w:sz w:val="13"/>
                <w:szCs w:val="13"/>
                <w:color w:val="212529"/>
                <w:spacing w:val="4"/>
              </w:rPr>
              <w:t>0.</w:t>
            </w:r>
            <w:r>
              <w:rPr>
                <w:sz w:val="13"/>
                <w:szCs w:val="13"/>
                <w:color w:val="212529"/>
                <w:spacing w:val="9"/>
                <w:w w:val="102"/>
              </w:rPr>
              <w:t xml:space="preserve"> </w:t>
            </w:r>
            <w:r>
              <w:rPr>
                <w:sz w:val="13"/>
                <w:szCs w:val="13"/>
                <w:color w:val="212529"/>
                <w:spacing w:val="4"/>
              </w:rPr>
              <w:t>34</w:t>
            </w:r>
          </w:p>
        </w:tc>
        <w:tc>
          <w:tcPr>
            <w:tcW w:w="1474" w:type="dxa"/>
            <w:vAlign w:val="top"/>
          </w:tcPr>
          <w:p>
            <w:pPr>
              <w:pStyle w:val="TableText"/>
              <w:rPr/>
            </w:pPr>
            <w:r/>
          </w:p>
        </w:tc>
      </w:tr>
      <w:tr>
        <w:trPr>
          <w:trHeight w:val="314" w:hRule="atLeast"/>
        </w:trPr>
        <w:tc>
          <w:tcPr>
            <w:tcW w:w="1712"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186" w:type="dxa"/>
            <w:vAlign w:val="top"/>
          </w:tcPr>
          <w:p>
            <w:pPr>
              <w:ind w:left="5"/>
              <w:spacing w:before="79"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523" w:type="dxa"/>
            <w:vAlign w:val="top"/>
          </w:tcPr>
          <w:p>
            <w:pPr>
              <w:ind w:right="21"/>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263" w:type="dxa"/>
            <w:vAlign w:val="top"/>
          </w:tcPr>
          <w:p>
            <w:pPr>
              <w:ind w:right="23"/>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474" w:type="dxa"/>
            <w:vAlign w:val="top"/>
          </w:tcPr>
          <w:p>
            <w:pPr>
              <w:pStyle w:val="TableText"/>
              <w:rPr/>
            </w:pPr>
            <w:r/>
          </w:p>
        </w:tc>
      </w:tr>
      <w:tr>
        <w:trPr>
          <w:trHeight w:val="314" w:hRule="atLeast"/>
        </w:trPr>
        <w:tc>
          <w:tcPr>
            <w:tcW w:w="1712"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186" w:type="dxa"/>
            <w:vAlign w:val="top"/>
          </w:tcPr>
          <w:p>
            <w:pPr>
              <w:ind w:left="5"/>
              <w:spacing w:before="79"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23" w:type="dxa"/>
            <w:vAlign w:val="top"/>
          </w:tcPr>
          <w:p>
            <w:pPr>
              <w:ind w:right="21"/>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263" w:type="dxa"/>
            <w:vAlign w:val="top"/>
          </w:tcPr>
          <w:p>
            <w:pPr>
              <w:pStyle w:val="TableText"/>
              <w:ind w:left="914"/>
              <w:spacing w:before="98"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05</w:t>
            </w:r>
          </w:p>
        </w:tc>
        <w:tc>
          <w:tcPr>
            <w:tcW w:w="1474" w:type="dxa"/>
            <w:vAlign w:val="top"/>
          </w:tcPr>
          <w:p>
            <w:pPr>
              <w:pStyle w:val="TableText"/>
              <w:rPr/>
            </w:pPr>
            <w:r/>
          </w:p>
        </w:tc>
      </w:tr>
      <w:tr>
        <w:trPr>
          <w:trHeight w:val="314" w:hRule="atLeast"/>
        </w:trPr>
        <w:tc>
          <w:tcPr>
            <w:tcW w:w="1712"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186" w:type="dxa"/>
            <w:vAlign w:val="top"/>
          </w:tcPr>
          <w:p>
            <w:pPr>
              <w:ind w:left="5"/>
              <w:spacing w:before="80"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23" w:type="dxa"/>
            <w:vAlign w:val="top"/>
          </w:tcPr>
          <w:p>
            <w:pPr>
              <w:ind w:right="21"/>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263" w:type="dxa"/>
            <w:vAlign w:val="top"/>
          </w:tcPr>
          <w:p>
            <w:pPr>
              <w:ind w:right="23"/>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474" w:type="dxa"/>
            <w:vAlign w:val="top"/>
          </w:tcPr>
          <w:p>
            <w:pPr>
              <w:pStyle w:val="TableText"/>
              <w:rPr/>
            </w:pPr>
            <w:r/>
          </w:p>
        </w:tc>
      </w:tr>
      <w:tr>
        <w:trPr>
          <w:trHeight w:val="314" w:hRule="atLeast"/>
        </w:trPr>
        <w:tc>
          <w:tcPr>
            <w:tcW w:w="1712"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86" w:type="dxa"/>
            <w:vAlign w:val="top"/>
          </w:tcPr>
          <w:p>
            <w:pPr>
              <w:ind w:left="7"/>
              <w:spacing w:before="80"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23" w:type="dxa"/>
            <w:vAlign w:val="top"/>
          </w:tcPr>
          <w:p>
            <w:pPr>
              <w:ind w:right="21"/>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c>
          <w:tcPr>
            <w:tcW w:w="1263" w:type="dxa"/>
            <w:vAlign w:val="top"/>
          </w:tcPr>
          <w:p>
            <w:pPr>
              <w:pStyle w:val="TableText"/>
              <w:ind w:left="916"/>
              <w:spacing w:before="98" w:line="187" w:lineRule="auto"/>
              <w:rPr>
                <w:sz w:val="13"/>
                <w:szCs w:val="13"/>
              </w:rPr>
            </w:pPr>
            <w:r>
              <w:rPr>
                <w:sz w:val="13"/>
                <w:szCs w:val="13"/>
                <w:color w:val="212529"/>
                <w:spacing w:val="1"/>
              </w:rPr>
              <w:t>3.</w:t>
            </w:r>
            <w:r>
              <w:rPr>
                <w:sz w:val="13"/>
                <w:szCs w:val="13"/>
                <w:color w:val="212529"/>
                <w:spacing w:val="16"/>
                <w:w w:val="101"/>
              </w:rPr>
              <w:t xml:space="preserve"> </w:t>
            </w:r>
            <w:r>
              <w:rPr>
                <w:sz w:val="13"/>
                <w:szCs w:val="13"/>
                <w:color w:val="212529"/>
                <w:spacing w:val="1"/>
              </w:rPr>
              <w:t>18</w:t>
            </w:r>
          </w:p>
        </w:tc>
        <w:tc>
          <w:tcPr>
            <w:tcW w:w="1474" w:type="dxa"/>
            <w:vAlign w:val="top"/>
          </w:tcPr>
          <w:p>
            <w:pPr>
              <w:pStyle w:val="TableText"/>
              <w:rPr/>
            </w:pPr>
            <w:r/>
          </w:p>
        </w:tc>
      </w:tr>
      <w:tr>
        <w:trPr>
          <w:trHeight w:val="314" w:hRule="atLeast"/>
        </w:trPr>
        <w:tc>
          <w:tcPr>
            <w:tcW w:w="1712"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86" w:type="dxa"/>
            <w:vAlign w:val="top"/>
          </w:tcPr>
          <w:p>
            <w:pPr>
              <w:ind w:left="6"/>
              <w:spacing w:before="80"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23" w:type="dxa"/>
            <w:vAlign w:val="top"/>
          </w:tcPr>
          <w:p>
            <w:pPr>
              <w:ind w:right="21"/>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c>
          <w:tcPr>
            <w:tcW w:w="1263" w:type="dxa"/>
            <w:vAlign w:val="top"/>
          </w:tcPr>
          <w:p>
            <w:pPr>
              <w:pStyle w:val="TableText"/>
              <w:ind w:left="916"/>
              <w:spacing w:before="99" w:line="186" w:lineRule="auto"/>
              <w:rPr>
                <w:sz w:val="13"/>
                <w:szCs w:val="13"/>
              </w:rPr>
            </w:pPr>
            <w:r>
              <w:rPr>
                <w:sz w:val="13"/>
                <w:szCs w:val="13"/>
                <w:color w:val="212529"/>
                <w:spacing w:val="1"/>
              </w:rPr>
              <w:t>3.</w:t>
            </w:r>
            <w:r>
              <w:rPr>
                <w:sz w:val="13"/>
                <w:szCs w:val="13"/>
                <w:color w:val="212529"/>
                <w:spacing w:val="16"/>
                <w:w w:val="101"/>
              </w:rPr>
              <w:t xml:space="preserve"> </w:t>
            </w:r>
            <w:r>
              <w:rPr>
                <w:sz w:val="13"/>
                <w:szCs w:val="13"/>
                <w:color w:val="212529"/>
                <w:spacing w:val="1"/>
              </w:rPr>
              <w:t>18</w:t>
            </w:r>
          </w:p>
        </w:tc>
        <w:tc>
          <w:tcPr>
            <w:tcW w:w="1474" w:type="dxa"/>
            <w:vAlign w:val="top"/>
          </w:tcPr>
          <w:p>
            <w:pPr>
              <w:pStyle w:val="TableText"/>
              <w:rPr/>
            </w:pPr>
            <w:r/>
          </w:p>
        </w:tc>
      </w:tr>
      <w:tr>
        <w:trPr>
          <w:trHeight w:val="314" w:hRule="atLeast"/>
        </w:trPr>
        <w:tc>
          <w:tcPr>
            <w:tcW w:w="1712"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86" w:type="dxa"/>
            <w:vAlign w:val="top"/>
          </w:tcPr>
          <w:p>
            <w:pPr>
              <w:ind w:left="6"/>
              <w:spacing w:before="80"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23" w:type="dxa"/>
            <w:vAlign w:val="top"/>
          </w:tcPr>
          <w:p>
            <w:pPr>
              <w:ind w:right="21"/>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2.19</w:t>
            </w:r>
          </w:p>
        </w:tc>
        <w:tc>
          <w:tcPr>
            <w:tcW w:w="1263" w:type="dxa"/>
            <w:vAlign w:val="top"/>
          </w:tcPr>
          <w:p>
            <w:pPr>
              <w:ind w:right="23"/>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2.19</w:t>
            </w:r>
          </w:p>
        </w:tc>
        <w:tc>
          <w:tcPr>
            <w:tcW w:w="1474" w:type="dxa"/>
            <w:vAlign w:val="top"/>
          </w:tcPr>
          <w:p>
            <w:pPr>
              <w:pStyle w:val="TableText"/>
              <w:rPr/>
            </w:pPr>
            <w:r/>
          </w:p>
        </w:tc>
      </w:tr>
      <w:tr>
        <w:trPr>
          <w:trHeight w:val="314" w:hRule="atLeast"/>
        </w:trPr>
        <w:tc>
          <w:tcPr>
            <w:tcW w:w="1712"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86" w:type="dxa"/>
            <w:vAlign w:val="top"/>
          </w:tcPr>
          <w:p>
            <w:pPr>
              <w:ind w:left="11"/>
              <w:spacing w:before="81"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23" w:type="dxa"/>
            <w:vAlign w:val="top"/>
          </w:tcPr>
          <w:p>
            <w:pPr>
              <w:ind w:right="21"/>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263" w:type="dxa"/>
            <w:vAlign w:val="top"/>
          </w:tcPr>
          <w:p>
            <w:pPr>
              <w:ind w:right="23"/>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474" w:type="dxa"/>
            <w:vAlign w:val="top"/>
          </w:tcPr>
          <w:p>
            <w:pPr>
              <w:pStyle w:val="TableText"/>
              <w:rPr/>
            </w:pPr>
            <w:r/>
          </w:p>
        </w:tc>
      </w:tr>
      <w:tr>
        <w:trPr>
          <w:trHeight w:val="314" w:hRule="atLeast"/>
        </w:trPr>
        <w:tc>
          <w:tcPr>
            <w:tcW w:w="1712" w:type="dxa"/>
            <w:vAlign w:val="top"/>
          </w:tcPr>
          <w:p>
            <w:pPr>
              <w:ind w:left="8"/>
              <w:spacing w:before="81" w:line="204"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186" w:type="dxa"/>
            <w:vAlign w:val="top"/>
          </w:tcPr>
          <w:p>
            <w:pPr>
              <w:ind w:left="6"/>
              <w:spacing w:before="81"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523" w:type="dxa"/>
            <w:vAlign w:val="top"/>
          </w:tcPr>
          <w:p>
            <w:pPr>
              <w:ind w:right="21"/>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22999.92</w:t>
            </w:r>
          </w:p>
        </w:tc>
        <w:tc>
          <w:tcPr>
            <w:tcW w:w="1263" w:type="dxa"/>
            <w:vAlign w:val="top"/>
          </w:tcPr>
          <w:p>
            <w:pPr>
              <w:pStyle w:val="TableText"/>
              <w:rPr/>
            </w:pPr>
            <w:r/>
          </w:p>
        </w:tc>
        <w:tc>
          <w:tcPr>
            <w:tcW w:w="1474" w:type="dxa"/>
            <w:vAlign w:val="top"/>
          </w:tcPr>
          <w:p>
            <w:pPr>
              <w:pStyle w:val="TableText"/>
              <w:ind w:left="801"/>
              <w:spacing w:before="101" w:line="172" w:lineRule="auto"/>
              <w:rPr>
                <w:sz w:val="14"/>
                <w:szCs w:val="14"/>
              </w:rPr>
            </w:pPr>
            <w:r>
              <w:rPr>
                <w:sz w:val="14"/>
                <w:szCs w:val="14"/>
                <w:color w:val="212529"/>
              </w:rPr>
              <w:t>22999.</w:t>
            </w:r>
            <w:r>
              <w:rPr>
                <w:sz w:val="14"/>
                <w:szCs w:val="14"/>
                <w:color w:val="212529"/>
                <w:spacing w:val="12"/>
              </w:rPr>
              <w:t xml:space="preserve"> </w:t>
            </w:r>
            <w:r>
              <w:rPr>
                <w:sz w:val="14"/>
                <w:szCs w:val="14"/>
                <w:color w:val="212529"/>
              </w:rPr>
              <w:t>92</w:t>
            </w:r>
          </w:p>
        </w:tc>
      </w:tr>
      <w:tr>
        <w:trPr>
          <w:trHeight w:val="314" w:hRule="atLeast"/>
        </w:trPr>
        <w:tc>
          <w:tcPr>
            <w:tcW w:w="1712"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21208</w:t>
            </w:r>
          </w:p>
        </w:tc>
        <w:tc>
          <w:tcPr>
            <w:tcW w:w="3186" w:type="dxa"/>
            <w:vAlign w:val="top"/>
          </w:tcPr>
          <w:p>
            <w:pPr>
              <w:ind w:left="21"/>
              <w:spacing w:before="82"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523" w:type="dxa"/>
            <w:vAlign w:val="top"/>
          </w:tcPr>
          <w:p>
            <w:pPr>
              <w:ind w:right="21"/>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19399.92</w:t>
            </w:r>
          </w:p>
        </w:tc>
        <w:tc>
          <w:tcPr>
            <w:tcW w:w="1263" w:type="dxa"/>
            <w:vAlign w:val="top"/>
          </w:tcPr>
          <w:p>
            <w:pPr>
              <w:pStyle w:val="TableText"/>
              <w:rPr/>
            </w:pPr>
            <w:r/>
          </w:p>
        </w:tc>
        <w:tc>
          <w:tcPr>
            <w:tcW w:w="1474" w:type="dxa"/>
            <w:vAlign w:val="top"/>
          </w:tcPr>
          <w:p>
            <w:pPr>
              <w:pStyle w:val="TableText"/>
              <w:ind w:left="810"/>
              <w:spacing w:before="100" w:line="162" w:lineRule="auto"/>
              <w:rPr>
                <w:sz w:val="15"/>
                <w:szCs w:val="15"/>
              </w:rPr>
            </w:pPr>
            <w:r>
              <w:rPr>
                <w:sz w:val="15"/>
                <w:szCs w:val="15"/>
                <w:color w:val="212529"/>
              </w:rPr>
              <w:t>19399.92</w:t>
            </w:r>
          </w:p>
        </w:tc>
      </w:tr>
      <w:tr>
        <w:trPr>
          <w:trHeight w:val="314" w:hRule="atLeast"/>
        </w:trPr>
        <w:tc>
          <w:tcPr>
            <w:tcW w:w="1712"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2120801</w:t>
            </w:r>
          </w:p>
        </w:tc>
        <w:tc>
          <w:tcPr>
            <w:tcW w:w="3186" w:type="dxa"/>
            <w:vAlign w:val="top"/>
          </w:tcPr>
          <w:p>
            <w:pPr>
              <w:ind w:left="8"/>
              <w:spacing w:before="82"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523"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1348.40</w:t>
            </w:r>
          </w:p>
        </w:tc>
        <w:tc>
          <w:tcPr>
            <w:tcW w:w="1263" w:type="dxa"/>
            <w:vAlign w:val="top"/>
          </w:tcPr>
          <w:p>
            <w:pPr>
              <w:pStyle w:val="TableText"/>
              <w:rPr/>
            </w:pPr>
            <w:r/>
          </w:p>
        </w:tc>
        <w:tc>
          <w:tcPr>
            <w:tcW w:w="1474"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1348.40</w:t>
            </w:r>
          </w:p>
        </w:tc>
      </w:tr>
      <w:tr>
        <w:trPr>
          <w:trHeight w:val="314" w:hRule="atLeast"/>
        </w:trPr>
        <w:tc>
          <w:tcPr>
            <w:tcW w:w="1712"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2120805</w:t>
            </w:r>
          </w:p>
        </w:tc>
        <w:tc>
          <w:tcPr>
            <w:tcW w:w="3186" w:type="dxa"/>
            <w:vAlign w:val="top"/>
          </w:tcPr>
          <w:p>
            <w:pPr>
              <w:ind w:left="6"/>
              <w:spacing w:before="82" w:line="229" w:lineRule="auto"/>
              <w:rPr>
                <w:rFonts w:ascii="SimSun" w:hAnsi="SimSun" w:eastAsia="SimSun" w:cs="SimSun"/>
                <w:sz w:val="15"/>
                <w:szCs w:val="15"/>
              </w:rPr>
            </w:pPr>
            <w:r>
              <w:rPr>
                <w:rFonts w:ascii="SimSun" w:hAnsi="SimSun" w:eastAsia="SimSun" w:cs="SimSun"/>
                <w:sz w:val="15"/>
                <w:szCs w:val="15"/>
                <w:color w:val="212529"/>
                <w:spacing w:val="11"/>
              </w:rPr>
              <w:t>补助被征地农民支出</w:t>
            </w:r>
          </w:p>
        </w:tc>
        <w:tc>
          <w:tcPr>
            <w:tcW w:w="1523"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5000.00</w:t>
            </w:r>
          </w:p>
        </w:tc>
        <w:tc>
          <w:tcPr>
            <w:tcW w:w="1263" w:type="dxa"/>
            <w:vAlign w:val="top"/>
          </w:tcPr>
          <w:p>
            <w:pPr>
              <w:pStyle w:val="TableText"/>
              <w:rPr/>
            </w:pPr>
            <w:r/>
          </w:p>
        </w:tc>
        <w:tc>
          <w:tcPr>
            <w:tcW w:w="1474"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5000.00</w:t>
            </w:r>
          </w:p>
        </w:tc>
      </w:tr>
      <w:tr>
        <w:trPr>
          <w:trHeight w:val="314" w:hRule="atLeast"/>
        </w:trPr>
        <w:tc>
          <w:tcPr>
            <w:tcW w:w="1712"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2120806</w:t>
            </w:r>
          </w:p>
        </w:tc>
        <w:tc>
          <w:tcPr>
            <w:tcW w:w="3186" w:type="dxa"/>
            <w:vAlign w:val="top"/>
          </w:tcPr>
          <w:p>
            <w:pPr>
              <w:ind w:left="6"/>
              <w:spacing w:before="83" w:line="229" w:lineRule="auto"/>
              <w:rPr>
                <w:rFonts w:ascii="SimSun" w:hAnsi="SimSun" w:eastAsia="SimSun" w:cs="SimSun"/>
                <w:sz w:val="15"/>
                <w:szCs w:val="15"/>
              </w:rPr>
            </w:pPr>
            <w:r>
              <w:rPr>
                <w:rFonts w:ascii="SimSun" w:hAnsi="SimSun" w:eastAsia="SimSun" w:cs="SimSun"/>
                <w:sz w:val="15"/>
                <w:szCs w:val="15"/>
                <w:color w:val="212529"/>
                <w:spacing w:val="10"/>
              </w:rPr>
              <w:t>土地出让业务支出</w:t>
            </w:r>
          </w:p>
        </w:tc>
        <w:tc>
          <w:tcPr>
            <w:tcW w:w="1523" w:type="dxa"/>
            <w:vAlign w:val="top"/>
          </w:tcPr>
          <w:p>
            <w:pPr>
              <w:ind w:right="21"/>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2366.52</w:t>
            </w:r>
          </w:p>
        </w:tc>
        <w:tc>
          <w:tcPr>
            <w:tcW w:w="1263" w:type="dxa"/>
            <w:vAlign w:val="top"/>
          </w:tcPr>
          <w:p>
            <w:pPr>
              <w:pStyle w:val="TableText"/>
              <w:rPr/>
            </w:pPr>
            <w:r/>
          </w:p>
        </w:tc>
        <w:tc>
          <w:tcPr>
            <w:tcW w:w="1474" w:type="dxa"/>
            <w:vAlign w:val="top"/>
          </w:tcPr>
          <w:p>
            <w:pPr>
              <w:ind w:right="24"/>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2366.52</w:t>
            </w:r>
          </w:p>
        </w:tc>
      </w:tr>
      <w:tr>
        <w:trPr>
          <w:trHeight w:val="314" w:hRule="atLeast"/>
        </w:trPr>
        <w:tc>
          <w:tcPr>
            <w:tcW w:w="1712"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2120899</w:t>
            </w:r>
          </w:p>
        </w:tc>
        <w:tc>
          <w:tcPr>
            <w:tcW w:w="3186" w:type="dxa"/>
            <w:vAlign w:val="top"/>
          </w:tcPr>
          <w:p>
            <w:pPr>
              <w:ind w:left="5"/>
              <w:spacing w:before="83" w:line="229" w:lineRule="auto"/>
              <w:rPr>
                <w:rFonts w:ascii="SimSun" w:hAnsi="SimSun" w:eastAsia="SimSun" w:cs="SimSun"/>
                <w:sz w:val="15"/>
                <w:szCs w:val="15"/>
              </w:rPr>
            </w:pPr>
            <w:r>
              <w:rPr>
                <w:rFonts w:ascii="SimSun" w:hAnsi="SimSun" w:eastAsia="SimSun" w:cs="SimSun"/>
                <w:sz w:val="15"/>
                <w:szCs w:val="15"/>
                <w:color w:val="212529"/>
                <w:spacing w:val="11"/>
              </w:rPr>
              <w:t>其他国有土地使用权出让收入安排的支出</w:t>
            </w:r>
          </w:p>
        </w:tc>
        <w:tc>
          <w:tcPr>
            <w:tcW w:w="1523" w:type="dxa"/>
            <w:vAlign w:val="top"/>
          </w:tcPr>
          <w:p>
            <w:pPr>
              <w:ind w:right="21"/>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10685.00</w:t>
            </w:r>
          </w:p>
        </w:tc>
        <w:tc>
          <w:tcPr>
            <w:tcW w:w="1263" w:type="dxa"/>
            <w:vAlign w:val="top"/>
          </w:tcPr>
          <w:p>
            <w:pPr>
              <w:pStyle w:val="TableText"/>
              <w:rPr/>
            </w:pPr>
            <w:r/>
          </w:p>
        </w:tc>
        <w:tc>
          <w:tcPr>
            <w:tcW w:w="1474"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10685.00</w:t>
            </w:r>
          </w:p>
        </w:tc>
      </w:tr>
      <w:tr>
        <w:trPr>
          <w:trHeight w:val="314" w:hRule="atLeast"/>
        </w:trPr>
        <w:tc>
          <w:tcPr>
            <w:tcW w:w="1712"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21210</w:t>
            </w:r>
          </w:p>
        </w:tc>
        <w:tc>
          <w:tcPr>
            <w:tcW w:w="3186" w:type="dxa"/>
            <w:vAlign w:val="top"/>
          </w:tcPr>
          <w:p>
            <w:pPr>
              <w:ind w:left="21"/>
              <w:spacing w:before="83" w:line="229" w:lineRule="auto"/>
              <w:rPr>
                <w:rFonts w:ascii="SimSun" w:hAnsi="SimSun" w:eastAsia="SimSun" w:cs="SimSun"/>
                <w:sz w:val="15"/>
                <w:szCs w:val="15"/>
              </w:rPr>
            </w:pPr>
            <w:r>
              <w:rPr>
                <w:rFonts w:ascii="SimSun" w:hAnsi="SimSun" w:eastAsia="SimSun" w:cs="SimSun"/>
                <w:sz w:val="15"/>
                <w:szCs w:val="15"/>
                <w:color w:val="212529"/>
                <w:spacing w:val="10"/>
              </w:rPr>
              <w:t>国有土地收益基金安排的支出</w:t>
            </w:r>
          </w:p>
        </w:tc>
        <w:tc>
          <w:tcPr>
            <w:tcW w:w="1523" w:type="dxa"/>
            <w:vAlign w:val="top"/>
          </w:tcPr>
          <w:p>
            <w:pPr>
              <w:ind w:right="21"/>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3600.00</w:t>
            </w:r>
          </w:p>
        </w:tc>
        <w:tc>
          <w:tcPr>
            <w:tcW w:w="1263" w:type="dxa"/>
            <w:vAlign w:val="top"/>
          </w:tcPr>
          <w:p>
            <w:pPr>
              <w:pStyle w:val="TableText"/>
              <w:rPr/>
            </w:pPr>
            <w:r/>
          </w:p>
        </w:tc>
        <w:tc>
          <w:tcPr>
            <w:tcW w:w="1474" w:type="dxa"/>
            <w:vAlign w:val="top"/>
          </w:tcPr>
          <w:p>
            <w:pPr>
              <w:pStyle w:val="TableText"/>
              <w:ind w:left="883"/>
              <w:spacing w:before="103" w:line="172" w:lineRule="auto"/>
              <w:rPr>
                <w:sz w:val="14"/>
                <w:szCs w:val="14"/>
              </w:rPr>
            </w:pPr>
            <w:r>
              <w:rPr>
                <w:sz w:val="14"/>
                <w:szCs w:val="14"/>
                <w:color w:val="212529"/>
              </w:rPr>
              <w:t>3600.</w:t>
            </w:r>
            <w:r>
              <w:rPr>
                <w:sz w:val="14"/>
                <w:szCs w:val="14"/>
                <w:color w:val="212529"/>
                <w:spacing w:val="9"/>
              </w:rPr>
              <w:t xml:space="preserve"> </w:t>
            </w:r>
            <w:r>
              <w:rPr>
                <w:sz w:val="14"/>
                <w:szCs w:val="14"/>
                <w:color w:val="212529"/>
              </w:rPr>
              <w:t>00</w:t>
            </w:r>
          </w:p>
        </w:tc>
      </w:tr>
      <w:tr>
        <w:trPr>
          <w:trHeight w:val="314" w:hRule="atLeast"/>
        </w:trPr>
        <w:tc>
          <w:tcPr>
            <w:tcW w:w="1712"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2121001</w:t>
            </w:r>
          </w:p>
        </w:tc>
        <w:tc>
          <w:tcPr>
            <w:tcW w:w="3186" w:type="dxa"/>
            <w:vAlign w:val="top"/>
          </w:tcPr>
          <w:p>
            <w:pPr>
              <w:ind w:left="8"/>
              <w:spacing w:before="84"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523" w:type="dxa"/>
            <w:vAlign w:val="top"/>
          </w:tcPr>
          <w:p>
            <w:pPr>
              <w:ind w:right="21"/>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3600.00</w:t>
            </w:r>
          </w:p>
        </w:tc>
        <w:tc>
          <w:tcPr>
            <w:tcW w:w="1263" w:type="dxa"/>
            <w:vAlign w:val="top"/>
          </w:tcPr>
          <w:p>
            <w:pPr>
              <w:pStyle w:val="TableText"/>
              <w:rPr/>
            </w:pPr>
            <w:r/>
          </w:p>
        </w:tc>
        <w:tc>
          <w:tcPr>
            <w:tcW w:w="1474"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3600.00</w:t>
            </w:r>
          </w:p>
        </w:tc>
      </w:tr>
      <w:tr>
        <w:trPr>
          <w:trHeight w:val="314" w:hRule="atLeast"/>
        </w:trPr>
        <w:tc>
          <w:tcPr>
            <w:tcW w:w="1712"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2"/>
                <w:position w:val="1"/>
              </w:rPr>
              <w:t>220</w:t>
            </w:r>
          </w:p>
        </w:tc>
        <w:tc>
          <w:tcPr>
            <w:tcW w:w="3186" w:type="dxa"/>
            <w:vAlign w:val="top"/>
          </w:tcPr>
          <w:p>
            <w:pPr>
              <w:ind w:left="37"/>
              <w:spacing w:before="84" w:line="229" w:lineRule="auto"/>
              <w:rPr>
                <w:rFonts w:ascii="SimSun" w:hAnsi="SimSun" w:eastAsia="SimSun" w:cs="SimSun"/>
                <w:sz w:val="15"/>
                <w:szCs w:val="15"/>
              </w:rPr>
            </w:pPr>
            <w:r>
              <w:rPr>
                <w:rFonts w:ascii="SimSun" w:hAnsi="SimSun" w:eastAsia="SimSun" w:cs="SimSun"/>
                <w:sz w:val="15"/>
                <w:szCs w:val="15"/>
                <w:color w:val="212529"/>
                <w:spacing w:val="8"/>
              </w:rPr>
              <w:t>自然资源海洋气象等支出</w:t>
            </w:r>
          </w:p>
        </w:tc>
        <w:tc>
          <w:tcPr>
            <w:tcW w:w="1523" w:type="dxa"/>
            <w:vAlign w:val="top"/>
          </w:tcPr>
          <w:p>
            <w:pPr>
              <w:ind w:right="21"/>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2253.23</w:t>
            </w:r>
          </w:p>
        </w:tc>
        <w:tc>
          <w:tcPr>
            <w:tcW w:w="1263" w:type="dxa"/>
            <w:vAlign w:val="top"/>
          </w:tcPr>
          <w:p>
            <w:pPr>
              <w:pStyle w:val="TableText"/>
              <w:ind w:left="833"/>
              <w:spacing w:before="103" w:line="186" w:lineRule="auto"/>
              <w:rPr>
                <w:sz w:val="13"/>
                <w:szCs w:val="13"/>
              </w:rPr>
            </w:pPr>
            <w:r>
              <w:rPr>
                <w:sz w:val="13"/>
                <w:szCs w:val="13"/>
                <w:color w:val="212529"/>
                <w:spacing w:val="4"/>
              </w:rPr>
              <w:t>25.</w:t>
            </w:r>
            <w:r>
              <w:rPr>
                <w:sz w:val="13"/>
                <w:szCs w:val="13"/>
                <w:color w:val="212529"/>
                <w:spacing w:val="11"/>
                <w:w w:val="101"/>
              </w:rPr>
              <w:t xml:space="preserve"> </w:t>
            </w:r>
            <w:r>
              <w:rPr>
                <w:sz w:val="13"/>
                <w:szCs w:val="13"/>
                <w:color w:val="212529"/>
                <w:spacing w:val="4"/>
              </w:rPr>
              <w:t>66</w:t>
            </w:r>
          </w:p>
        </w:tc>
        <w:tc>
          <w:tcPr>
            <w:tcW w:w="1474" w:type="dxa"/>
            <w:vAlign w:val="top"/>
          </w:tcPr>
          <w:p>
            <w:pPr>
              <w:pStyle w:val="TableText"/>
              <w:ind w:left="882"/>
              <w:spacing w:before="104" w:line="172" w:lineRule="auto"/>
              <w:rPr>
                <w:sz w:val="14"/>
                <w:szCs w:val="14"/>
              </w:rPr>
            </w:pPr>
            <w:r>
              <w:rPr>
                <w:sz w:val="14"/>
                <w:szCs w:val="14"/>
                <w:color w:val="212529"/>
              </w:rPr>
              <w:t>2227.</w:t>
            </w:r>
            <w:r>
              <w:rPr>
                <w:sz w:val="14"/>
                <w:szCs w:val="14"/>
                <w:color w:val="212529"/>
                <w:spacing w:val="9"/>
              </w:rPr>
              <w:t xml:space="preserve"> </w:t>
            </w:r>
            <w:r>
              <w:rPr>
                <w:sz w:val="14"/>
                <w:szCs w:val="14"/>
                <w:color w:val="212529"/>
              </w:rPr>
              <w:t>58</w:t>
            </w:r>
          </w:p>
        </w:tc>
      </w:tr>
      <w:tr>
        <w:trPr>
          <w:trHeight w:val="314" w:hRule="atLeast"/>
        </w:trPr>
        <w:tc>
          <w:tcPr>
            <w:tcW w:w="1712"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22001</w:t>
            </w:r>
          </w:p>
        </w:tc>
        <w:tc>
          <w:tcPr>
            <w:tcW w:w="3186" w:type="dxa"/>
            <w:vAlign w:val="top"/>
          </w:tcPr>
          <w:p>
            <w:pPr>
              <w:ind w:left="37"/>
              <w:spacing w:before="84" w:line="229" w:lineRule="auto"/>
              <w:rPr>
                <w:rFonts w:ascii="SimSun" w:hAnsi="SimSun" w:eastAsia="SimSun" w:cs="SimSun"/>
                <w:sz w:val="15"/>
                <w:szCs w:val="15"/>
              </w:rPr>
            </w:pPr>
            <w:r>
              <w:rPr>
                <w:rFonts w:ascii="SimSun" w:hAnsi="SimSun" w:eastAsia="SimSun" w:cs="SimSun"/>
                <w:sz w:val="15"/>
                <w:szCs w:val="15"/>
                <w:color w:val="212529"/>
                <w:spacing w:val="5"/>
              </w:rPr>
              <w:t>自然资源事务</w:t>
            </w:r>
          </w:p>
        </w:tc>
        <w:tc>
          <w:tcPr>
            <w:tcW w:w="1523" w:type="dxa"/>
            <w:vAlign w:val="top"/>
          </w:tcPr>
          <w:p>
            <w:pPr>
              <w:ind w:right="21"/>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2253.23</w:t>
            </w:r>
          </w:p>
        </w:tc>
        <w:tc>
          <w:tcPr>
            <w:tcW w:w="1263" w:type="dxa"/>
            <w:vAlign w:val="top"/>
          </w:tcPr>
          <w:p>
            <w:pPr>
              <w:pStyle w:val="TableText"/>
              <w:ind w:left="833"/>
              <w:spacing w:before="103" w:line="186" w:lineRule="auto"/>
              <w:rPr>
                <w:sz w:val="13"/>
                <w:szCs w:val="13"/>
              </w:rPr>
            </w:pPr>
            <w:r>
              <w:rPr>
                <w:sz w:val="13"/>
                <w:szCs w:val="13"/>
                <w:color w:val="212529"/>
                <w:spacing w:val="4"/>
              </w:rPr>
              <w:t>25.</w:t>
            </w:r>
            <w:r>
              <w:rPr>
                <w:sz w:val="13"/>
                <w:szCs w:val="13"/>
                <w:color w:val="212529"/>
                <w:spacing w:val="11"/>
                <w:w w:val="101"/>
              </w:rPr>
              <w:t xml:space="preserve"> </w:t>
            </w:r>
            <w:r>
              <w:rPr>
                <w:sz w:val="13"/>
                <w:szCs w:val="13"/>
                <w:color w:val="212529"/>
                <w:spacing w:val="4"/>
              </w:rPr>
              <w:t>66</w:t>
            </w:r>
          </w:p>
        </w:tc>
        <w:tc>
          <w:tcPr>
            <w:tcW w:w="1474" w:type="dxa"/>
            <w:vAlign w:val="top"/>
          </w:tcPr>
          <w:p>
            <w:pPr>
              <w:pStyle w:val="TableText"/>
              <w:ind w:left="882"/>
              <w:spacing w:before="104" w:line="172" w:lineRule="auto"/>
              <w:rPr>
                <w:sz w:val="14"/>
                <w:szCs w:val="14"/>
              </w:rPr>
            </w:pPr>
            <w:r>
              <w:rPr>
                <w:sz w:val="14"/>
                <w:szCs w:val="14"/>
                <w:color w:val="212529"/>
              </w:rPr>
              <w:t>2227.</w:t>
            </w:r>
            <w:r>
              <w:rPr>
                <w:sz w:val="14"/>
                <w:szCs w:val="14"/>
                <w:color w:val="212529"/>
                <w:spacing w:val="9"/>
              </w:rPr>
              <w:t xml:space="preserve"> </w:t>
            </w:r>
            <w:r>
              <w:rPr>
                <w:sz w:val="14"/>
                <w:szCs w:val="14"/>
                <w:color w:val="212529"/>
              </w:rPr>
              <w:t>58</w:t>
            </w:r>
          </w:p>
        </w:tc>
      </w:tr>
      <w:tr>
        <w:trPr>
          <w:trHeight w:val="314" w:hRule="atLeast"/>
        </w:trPr>
        <w:tc>
          <w:tcPr>
            <w:tcW w:w="1712"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2200101</w:t>
            </w:r>
          </w:p>
        </w:tc>
        <w:tc>
          <w:tcPr>
            <w:tcW w:w="3186" w:type="dxa"/>
            <w:vAlign w:val="top"/>
          </w:tcPr>
          <w:p>
            <w:pPr>
              <w:ind w:left="6"/>
              <w:spacing w:before="84"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23" w:type="dxa"/>
            <w:vAlign w:val="top"/>
          </w:tcPr>
          <w:p>
            <w:pPr>
              <w:ind w:right="21"/>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25.66</w:t>
            </w:r>
          </w:p>
        </w:tc>
        <w:tc>
          <w:tcPr>
            <w:tcW w:w="1263" w:type="dxa"/>
            <w:vAlign w:val="top"/>
          </w:tcPr>
          <w:p>
            <w:pPr>
              <w:ind w:right="23"/>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25.66</w:t>
            </w:r>
          </w:p>
        </w:tc>
        <w:tc>
          <w:tcPr>
            <w:tcW w:w="1474" w:type="dxa"/>
            <w:vAlign w:val="top"/>
          </w:tcPr>
          <w:p>
            <w:pPr>
              <w:pStyle w:val="TableText"/>
              <w:rPr/>
            </w:pPr>
            <w:r/>
          </w:p>
        </w:tc>
      </w:tr>
      <w:tr>
        <w:trPr>
          <w:trHeight w:val="314" w:hRule="atLeast"/>
        </w:trPr>
        <w:tc>
          <w:tcPr>
            <w:tcW w:w="1712"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2200102</w:t>
            </w:r>
          </w:p>
        </w:tc>
        <w:tc>
          <w:tcPr>
            <w:tcW w:w="3186" w:type="dxa"/>
            <w:vAlign w:val="top"/>
          </w:tcPr>
          <w:p>
            <w:pPr>
              <w:ind w:left="8"/>
              <w:spacing w:before="85"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523" w:type="dxa"/>
            <w:vAlign w:val="top"/>
          </w:tcPr>
          <w:p>
            <w:pPr>
              <w:ind w:right="21"/>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227.58</w:t>
            </w:r>
          </w:p>
        </w:tc>
        <w:tc>
          <w:tcPr>
            <w:tcW w:w="1263" w:type="dxa"/>
            <w:vAlign w:val="top"/>
          </w:tcPr>
          <w:p>
            <w:pPr>
              <w:pStyle w:val="TableText"/>
              <w:rPr/>
            </w:pPr>
            <w:r/>
          </w:p>
        </w:tc>
        <w:tc>
          <w:tcPr>
            <w:tcW w:w="1474"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227.58</w:t>
            </w:r>
          </w:p>
        </w:tc>
      </w:tr>
      <w:tr>
        <w:trPr>
          <w:trHeight w:val="314" w:hRule="atLeast"/>
        </w:trPr>
        <w:tc>
          <w:tcPr>
            <w:tcW w:w="1712"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2200106</w:t>
            </w:r>
          </w:p>
        </w:tc>
        <w:tc>
          <w:tcPr>
            <w:tcW w:w="3186" w:type="dxa"/>
            <w:vAlign w:val="top"/>
          </w:tcPr>
          <w:p>
            <w:pPr>
              <w:ind w:left="37"/>
              <w:spacing w:before="85" w:line="230" w:lineRule="auto"/>
              <w:rPr>
                <w:rFonts w:ascii="SimSun" w:hAnsi="SimSun" w:eastAsia="SimSun" w:cs="SimSun"/>
                <w:sz w:val="15"/>
                <w:szCs w:val="15"/>
              </w:rPr>
            </w:pPr>
            <w:r>
              <w:rPr>
                <w:rFonts w:ascii="SimSun" w:hAnsi="SimSun" w:eastAsia="SimSun" w:cs="SimSun"/>
                <w:sz w:val="15"/>
                <w:szCs w:val="15"/>
                <w:color w:val="212529"/>
                <w:spacing w:val="7"/>
              </w:rPr>
              <w:t>自然资源利用与保护</w:t>
            </w:r>
          </w:p>
        </w:tc>
        <w:tc>
          <w:tcPr>
            <w:tcW w:w="1523" w:type="dxa"/>
            <w:vAlign w:val="top"/>
          </w:tcPr>
          <w:p>
            <w:pPr>
              <w:ind w:right="21"/>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c>
          <w:tcPr>
            <w:tcW w:w="1263" w:type="dxa"/>
            <w:vAlign w:val="top"/>
          </w:tcPr>
          <w:p>
            <w:pPr>
              <w:pStyle w:val="TableText"/>
              <w:rPr/>
            </w:pPr>
            <w:r/>
          </w:p>
        </w:tc>
        <w:tc>
          <w:tcPr>
            <w:tcW w:w="1474"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r>
      <w:tr>
        <w:trPr>
          <w:trHeight w:val="314" w:hRule="atLeast"/>
        </w:trPr>
        <w:tc>
          <w:tcPr>
            <w:tcW w:w="1712"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86" w:type="dxa"/>
            <w:vAlign w:val="top"/>
          </w:tcPr>
          <w:p>
            <w:pPr>
              <w:ind w:left="6"/>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23" w:type="dxa"/>
            <w:vAlign w:val="top"/>
          </w:tcPr>
          <w:p>
            <w:pPr>
              <w:ind w:right="21"/>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263" w:type="dxa"/>
            <w:vAlign w:val="top"/>
          </w:tcPr>
          <w:p>
            <w:pPr>
              <w:pStyle w:val="TableText"/>
              <w:ind w:left="915"/>
              <w:spacing w:before="105" w:line="186" w:lineRule="auto"/>
              <w:rPr>
                <w:sz w:val="13"/>
                <w:szCs w:val="13"/>
              </w:rPr>
            </w:pPr>
            <w:r>
              <w:rPr>
                <w:sz w:val="13"/>
                <w:szCs w:val="13"/>
                <w:color w:val="212529"/>
                <w:spacing w:val="3"/>
              </w:rPr>
              <w:t>2.</w:t>
            </w:r>
            <w:r>
              <w:rPr>
                <w:sz w:val="13"/>
                <w:szCs w:val="13"/>
                <w:color w:val="212529"/>
                <w:spacing w:val="10"/>
              </w:rPr>
              <w:t xml:space="preserve"> </w:t>
            </w:r>
            <w:r>
              <w:rPr>
                <w:sz w:val="13"/>
                <w:szCs w:val="13"/>
                <w:color w:val="212529"/>
                <w:spacing w:val="3"/>
              </w:rPr>
              <w:t>79</w:t>
            </w:r>
          </w:p>
        </w:tc>
        <w:tc>
          <w:tcPr>
            <w:tcW w:w="1474" w:type="dxa"/>
            <w:vAlign w:val="top"/>
          </w:tcPr>
          <w:p>
            <w:pPr>
              <w:pStyle w:val="TableText"/>
              <w:rPr/>
            </w:pPr>
            <w:r/>
          </w:p>
        </w:tc>
      </w:tr>
      <w:tr>
        <w:trPr>
          <w:trHeight w:val="314" w:hRule="atLeast"/>
        </w:trPr>
        <w:tc>
          <w:tcPr>
            <w:tcW w:w="1712"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86" w:type="dxa"/>
            <w:vAlign w:val="top"/>
          </w:tcPr>
          <w:p>
            <w:pPr>
              <w:ind w:left="6"/>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23" w:type="dxa"/>
            <w:vAlign w:val="top"/>
          </w:tcPr>
          <w:p>
            <w:pPr>
              <w:ind w:right="21"/>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263" w:type="dxa"/>
            <w:vAlign w:val="top"/>
          </w:tcPr>
          <w:p>
            <w:pPr>
              <w:pStyle w:val="TableText"/>
              <w:ind w:left="915"/>
              <w:spacing w:before="105" w:line="186" w:lineRule="auto"/>
              <w:rPr>
                <w:sz w:val="13"/>
                <w:szCs w:val="13"/>
              </w:rPr>
            </w:pPr>
            <w:r>
              <w:rPr>
                <w:sz w:val="13"/>
                <w:szCs w:val="13"/>
                <w:color w:val="212529"/>
                <w:spacing w:val="3"/>
              </w:rPr>
              <w:t>2.</w:t>
            </w:r>
            <w:r>
              <w:rPr>
                <w:sz w:val="13"/>
                <w:szCs w:val="13"/>
                <w:color w:val="212529"/>
                <w:spacing w:val="10"/>
              </w:rPr>
              <w:t xml:space="preserve"> </w:t>
            </w:r>
            <w:r>
              <w:rPr>
                <w:sz w:val="13"/>
                <w:szCs w:val="13"/>
                <w:color w:val="212529"/>
                <w:spacing w:val="3"/>
              </w:rPr>
              <w:t>79</w:t>
            </w:r>
          </w:p>
        </w:tc>
        <w:tc>
          <w:tcPr>
            <w:tcW w:w="1474" w:type="dxa"/>
            <w:vAlign w:val="top"/>
          </w:tcPr>
          <w:p>
            <w:pPr>
              <w:pStyle w:val="TableText"/>
              <w:rPr/>
            </w:pPr>
            <w:r/>
          </w:p>
        </w:tc>
      </w:tr>
      <w:tr>
        <w:trPr>
          <w:trHeight w:val="320" w:hRule="atLeast"/>
        </w:trPr>
        <w:tc>
          <w:tcPr>
            <w:tcW w:w="1712"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86" w:type="dxa"/>
            <w:vAlign w:val="top"/>
          </w:tcPr>
          <w:p>
            <w:pPr>
              <w:ind w:left="6"/>
              <w:spacing w:before="86"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23" w:type="dxa"/>
            <w:vAlign w:val="top"/>
          </w:tcPr>
          <w:p>
            <w:pPr>
              <w:ind w:right="21"/>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263" w:type="dxa"/>
            <w:vAlign w:val="top"/>
          </w:tcPr>
          <w:p>
            <w:pPr>
              <w:ind w:right="23"/>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474" w:type="dxa"/>
            <w:vAlign w:val="top"/>
          </w:tcPr>
          <w:p>
            <w:pPr>
              <w:pStyle w:val="TableText"/>
              <w:rPr/>
            </w:pPr>
            <w:r/>
          </w:p>
        </w:tc>
      </w:tr>
    </w:tbl>
    <w:p>
      <w:pPr>
        <w:pStyle w:val="BodyText"/>
        <w:rPr/>
      </w:pPr>
      <w:r/>
    </w:p>
    <w:p>
      <w:pPr>
        <w:sectPr>
          <w:headerReference w:type="default" r:id="rId1"/>
          <w:footerReference w:type="default" r:id="rId8"/>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1145"/>
        <w:gridCol w:w="1814"/>
        <w:gridCol w:w="1145"/>
        <w:gridCol w:w="1080"/>
        <w:gridCol w:w="1242"/>
        <w:gridCol w:w="977"/>
      </w:tblGrid>
      <w:tr>
        <w:trPr>
          <w:trHeight w:val="384"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1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219"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40" w:id="13"/>
            <w:bookmarkEnd w:id="13"/>
            <w:bookmarkStart w:name="bookmark9" w:id="14"/>
            <w:bookmarkEnd w:id="14"/>
            <w:r>
              <w:rPr>
                <w:rFonts w:ascii="Microsoft YaHei" w:hAnsi="Microsoft YaHei" w:eastAsia="Microsoft YaHei" w:cs="Microsoft YaHei"/>
                <w:sz w:val="20"/>
                <w:szCs w:val="20"/>
                <w:color w:val="212529"/>
                <w:spacing w:val="-5"/>
                <w:position w:val="-1"/>
              </w:rPr>
              <w:t>2026年财政拨款收支总表</w:t>
            </w:r>
          </w:p>
        </w:tc>
      </w:tr>
      <w:tr>
        <w:trPr>
          <w:trHeight w:val="379" w:hRule="atLeast"/>
        </w:trPr>
        <w:tc>
          <w:tcPr>
            <w:tcW w:w="8181"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977" w:type="dxa"/>
            <w:vAlign w:val="top"/>
            <w:tcBorders>
              <w:top w:val="single" w:color="FFFFFF" w:sz="4" w:space="0"/>
              <w:left w:val="single" w:color="FFFFFF" w:sz="2" w:space="0"/>
              <w:right w:val="single" w:color="FFFFFF" w:sz="2" w:space="0"/>
            </w:tcBorders>
          </w:tcPr>
          <w:p>
            <w:pPr>
              <w:ind w:left="304"/>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00" w:type="dxa"/>
            <w:vAlign w:val="top"/>
            <w:gridSpan w:val="2"/>
          </w:tcPr>
          <w:p>
            <w:pPr>
              <w:ind w:left="127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258" w:type="dxa"/>
            <w:vAlign w:val="top"/>
            <w:gridSpan w:val="5"/>
          </w:tcPr>
          <w:p>
            <w:pPr>
              <w:ind w:left="2953"/>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755" w:type="dxa"/>
            <w:vAlign w:val="top"/>
            <w:vMerge w:val="restart"/>
            <w:tcBorders>
              <w:bottom w:val="nil"/>
            </w:tcBorders>
          </w:tcPr>
          <w:p>
            <w:pPr>
              <w:ind w:left="703"/>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45" w:type="dxa"/>
            <w:vAlign w:val="top"/>
            <w:vMerge w:val="restart"/>
            <w:tcBorders>
              <w:bottom w:val="nil"/>
            </w:tcBorders>
          </w:tcPr>
          <w:p>
            <w:pPr>
              <w:ind w:left="39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814" w:type="dxa"/>
            <w:vAlign w:val="top"/>
            <w:vMerge w:val="restart"/>
            <w:tcBorders>
              <w:bottom w:val="nil"/>
            </w:tcBorders>
          </w:tcPr>
          <w:p>
            <w:pPr>
              <w:ind w:left="73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44" w:type="dxa"/>
            <w:vAlign w:val="top"/>
            <w:gridSpan w:val="4"/>
          </w:tcPr>
          <w:p>
            <w:pPr>
              <w:ind w:left="204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755" w:type="dxa"/>
            <w:vAlign w:val="top"/>
            <w:vMerge w:val="continue"/>
            <w:tcBorders>
              <w:top w:val="nil"/>
            </w:tcBorders>
          </w:tcPr>
          <w:p>
            <w:pPr>
              <w:pStyle w:val="TableText"/>
              <w:rPr/>
            </w:pPr>
            <w:r/>
          </w:p>
        </w:tc>
        <w:tc>
          <w:tcPr>
            <w:tcW w:w="1145" w:type="dxa"/>
            <w:vAlign w:val="top"/>
            <w:vMerge w:val="continue"/>
            <w:tcBorders>
              <w:top w:val="nil"/>
            </w:tcBorders>
          </w:tcPr>
          <w:p>
            <w:pPr>
              <w:pStyle w:val="TableText"/>
              <w:rPr/>
            </w:pPr>
            <w:r/>
          </w:p>
        </w:tc>
        <w:tc>
          <w:tcPr>
            <w:tcW w:w="1814" w:type="dxa"/>
            <w:vAlign w:val="top"/>
            <w:vMerge w:val="continue"/>
            <w:tcBorders>
              <w:top w:val="nil"/>
            </w:tcBorders>
          </w:tcPr>
          <w:p>
            <w:pPr>
              <w:pStyle w:val="TableText"/>
              <w:rPr/>
            </w:pPr>
            <w:r/>
          </w:p>
        </w:tc>
        <w:tc>
          <w:tcPr>
            <w:tcW w:w="1145" w:type="dxa"/>
            <w:vAlign w:val="top"/>
          </w:tcPr>
          <w:p>
            <w:pPr>
              <w:ind w:left="403"/>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80" w:type="dxa"/>
            <w:vAlign w:val="top"/>
          </w:tcPr>
          <w:p>
            <w:pPr>
              <w:ind w:left="3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242" w:type="dxa"/>
            <w:vAlign w:val="top"/>
          </w:tcPr>
          <w:p>
            <w:pPr>
              <w:ind w:left="4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977" w:type="dxa"/>
            <w:vAlign w:val="top"/>
          </w:tcPr>
          <w:p>
            <w:pPr>
              <w:ind w:left="238" w:right="86" w:hanging="147"/>
              <w:spacing w:before="19"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9"/>
              </w:rPr>
              <w:t>营预算</w:t>
            </w:r>
          </w:p>
        </w:tc>
      </w:tr>
      <w:tr>
        <w:trPr>
          <w:trHeight w:val="379" w:hRule="atLeast"/>
        </w:trPr>
        <w:tc>
          <w:tcPr>
            <w:tcW w:w="175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45"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2264.47</w:t>
            </w:r>
          </w:p>
        </w:tc>
        <w:tc>
          <w:tcPr>
            <w:tcW w:w="1814" w:type="dxa"/>
            <w:vAlign w:val="top"/>
          </w:tcPr>
          <w:p>
            <w:pPr>
              <w:ind w:left="3"/>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45"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22999.92</w:t>
            </w:r>
          </w:p>
        </w:tc>
        <w:tc>
          <w:tcPr>
            <w:tcW w:w="1814" w:type="dxa"/>
            <w:vAlign w:val="top"/>
          </w:tcPr>
          <w:p>
            <w:pPr>
              <w:ind w:left="4"/>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45" w:type="dxa"/>
            <w:vAlign w:val="top"/>
          </w:tcPr>
          <w:p>
            <w:pPr>
              <w:pStyle w:val="TableText"/>
              <w:rPr/>
            </w:pPr>
            <w:r/>
          </w:p>
        </w:tc>
        <w:tc>
          <w:tcPr>
            <w:tcW w:w="1814" w:type="dxa"/>
            <w:vAlign w:val="top"/>
          </w:tcPr>
          <w:p>
            <w:pPr>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6"/>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 w:right="28"/>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6"/>
              </w:rPr>
              <w:t>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45"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5.26</w:t>
            </w:r>
          </w:p>
        </w:tc>
        <w:tc>
          <w:tcPr>
            <w:tcW w:w="1080"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5.26</w:t>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45"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c>
          <w:tcPr>
            <w:tcW w:w="1080"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c>
          <w:tcPr>
            <w:tcW w:w="1242"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45"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22999.92</w:t>
            </w:r>
          </w:p>
        </w:tc>
        <w:tc>
          <w:tcPr>
            <w:tcW w:w="1080" w:type="dxa"/>
            <w:vAlign w:val="top"/>
          </w:tcPr>
          <w:p>
            <w:pPr>
              <w:pStyle w:val="TableText"/>
              <w:rPr/>
            </w:pPr>
            <w:r/>
          </w:p>
        </w:tc>
        <w:tc>
          <w:tcPr>
            <w:tcW w:w="1242" w:type="dxa"/>
            <w:vAlign w:val="top"/>
          </w:tcPr>
          <w:p>
            <w:pPr>
              <w:ind w:right="1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22999.92</w:t>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right="28"/>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8"/>
              </w:rPr>
              <w:t>等支出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2" w:right="28"/>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spacing w:val="8"/>
              </w:rPr>
              <w:t>等支出</w:t>
            </w:r>
          </w:p>
        </w:tc>
        <w:tc>
          <w:tcPr>
            <w:tcW w:w="1145" w:type="dxa"/>
            <w:vAlign w:val="top"/>
          </w:tcPr>
          <w:p>
            <w:pPr>
              <w:ind w:right="26"/>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2253.23</w:t>
            </w:r>
          </w:p>
        </w:tc>
        <w:tc>
          <w:tcPr>
            <w:tcW w:w="1080" w:type="dxa"/>
            <w:vAlign w:val="top"/>
          </w:tcPr>
          <w:p>
            <w:pPr>
              <w:ind w:right="24"/>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2253.23</w:t>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080"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5" w:right="28"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 w:right="28"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spacing w:val="8"/>
              </w:rPr>
              <w:t>算支出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right="28"/>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r>
              <w:rPr>
                <w:rFonts w:ascii="SimSun" w:hAnsi="SimSun" w:eastAsia="SimSun" w:cs="SimSun"/>
                <w:sz w:val="15"/>
                <w:szCs w:val="15"/>
                <w:color w:val="212529"/>
                <w:spacing w:val="8"/>
              </w:rPr>
              <w:t>管理支出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4"/>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5" w:right="28"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ind w:left="13" w:right="28"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4"/>
              </w:rPr>
              <w:t>的支出</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9"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84" w:hRule="atLeast"/>
        </w:trPr>
        <w:tc>
          <w:tcPr>
            <w:tcW w:w="1755" w:type="dxa"/>
            <w:vAlign w:val="top"/>
          </w:tcPr>
          <w:p>
            <w:pPr>
              <w:ind w:left="381"/>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45" w:type="dxa"/>
            <w:vAlign w:val="top"/>
          </w:tcPr>
          <w:p>
            <w:pPr>
              <w:pStyle w:val="TableText"/>
              <w:ind w:left="237"/>
              <w:spacing w:before="138" w:line="172" w:lineRule="auto"/>
              <w:rPr>
                <w:sz w:val="14"/>
                <w:szCs w:val="14"/>
              </w:rPr>
            </w:pPr>
            <w:r>
              <w:rPr>
                <w:sz w:val="14"/>
                <w:szCs w:val="14"/>
                <w:color w:val="212529"/>
                <w:spacing w:val="1"/>
              </w:rPr>
              <w:t>25264.</w:t>
            </w:r>
            <w:r>
              <w:rPr>
                <w:sz w:val="14"/>
                <w:szCs w:val="14"/>
                <w:color w:val="212529"/>
                <w:spacing w:val="1"/>
              </w:rPr>
              <w:t xml:space="preserve"> </w:t>
            </w:r>
            <w:r>
              <w:rPr>
                <w:sz w:val="14"/>
                <w:szCs w:val="14"/>
                <w:color w:val="212529"/>
                <w:spacing w:val="1"/>
              </w:rPr>
              <w:t>39</w:t>
            </w:r>
          </w:p>
        </w:tc>
        <w:tc>
          <w:tcPr>
            <w:tcW w:w="1814" w:type="dxa"/>
            <w:vAlign w:val="top"/>
          </w:tcPr>
          <w:p>
            <w:pPr>
              <w:ind w:left="409"/>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45" w:type="dxa"/>
            <w:vAlign w:val="top"/>
          </w:tcPr>
          <w:p>
            <w:pPr>
              <w:pStyle w:val="TableText"/>
              <w:ind w:left="240"/>
              <w:spacing w:before="138" w:line="172" w:lineRule="auto"/>
              <w:rPr>
                <w:sz w:val="14"/>
                <w:szCs w:val="14"/>
              </w:rPr>
            </w:pPr>
            <w:r>
              <w:rPr>
                <w:sz w:val="14"/>
                <w:szCs w:val="14"/>
                <w:color w:val="212529"/>
              </w:rPr>
              <w:t>25264.</w:t>
            </w:r>
            <w:r>
              <w:rPr>
                <w:sz w:val="14"/>
                <w:szCs w:val="14"/>
                <w:color w:val="212529"/>
                <w:spacing w:val="12"/>
                <w:w w:val="102"/>
              </w:rPr>
              <w:t xml:space="preserve"> </w:t>
            </w:r>
            <w:r>
              <w:rPr>
                <w:sz w:val="14"/>
                <w:szCs w:val="14"/>
                <w:color w:val="212529"/>
              </w:rPr>
              <w:t>39</w:t>
            </w:r>
          </w:p>
        </w:tc>
        <w:tc>
          <w:tcPr>
            <w:tcW w:w="1080" w:type="dxa"/>
            <w:vAlign w:val="top"/>
          </w:tcPr>
          <w:p>
            <w:pPr>
              <w:pStyle w:val="TableText"/>
              <w:ind w:left="247"/>
              <w:spacing w:before="138" w:line="172" w:lineRule="auto"/>
              <w:rPr>
                <w:sz w:val="14"/>
                <w:szCs w:val="14"/>
              </w:rPr>
            </w:pPr>
            <w:r>
              <w:rPr>
                <w:sz w:val="14"/>
                <w:szCs w:val="14"/>
                <w:color w:val="212529"/>
              </w:rPr>
              <w:t>2264.</w:t>
            </w:r>
            <w:r>
              <w:rPr>
                <w:sz w:val="14"/>
                <w:szCs w:val="14"/>
                <w:color w:val="212529"/>
                <w:spacing w:val="9"/>
              </w:rPr>
              <w:t xml:space="preserve"> </w:t>
            </w:r>
            <w:r>
              <w:rPr>
                <w:sz w:val="14"/>
                <w:szCs w:val="14"/>
                <w:color w:val="212529"/>
              </w:rPr>
              <w:t>47</w:t>
            </w:r>
          </w:p>
        </w:tc>
        <w:tc>
          <w:tcPr>
            <w:tcW w:w="1242" w:type="dxa"/>
            <w:vAlign w:val="top"/>
          </w:tcPr>
          <w:p>
            <w:pPr>
              <w:pStyle w:val="TableText"/>
              <w:ind w:left="291"/>
              <w:spacing w:before="138" w:line="172" w:lineRule="auto"/>
              <w:rPr>
                <w:sz w:val="14"/>
                <w:szCs w:val="14"/>
              </w:rPr>
            </w:pPr>
            <w:r>
              <w:rPr>
                <w:sz w:val="14"/>
                <w:szCs w:val="14"/>
                <w:color w:val="212529"/>
              </w:rPr>
              <w:t>22999.</w:t>
            </w:r>
            <w:r>
              <w:rPr>
                <w:sz w:val="14"/>
                <w:szCs w:val="14"/>
                <w:color w:val="212529"/>
                <w:spacing w:val="12"/>
              </w:rPr>
              <w:t xml:space="preserve"> </w:t>
            </w:r>
            <w:r>
              <w:rPr>
                <w:sz w:val="14"/>
                <w:szCs w:val="14"/>
                <w:color w:val="212529"/>
              </w:rPr>
              <w:t>92</w:t>
            </w:r>
          </w:p>
        </w:tc>
        <w:tc>
          <w:tcPr>
            <w:tcW w:w="977" w:type="dxa"/>
            <w:vAlign w:val="top"/>
          </w:tcPr>
          <w:p>
            <w:pPr>
              <w:pStyle w:val="TableText"/>
              <w:rPr/>
            </w:pPr>
            <w:r/>
          </w:p>
        </w:tc>
      </w:tr>
    </w:tbl>
    <w:p>
      <w:pPr>
        <w:pStyle w:val="BodyText"/>
        <w:rPr/>
      </w:pPr>
      <w:r/>
    </w:p>
    <w:p>
      <w:pPr>
        <w:sectPr>
          <w:footerReference w:type="default" r:id="rId9"/>
          <w:pgSz w:w="11900" w:h="16840"/>
          <w:pgMar w:top="642" w:right="600" w:bottom="340" w:left="600" w:header="326" w:footer="90"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1145"/>
        <w:gridCol w:w="1814"/>
        <w:gridCol w:w="1145"/>
        <w:gridCol w:w="1080"/>
        <w:gridCol w:w="1242"/>
        <w:gridCol w:w="977"/>
      </w:tblGrid>
      <w:tr>
        <w:trPr>
          <w:trHeight w:val="383" w:hRule="atLeast"/>
        </w:trPr>
        <w:tc>
          <w:tcPr>
            <w:tcW w:w="1755" w:type="dxa"/>
            <w:vAlign w:val="top"/>
          </w:tcPr>
          <w:p>
            <w:pPr>
              <w:ind w:left="7"/>
              <w:spacing w:before="113" w:line="229" w:lineRule="auto"/>
              <w:rPr>
                <w:rFonts w:ascii="SimSun" w:hAnsi="SimSun" w:eastAsia="SimSun" w:cs="SimSun"/>
                <w:sz w:val="15"/>
                <w:szCs w:val="15"/>
              </w:rPr>
            </w:pPr>
            <w:bookmarkStart w:name="bookmark41" w:id="15"/>
            <w:bookmarkEnd w:id="15"/>
            <w:r>
              <w:rPr>
                <w:rFonts w:ascii="SimSun" w:hAnsi="SimSun" w:eastAsia="SimSun" w:cs="SimSun"/>
                <w:sz w:val="15"/>
                <w:szCs w:val="15"/>
                <w:color w:val="212529"/>
                <w:spacing w:val="10"/>
              </w:rPr>
              <w:t>上年财政拨款结转</w:t>
            </w:r>
          </w:p>
        </w:tc>
        <w:tc>
          <w:tcPr>
            <w:tcW w:w="1145" w:type="dxa"/>
            <w:vAlign w:val="top"/>
          </w:tcPr>
          <w:p>
            <w:pPr>
              <w:pStyle w:val="TableText"/>
              <w:rPr/>
            </w:pPr>
            <w:r/>
          </w:p>
        </w:tc>
        <w:tc>
          <w:tcPr>
            <w:tcW w:w="1814" w:type="dxa"/>
            <w:vAlign w:val="top"/>
          </w:tcPr>
          <w:p>
            <w:pPr>
              <w:ind w:left="2"/>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7" w:hRule="atLeast"/>
        </w:trPr>
        <w:tc>
          <w:tcPr>
            <w:tcW w:w="175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7" w:hRule="atLeast"/>
        </w:trPr>
        <w:tc>
          <w:tcPr>
            <w:tcW w:w="175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78" w:hRule="atLeast"/>
        </w:trPr>
        <w:tc>
          <w:tcPr>
            <w:tcW w:w="1755" w:type="dxa"/>
            <w:vAlign w:val="top"/>
          </w:tcPr>
          <w:p>
            <w:pPr>
              <w:pStyle w:val="TableText"/>
              <w:rPr/>
            </w:pPr>
            <w:r/>
          </w:p>
        </w:tc>
        <w:tc>
          <w:tcPr>
            <w:tcW w:w="1145" w:type="dxa"/>
            <w:vAlign w:val="top"/>
          </w:tcPr>
          <w:p>
            <w:pPr>
              <w:pStyle w:val="TableText"/>
              <w:rPr/>
            </w:pPr>
            <w:r/>
          </w:p>
        </w:tc>
        <w:tc>
          <w:tcPr>
            <w:tcW w:w="1814" w:type="dxa"/>
            <w:vAlign w:val="top"/>
          </w:tcPr>
          <w:p>
            <w:pPr>
              <w:pStyle w:val="TableText"/>
              <w:rPr/>
            </w:pPr>
            <w:r/>
          </w:p>
        </w:tc>
        <w:tc>
          <w:tcPr>
            <w:tcW w:w="1145" w:type="dxa"/>
            <w:vAlign w:val="top"/>
          </w:tcPr>
          <w:p>
            <w:pPr>
              <w:pStyle w:val="TableText"/>
              <w:rPr/>
            </w:pPr>
            <w:r/>
          </w:p>
        </w:tc>
        <w:tc>
          <w:tcPr>
            <w:tcW w:w="1080" w:type="dxa"/>
            <w:vAlign w:val="top"/>
          </w:tcPr>
          <w:p>
            <w:pPr>
              <w:pStyle w:val="TableText"/>
              <w:rPr/>
            </w:pPr>
            <w:r/>
          </w:p>
        </w:tc>
        <w:tc>
          <w:tcPr>
            <w:tcW w:w="1242" w:type="dxa"/>
            <w:vAlign w:val="top"/>
          </w:tcPr>
          <w:p>
            <w:pPr>
              <w:pStyle w:val="TableText"/>
              <w:rPr/>
            </w:pPr>
            <w:r/>
          </w:p>
        </w:tc>
        <w:tc>
          <w:tcPr>
            <w:tcW w:w="977" w:type="dxa"/>
            <w:vAlign w:val="top"/>
          </w:tcPr>
          <w:p>
            <w:pPr>
              <w:pStyle w:val="TableText"/>
              <w:rPr/>
            </w:pPr>
            <w:r/>
          </w:p>
        </w:tc>
      </w:tr>
      <w:tr>
        <w:trPr>
          <w:trHeight w:val="383" w:hRule="atLeast"/>
        </w:trPr>
        <w:tc>
          <w:tcPr>
            <w:tcW w:w="1755" w:type="dxa"/>
            <w:vAlign w:val="top"/>
          </w:tcPr>
          <w:p>
            <w:pPr>
              <w:ind w:left="547"/>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45" w:type="dxa"/>
            <w:vAlign w:val="top"/>
          </w:tcPr>
          <w:p>
            <w:pPr>
              <w:pStyle w:val="TableText"/>
              <w:ind w:left="237"/>
              <w:spacing w:before="136" w:line="172" w:lineRule="auto"/>
              <w:rPr>
                <w:sz w:val="14"/>
                <w:szCs w:val="14"/>
              </w:rPr>
            </w:pPr>
            <w:r>
              <w:rPr>
                <w:sz w:val="14"/>
                <w:szCs w:val="14"/>
                <w:color w:val="212529"/>
                <w:spacing w:val="1"/>
              </w:rPr>
              <w:t>25264.</w:t>
            </w:r>
            <w:r>
              <w:rPr>
                <w:sz w:val="14"/>
                <w:szCs w:val="14"/>
                <w:color w:val="212529"/>
                <w:spacing w:val="1"/>
              </w:rPr>
              <w:t xml:space="preserve"> </w:t>
            </w:r>
            <w:r>
              <w:rPr>
                <w:sz w:val="14"/>
                <w:szCs w:val="14"/>
                <w:color w:val="212529"/>
                <w:spacing w:val="1"/>
              </w:rPr>
              <w:t>39</w:t>
            </w:r>
          </w:p>
        </w:tc>
        <w:tc>
          <w:tcPr>
            <w:tcW w:w="1814" w:type="dxa"/>
            <w:vAlign w:val="top"/>
          </w:tcPr>
          <w:p>
            <w:pPr>
              <w:ind w:left="570"/>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45" w:type="dxa"/>
            <w:vAlign w:val="top"/>
          </w:tcPr>
          <w:p>
            <w:pPr>
              <w:pStyle w:val="TableText"/>
              <w:ind w:left="240"/>
              <w:spacing w:before="136" w:line="172" w:lineRule="auto"/>
              <w:rPr>
                <w:sz w:val="14"/>
                <w:szCs w:val="14"/>
              </w:rPr>
            </w:pPr>
            <w:r>
              <w:rPr>
                <w:sz w:val="14"/>
                <w:szCs w:val="14"/>
                <w:color w:val="212529"/>
              </w:rPr>
              <w:t>25264.</w:t>
            </w:r>
            <w:r>
              <w:rPr>
                <w:sz w:val="14"/>
                <w:szCs w:val="14"/>
                <w:color w:val="212529"/>
                <w:spacing w:val="12"/>
                <w:w w:val="102"/>
              </w:rPr>
              <w:t xml:space="preserve"> </w:t>
            </w:r>
            <w:r>
              <w:rPr>
                <w:sz w:val="14"/>
                <w:szCs w:val="14"/>
                <w:color w:val="212529"/>
              </w:rPr>
              <w:t>39</w:t>
            </w:r>
          </w:p>
        </w:tc>
        <w:tc>
          <w:tcPr>
            <w:tcW w:w="1080" w:type="dxa"/>
            <w:vAlign w:val="top"/>
          </w:tcPr>
          <w:p>
            <w:pPr>
              <w:pStyle w:val="TableText"/>
              <w:ind w:left="247"/>
              <w:spacing w:before="136" w:line="172" w:lineRule="auto"/>
              <w:rPr>
                <w:sz w:val="14"/>
                <w:szCs w:val="14"/>
              </w:rPr>
            </w:pPr>
            <w:r>
              <w:rPr>
                <w:sz w:val="14"/>
                <w:szCs w:val="14"/>
                <w:color w:val="212529"/>
              </w:rPr>
              <w:t>2264.</w:t>
            </w:r>
            <w:r>
              <w:rPr>
                <w:sz w:val="14"/>
                <w:szCs w:val="14"/>
                <w:color w:val="212529"/>
                <w:spacing w:val="9"/>
              </w:rPr>
              <w:t xml:space="preserve"> </w:t>
            </w:r>
            <w:r>
              <w:rPr>
                <w:sz w:val="14"/>
                <w:szCs w:val="14"/>
                <w:color w:val="212529"/>
              </w:rPr>
              <w:t>47</w:t>
            </w:r>
          </w:p>
        </w:tc>
        <w:tc>
          <w:tcPr>
            <w:tcW w:w="1242" w:type="dxa"/>
            <w:vAlign w:val="top"/>
          </w:tcPr>
          <w:p>
            <w:pPr>
              <w:pStyle w:val="TableText"/>
              <w:ind w:left="291"/>
              <w:spacing w:before="136" w:line="172" w:lineRule="auto"/>
              <w:rPr>
                <w:sz w:val="14"/>
                <w:szCs w:val="14"/>
              </w:rPr>
            </w:pPr>
            <w:r>
              <w:rPr>
                <w:sz w:val="14"/>
                <w:szCs w:val="14"/>
                <w:color w:val="212529"/>
              </w:rPr>
              <w:t>22999.</w:t>
            </w:r>
            <w:r>
              <w:rPr>
                <w:sz w:val="14"/>
                <w:szCs w:val="14"/>
                <w:color w:val="212529"/>
                <w:spacing w:val="12"/>
              </w:rPr>
              <w:t xml:space="preserve"> </w:t>
            </w:r>
            <w:r>
              <w:rPr>
                <w:sz w:val="14"/>
                <w:szCs w:val="14"/>
                <w:color w:val="212529"/>
              </w:rPr>
              <w:t>92</w:t>
            </w:r>
          </w:p>
        </w:tc>
        <w:tc>
          <w:tcPr>
            <w:tcW w:w="977" w:type="dxa"/>
            <w:vAlign w:val="top"/>
          </w:tcPr>
          <w:p>
            <w:pPr>
              <w:pStyle w:val="TableText"/>
              <w:rPr/>
            </w:pPr>
            <w:r/>
          </w:p>
        </w:tc>
      </w:tr>
    </w:tbl>
    <w:p>
      <w:pPr>
        <w:pStyle w:val="BodyText"/>
        <w:rPr/>
      </w:pPr>
      <w:r/>
    </w:p>
    <w:p>
      <w:pPr>
        <w:sectPr>
          <w:footerReference w:type="default" r:id="rId10"/>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7"/>
        <w:gridCol w:w="3089"/>
        <w:gridCol w:w="1598"/>
        <w:gridCol w:w="1307"/>
        <w:gridCol w:w="151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2" w:id="16"/>
            <w:bookmarkEnd w:id="16"/>
            <w:bookmarkStart w:name="bookmark10" w:id="17"/>
            <w:bookmarkEnd w:id="17"/>
            <w:r>
              <w:rPr>
                <w:rFonts w:ascii="Microsoft YaHei" w:hAnsi="Microsoft YaHei" w:eastAsia="Microsoft YaHei" w:cs="Microsoft YaHei"/>
                <w:sz w:val="20"/>
                <w:szCs w:val="20"/>
                <w:color w:val="212529"/>
                <w:position w:val="-1"/>
              </w:rPr>
              <w:t>2026年一般公共预算支出预算表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4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1517" w:type="dxa"/>
            <w:vAlign w:val="top"/>
            <w:tcBorders>
              <w:top w:val="single" w:color="FFFFFF" w:sz="4" w:space="0"/>
              <w:left w:val="single" w:color="FFFFFF" w:sz="2" w:space="0"/>
              <w:right w:val="single" w:color="FFFFFF" w:sz="2" w:space="0"/>
            </w:tcBorders>
          </w:tcPr>
          <w:p>
            <w:pPr>
              <w:ind w:left="84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36" w:type="dxa"/>
            <w:vAlign w:val="top"/>
            <w:gridSpan w:val="2"/>
          </w:tcPr>
          <w:p>
            <w:pPr>
              <w:ind w:left="219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22" w:type="dxa"/>
            <w:vAlign w:val="top"/>
            <w:gridSpan w:val="3"/>
          </w:tcPr>
          <w:p>
            <w:pPr>
              <w:ind w:left="171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292" w:hRule="atLeast"/>
        </w:trPr>
        <w:tc>
          <w:tcPr>
            <w:tcW w:w="1647" w:type="dxa"/>
            <w:vAlign w:val="top"/>
          </w:tcPr>
          <w:p>
            <w:pPr>
              <w:ind w:left="48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89" w:type="dxa"/>
            <w:vAlign w:val="top"/>
          </w:tcPr>
          <w:p>
            <w:pPr>
              <w:ind w:left="1205"/>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98" w:type="dxa"/>
            <w:vAlign w:val="top"/>
          </w:tcPr>
          <w:p>
            <w:pPr>
              <w:ind w:left="6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07" w:type="dxa"/>
            <w:vAlign w:val="top"/>
          </w:tcPr>
          <w:p>
            <w:pPr>
              <w:ind w:left="313"/>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517" w:type="dxa"/>
            <w:vAlign w:val="top"/>
          </w:tcPr>
          <w:p>
            <w:pPr>
              <w:ind w:left="4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36" w:type="dxa"/>
            <w:vAlign w:val="top"/>
            <w:gridSpan w:val="2"/>
          </w:tcPr>
          <w:p>
            <w:pPr>
              <w:ind w:left="2195"/>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98" w:type="dxa"/>
            <w:vAlign w:val="top"/>
          </w:tcPr>
          <w:p>
            <w:pPr>
              <w:pStyle w:val="TableText"/>
              <w:ind w:left="1002"/>
              <w:spacing w:before="87" w:line="172" w:lineRule="auto"/>
              <w:rPr>
                <w:sz w:val="14"/>
                <w:szCs w:val="14"/>
              </w:rPr>
            </w:pPr>
            <w:r>
              <w:rPr>
                <w:sz w:val="14"/>
                <w:szCs w:val="14"/>
                <w:color w:val="212529"/>
              </w:rPr>
              <w:t>2264.</w:t>
            </w:r>
            <w:r>
              <w:rPr>
                <w:sz w:val="14"/>
                <w:szCs w:val="14"/>
                <w:color w:val="212529"/>
                <w:spacing w:val="9"/>
              </w:rPr>
              <w:t xml:space="preserve"> </w:t>
            </w:r>
            <w:r>
              <w:rPr>
                <w:sz w:val="14"/>
                <w:szCs w:val="14"/>
                <w:color w:val="212529"/>
              </w:rPr>
              <w:t>47</w:t>
            </w:r>
          </w:p>
        </w:tc>
        <w:tc>
          <w:tcPr>
            <w:tcW w:w="1307" w:type="dxa"/>
            <w:vAlign w:val="top"/>
          </w:tcPr>
          <w:p>
            <w:pPr>
              <w:pStyle w:val="TableText"/>
              <w:ind w:left="881"/>
              <w:spacing w:before="87" w:line="186" w:lineRule="auto"/>
              <w:rPr>
                <w:sz w:val="13"/>
                <w:szCs w:val="13"/>
              </w:rPr>
            </w:pPr>
            <w:r>
              <w:rPr>
                <w:sz w:val="13"/>
                <w:szCs w:val="13"/>
                <w:color w:val="212529"/>
                <w:spacing w:val="4"/>
              </w:rPr>
              <w:t>36.</w:t>
            </w:r>
            <w:r>
              <w:rPr>
                <w:sz w:val="13"/>
                <w:szCs w:val="13"/>
                <w:color w:val="212529"/>
                <w:spacing w:val="9"/>
                <w:w w:val="102"/>
              </w:rPr>
              <w:t xml:space="preserve"> </w:t>
            </w:r>
            <w:r>
              <w:rPr>
                <w:sz w:val="13"/>
                <w:szCs w:val="13"/>
                <w:color w:val="212529"/>
                <w:spacing w:val="4"/>
              </w:rPr>
              <w:t>89</w:t>
            </w:r>
          </w:p>
        </w:tc>
        <w:tc>
          <w:tcPr>
            <w:tcW w:w="1517" w:type="dxa"/>
            <w:vAlign w:val="top"/>
          </w:tcPr>
          <w:p>
            <w:pPr>
              <w:pStyle w:val="TableText"/>
              <w:ind w:left="925"/>
              <w:spacing w:before="87" w:line="172" w:lineRule="auto"/>
              <w:rPr>
                <w:sz w:val="14"/>
                <w:szCs w:val="14"/>
              </w:rPr>
            </w:pPr>
            <w:r>
              <w:rPr>
                <w:sz w:val="14"/>
                <w:szCs w:val="14"/>
                <w:color w:val="212529"/>
              </w:rPr>
              <w:t>2227.</w:t>
            </w:r>
            <w:r>
              <w:rPr>
                <w:sz w:val="14"/>
                <w:szCs w:val="14"/>
                <w:color w:val="212529"/>
                <w:spacing w:val="9"/>
              </w:rPr>
              <w:t xml:space="preserve"> </w:t>
            </w:r>
            <w:r>
              <w:rPr>
                <w:sz w:val="14"/>
                <w:szCs w:val="14"/>
                <w:color w:val="212529"/>
              </w:rPr>
              <w:t>58</w:t>
            </w:r>
          </w:p>
        </w:tc>
      </w:tr>
      <w:tr>
        <w:trPr>
          <w:trHeight w:val="292" w:hRule="atLeast"/>
        </w:trPr>
        <w:tc>
          <w:tcPr>
            <w:tcW w:w="1647"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89" w:type="dxa"/>
            <w:vAlign w:val="top"/>
          </w:tcPr>
          <w:p>
            <w:pPr>
              <w:ind w:left="7"/>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98" w:type="dxa"/>
            <w:vAlign w:val="top"/>
          </w:tcPr>
          <w:p>
            <w:pPr>
              <w:ind w:right="2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5.26</w:t>
            </w:r>
          </w:p>
        </w:tc>
        <w:tc>
          <w:tcPr>
            <w:tcW w:w="1307"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5.26</w:t>
            </w:r>
          </w:p>
        </w:tc>
        <w:tc>
          <w:tcPr>
            <w:tcW w:w="1517" w:type="dxa"/>
            <w:vAlign w:val="top"/>
          </w:tcPr>
          <w:p>
            <w:pPr>
              <w:pStyle w:val="TableText"/>
              <w:rPr/>
            </w:pPr>
            <w:r/>
          </w:p>
        </w:tc>
      </w:tr>
      <w:tr>
        <w:trPr>
          <w:trHeight w:val="292" w:hRule="atLeast"/>
        </w:trPr>
        <w:tc>
          <w:tcPr>
            <w:tcW w:w="1647"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089" w:type="dxa"/>
            <w:vAlign w:val="top"/>
          </w:tcPr>
          <w:p>
            <w:pPr>
              <w:ind w:left="6"/>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98" w:type="dxa"/>
            <w:vAlign w:val="top"/>
          </w:tcPr>
          <w:p>
            <w:pPr>
              <w:ind w:right="2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4.88</w:t>
            </w:r>
          </w:p>
        </w:tc>
        <w:tc>
          <w:tcPr>
            <w:tcW w:w="1307"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4.88</w:t>
            </w:r>
          </w:p>
        </w:tc>
        <w:tc>
          <w:tcPr>
            <w:tcW w:w="1517" w:type="dxa"/>
            <w:vAlign w:val="top"/>
          </w:tcPr>
          <w:p>
            <w:pPr>
              <w:pStyle w:val="TableText"/>
              <w:rPr/>
            </w:pPr>
            <w:r/>
          </w:p>
        </w:tc>
      </w:tr>
      <w:tr>
        <w:trPr>
          <w:trHeight w:val="292" w:hRule="atLeast"/>
        </w:trPr>
        <w:tc>
          <w:tcPr>
            <w:tcW w:w="1647"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89" w:type="dxa"/>
            <w:vAlign w:val="top"/>
          </w:tcPr>
          <w:p>
            <w:pPr>
              <w:ind w:left="5"/>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98" w:type="dxa"/>
            <w:vAlign w:val="top"/>
          </w:tcPr>
          <w:p>
            <w:pPr>
              <w:ind w:right="2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307"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517" w:type="dxa"/>
            <w:vAlign w:val="top"/>
          </w:tcPr>
          <w:p>
            <w:pPr>
              <w:pStyle w:val="TableText"/>
              <w:rPr/>
            </w:pPr>
            <w:r/>
          </w:p>
        </w:tc>
      </w:tr>
      <w:tr>
        <w:trPr>
          <w:trHeight w:val="292" w:hRule="atLeast"/>
        </w:trPr>
        <w:tc>
          <w:tcPr>
            <w:tcW w:w="1647"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089" w:type="dxa"/>
            <w:vAlign w:val="top"/>
          </w:tcPr>
          <w:p>
            <w:pPr>
              <w:ind w:left="5"/>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98" w:type="dxa"/>
            <w:vAlign w:val="top"/>
          </w:tcPr>
          <w:p>
            <w:pPr>
              <w:ind w:right="2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1.28</w:t>
            </w:r>
          </w:p>
        </w:tc>
        <w:tc>
          <w:tcPr>
            <w:tcW w:w="1307"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1.28</w:t>
            </w:r>
          </w:p>
        </w:tc>
        <w:tc>
          <w:tcPr>
            <w:tcW w:w="1517" w:type="dxa"/>
            <w:vAlign w:val="top"/>
          </w:tcPr>
          <w:p>
            <w:pPr>
              <w:pStyle w:val="TableText"/>
              <w:rPr/>
            </w:pPr>
            <w:r/>
          </w:p>
        </w:tc>
      </w:tr>
      <w:tr>
        <w:trPr>
          <w:trHeight w:val="292" w:hRule="atLeast"/>
        </w:trPr>
        <w:tc>
          <w:tcPr>
            <w:tcW w:w="1647"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089" w:type="dxa"/>
            <w:vAlign w:val="top"/>
          </w:tcPr>
          <w:p>
            <w:pPr>
              <w:ind w:left="5"/>
              <w:spacing w:before="71"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598" w:type="dxa"/>
            <w:vAlign w:val="top"/>
          </w:tcPr>
          <w:p>
            <w:pPr>
              <w:ind w:right="2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307"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517" w:type="dxa"/>
            <w:vAlign w:val="top"/>
          </w:tcPr>
          <w:p>
            <w:pPr>
              <w:pStyle w:val="TableText"/>
              <w:rPr/>
            </w:pPr>
            <w:r/>
          </w:p>
        </w:tc>
      </w:tr>
      <w:tr>
        <w:trPr>
          <w:trHeight w:val="292" w:hRule="atLeast"/>
        </w:trPr>
        <w:tc>
          <w:tcPr>
            <w:tcW w:w="1647"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089" w:type="dxa"/>
            <w:vAlign w:val="top"/>
          </w:tcPr>
          <w:p>
            <w:pPr>
              <w:ind w:left="5"/>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598" w:type="dxa"/>
            <w:vAlign w:val="top"/>
          </w:tcPr>
          <w:p>
            <w:pPr>
              <w:ind w:right="2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307"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517" w:type="dxa"/>
            <w:vAlign w:val="top"/>
          </w:tcPr>
          <w:p>
            <w:pPr>
              <w:pStyle w:val="TableText"/>
              <w:rPr/>
            </w:pPr>
            <w:r/>
          </w:p>
        </w:tc>
      </w:tr>
      <w:tr>
        <w:trPr>
          <w:trHeight w:val="292" w:hRule="atLeast"/>
        </w:trPr>
        <w:tc>
          <w:tcPr>
            <w:tcW w:w="1647"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089" w:type="dxa"/>
            <w:vAlign w:val="top"/>
          </w:tcPr>
          <w:p>
            <w:pPr>
              <w:ind w:left="5"/>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98" w:type="dxa"/>
            <w:vAlign w:val="top"/>
          </w:tcPr>
          <w:p>
            <w:pPr>
              <w:ind w:right="2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307"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517" w:type="dxa"/>
            <w:vAlign w:val="top"/>
          </w:tcPr>
          <w:p>
            <w:pPr>
              <w:pStyle w:val="TableText"/>
              <w:rPr/>
            </w:pPr>
            <w:r/>
          </w:p>
        </w:tc>
      </w:tr>
      <w:tr>
        <w:trPr>
          <w:trHeight w:val="292" w:hRule="atLeast"/>
        </w:trPr>
        <w:tc>
          <w:tcPr>
            <w:tcW w:w="1647"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089" w:type="dxa"/>
            <w:vAlign w:val="top"/>
          </w:tcPr>
          <w:p>
            <w:pPr>
              <w:ind w:left="5"/>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98" w:type="dxa"/>
            <w:vAlign w:val="top"/>
          </w:tcPr>
          <w:p>
            <w:pPr>
              <w:ind w:right="2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307"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517" w:type="dxa"/>
            <w:vAlign w:val="top"/>
          </w:tcPr>
          <w:p>
            <w:pPr>
              <w:pStyle w:val="TableText"/>
              <w:rPr/>
            </w:pPr>
            <w:r/>
          </w:p>
        </w:tc>
      </w:tr>
      <w:tr>
        <w:trPr>
          <w:trHeight w:val="293"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89" w:type="dxa"/>
            <w:vAlign w:val="top"/>
          </w:tcPr>
          <w:p>
            <w:pPr>
              <w:ind w:left="7"/>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c>
          <w:tcPr>
            <w:tcW w:w="1307"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c>
          <w:tcPr>
            <w:tcW w:w="1517" w:type="dxa"/>
            <w:vAlign w:val="top"/>
          </w:tcPr>
          <w:p>
            <w:pPr>
              <w:pStyle w:val="TableText"/>
              <w:rPr/>
            </w:pPr>
            <w:r/>
          </w:p>
        </w:tc>
      </w:tr>
      <w:tr>
        <w:trPr>
          <w:trHeight w:val="293"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89"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c>
          <w:tcPr>
            <w:tcW w:w="1307"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c>
          <w:tcPr>
            <w:tcW w:w="1517" w:type="dxa"/>
            <w:vAlign w:val="top"/>
          </w:tcPr>
          <w:p>
            <w:pPr>
              <w:pStyle w:val="TableText"/>
              <w:rPr/>
            </w:pPr>
            <w:r/>
          </w:p>
        </w:tc>
      </w:tr>
      <w:tr>
        <w:trPr>
          <w:trHeight w:val="293" w:hRule="atLeast"/>
        </w:trPr>
        <w:tc>
          <w:tcPr>
            <w:tcW w:w="1647"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089"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2.19</w:t>
            </w:r>
          </w:p>
        </w:tc>
        <w:tc>
          <w:tcPr>
            <w:tcW w:w="1307"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2.19</w:t>
            </w:r>
          </w:p>
        </w:tc>
        <w:tc>
          <w:tcPr>
            <w:tcW w:w="1517" w:type="dxa"/>
            <w:vAlign w:val="top"/>
          </w:tcPr>
          <w:p>
            <w:pPr>
              <w:pStyle w:val="TableText"/>
              <w:rPr/>
            </w:pPr>
            <w:r/>
          </w:p>
        </w:tc>
      </w:tr>
      <w:tr>
        <w:trPr>
          <w:trHeight w:val="292" w:hRule="atLeast"/>
        </w:trPr>
        <w:tc>
          <w:tcPr>
            <w:tcW w:w="1647"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89" w:type="dxa"/>
            <w:vAlign w:val="top"/>
          </w:tcPr>
          <w:p>
            <w:pPr>
              <w:ind w:left="11"/>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98" w:type="dxa"/>
            <w:vAlign w:val="top"/>
          </w:tcPr>
          <w:p>
            <w:pPr>
              <w:ind w:right="2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07"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517" w:type="dxa"/>
            <w:vAlign w:val="top"/>
          </w:tcPr>
          <w:p>
            <w:pPr>
              <w:pStyle w:val="TableText"/>
              <w:rPr/>
            </w:pPr>
            <w:r/>
          </w:p>
        </w:tc>
      </w:tr>
      <w:tr>
        <w:trPr>
          <w:trHeight w:val="293"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2"/>
                <w:position w:val="1"/>
              </w:rPr>
              <w:t>220</w:t>
            </w:r>
          </w:p>
        </w:tc>
        <w:tc>
          <w:tcPr>
            <w:tcW w:w="3089" w:type="dxa"/>
            <w:vAlign w:val="top"/>
          </w:tcPr>
          <w:p>
            <w:pPr>
              <w:ind w:left="37"/>
              <w:spacing w:before="74" w:line="229" w:lineRule="auto"/>
              <w:rPr>
                <w:rFonts w:ascii="SimSun" w:hAnsi="SimSun" w:eastAsia="SimSun" w:cs="SimSun"/>
                <w:sz w:val="15"/>
                <w:szCs w:val="15"/>
              </w:rPr>
            </w:pPr>
            <w:r>
              <w:rPr>
                <w:rFonts w:ascii="SimSun" w:hAnsi="SimSun" w:eastAsia="SimSun" w:cs="SimSun"/>
                <w:sz w:val="15"/>
                <w:szCs w:val="15"/>
                <w:color w:val="212529"/>
                <w:spacing w:val="8"/>
              </w:rPr>
              <w:t>自然资源海洋气象等支出</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2253.23</w:t>
            </w:r>
          </w:p>
        </w:tc>
        <w:tc>
          <w:tcPr>
            <w:tcW w:w="1307"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25.66</w:t>
            </w:r>
          </w:p>
        </w:tc>
        <w:tc>
          <w:tcPr>
            <w:tcW w:w="1517"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2227.58</w:t>
            </w:r>
          </w:p>
        </w:tc>
      </w:tr>
      <w:tr>
        <w:trPr>
          <w:trHeight w:val="292" w:hRule="atLeast"/>
        </w:trPr>
        <w:tc>
          <w:tcPr>
            <w:tcW w:w="1647"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22001</w:t>
            </w:r>
          </w:p>
        </w:tc>
        <w:tc>
          <w:tcPr>
            <w:tcW w:w="3089" w:type="dxa"/>
            <w:vAlign w:val="top"/>
          </w:tcPr>
          <w:p>
            <w:pPr>
              <w:ind w:left="37"/>
              <w:spacing w:before="74" w:line="229" w:lineRule="auto"/>
              <w:rPr>
                <w:rFonts w:ascii="SimSun" w:hAnsi="SimSun" w:eastAsia="SimSun" w:cs="SimSun"/>
                <w:sz w:val="15"/>
                <w:szCs w:val="15"/>
              </w:rPr>
            </w:pPr>
            <w:r>
              <w:rPr>
                <w:rFonts w:ascii="SimSun" w:hAnsi="SimSun" w:eastAsia="SimSun" w:cs="SimSun"/>
                <w:sz w:val="15"/>
                <w:szCs w:val="15"/>
                <w:color w:val="212529"/>
                <w:spacing w:val="5"/>
              </w:rPr>
              <w:t>自然资源事务</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2253.23</w:t>
            </w:r>
          </w:p>
        </w:tc>
        <w:tc>
          <w:tcPr>
            <w:tcW w:w="1307"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25.66</w:t>
            </w:r>
          </w:p>
        </w:tc>
        <w:tc>
          <w:tcPr>
            <w:tcW w:w="1517"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2227.58</w:t>
            </w:r>
          </w:p>
        </w:tc>
      </w:tr>
      <w:tr>
        <w:trPr>
          <w:trHeight w:val="293" w:hRule="atLeast"/>
        </w:trPr>
        <w:tc>
          <w:tcPr>
            <w:tcW w:w="1647"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2200101</w:t>
            </w:r>
          </w:p>
        </w:tc>
        <w:tc>
          <w:tcPr>
            <w:tcW w:w="3089"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98" w:type="dxa"/>
            <w:vAlign w:val="top"/>
          </w:tcPr>
          <w:p>
            <w:pPr>
              <w:ind w:right="2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25.66</w:t>
            </w:r>
          </w:p>
        </w:tc>
        <w:tc>
          <w:tcPr>
            <w:tcW w:w="1307"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25.66</w:t>
            </w:r>
          </w:p>
        </w:tc>
        <w:tc>
          <w:tcPr>
            <w:tcW w:w="1517" w:type="dxa"/>
            <w:vAlign w:val="top"/>
          </w:tcPr>
          <w:p>
            <w:pPr>
              <w:pStyle w:val="TableText"/>
              <w:rPr/>
            </w:pPr>
            <w:r/>
          </w:p>
        </w:tc>
      </w:tr>
      <w:tr>
        <w:trPr>
          <w:trHeight w:val="293"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2200102</w:t>
            </w:r>
          </w:p>
        </w:tc>
        <w:tc>
          <w:tcPr>
            <w:tcW w:w="3089"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227.58</w:t>
            </w:r>
          </w:p>
        </w:tc>
        <w:tc>
          <w:tcPr>
            <w:tcW w:w="1307" w:type="dxa"/>
            <w:vAlign w:val="top"/>
          </w:tcPr>
          <w:p>
            <w:pPr>
              <w:pStyle w:val="TableText"/>
              <w:rPr/>
            </w:pPr>
            <w:r/>
          </w:p>
        </w:tc>
        <w:tc>
          <w:tcPr>
            <w:tcW w:w="1517"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227.58</w:t>
            </w:r>
          </w:p>
        </w:tc>
      </w:tr>
      <w:tr>
        <w:trPr>
          <w:trHeight w:val="292"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2200106</w:t>
            </w:r>
          </w:p>
        </w:tc>
        <w:tc>
          <w:tcPr>
            <w:tcW w:w="3089" w:type="dxa"/>
            <w:vAlign w:val="top"/>
          </w:tcPr>
          <w:p>
            <w:pPr>
              <w:ind w:left="37"/>
              <w:spacing w:before="74" w:line="230" w:lineRule="auto"/>
              <w:rPr>
                <w:rFonts w:ascii="SimSun" w:hAnsi="SimSun" w:eastAsia="SimSun" w:cs="SimSun"/>
                <w:sz w:val="15"/>
                <w:szCs w:val="15"/>
              </w:rPr>
            </w:pPr>
            <w:r>
              <w:rPr>
                <w:rFonts w:ascii="SimSun" w:hAnsi="SimSun" w:eastAsia="SimSun" w:cs="SimSun"/>
                <w:sz w:val="15"/>
                <w:szCs w:val="15"/>
                <w:color w:val="212529"/>
                <w:spacing w:val="7"/>
              </w:rPr>
              <w:t>自然资源利用与保护</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c>
          <w:tcPr>
            <w:tcW w:w="1307" w:type="dxa"/>
            <w:vAlign w:val="top"/>
          </w:tcPr>
          <w:p>
            <w:pPr>
              <w:pStyle w:val="TableText"/>
              <w:rPr/>
            </w:pPr>
            <w:r/>
          </w:p>
        </w:tc>
        <w:tc>
          <w:tcPr>
            <w:tcW w:w="1517"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r>
      <w:tr>
        <w:trPr>
          <w:trHeight w:val="292" w:hRule="atLeast"/>
        </w:trPr>
        <w:tc>
          <w:tcPr>
            <w:tcW w:w="1647"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89"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98" w:type="dxa"/>
            <w:vAlign w:val="top"/>
          </w:tcPr>
          <w:p>
            <w:pPr>
              <w:ind w:right="2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307"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517" w:type="dxa"/>
            <w:vAlign w:val="top"/>
          </w:tcPr>
          <w:p>
            <w:pPr>
              <w:pStyle w:val="TableText"/>
              <w:rPr/>
            </w:pPr>
            <w:r/>
          </w:p>
        </w:tc>
      </w:tr>
      <w:tr>
        <w:trPr>
          <w:trHeight w:val="293" w:hRule="atLeast"/>
        </w:trPr>
        <w:tc>
          <w:tcPr>
            <w:tcW w:w="1647"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89" w:type="dxa"/>
            <w:vAlign w:val="top"/>
          </w:tcPr>
          <w:p>
            <w:pPr>
              <w:ind w:left="6"/>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98" w:type="dxa"/>
            <w:vAlign w:val="top"/>
          </w:tcPr>
          <w:p>
            <w:pPr>
              <w:ind w:right="2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307" w:type="dxa"/>
            <w:vAlign w:val="top"/>
          </w:tcPr>
          <w:p>
            <w:pPr>
              <w:ind w:right="21"/>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517" w:type="dxa"/>
            <w:vAlign w:val="top"/>
          </w:tcPr>
          <w:p>
            <w:pPr>
              <w:pStyle w:val="TableText"/>
              <w:rPr/>
            </w:pPr>
            <w:r/>
          </w:p>
        </w:tc>
      </w:tr>
      <w:tr>
        <w:trPr>
          <w:trHeight w:val="298" w:hRule="atLeast"/>
        </w:trPr>
        <w:tc>
          <w:tcPr>
            <w:tcW w:w="1647"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89" w:type="dxa"/>
            <w:vAlign w:val="top"/>
          </w:tcPr>
          <w:p>
            <w:pPr>
              <w:ind w:left="6"/>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98" w:type="dxa"/>
            <w:vAlign w:val="top"/>
          </w:tcPr>
          <w:p>
            <w:pPr>
              <w:ind w:right="2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307"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517" w:type="dxa"/>
            <w:vAlign w:val="top"/>
          </w:tcPr>
          <w:p>
            <w:pPr>
              <w:pStyle w:val="TableText"/>
              <w:rPr/>
            </w:pPr>
            <w:r/>
          </w:p>
        </w:tc>
      </w:tr>
    </w:tbl>
    <w:p>
      <w:pPr>
        <w:pStyle w:val="BodyText"/>
        <w:rPr/>
      </w:pPr>
      <w:r/>
    </w:p>
    <w:p>
      <w:pPr>
        <w:sectPr>
          <w:footerReference w:type="default" r:id="rId11"/>
          <w:pgSz w:w="11900" w:h="16840"/>
          <w:pgMar w:top="642" w:right="600" w:bottom="340" w:left="600" w:header="326" w:footer="93" w:gutter="0"/>
        </w:sectPr>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07"/>
        <w:gridCol w:w="2343"/>
        <w:gridCol w:w="1134"/>
        <w:gridCol w:w="1134"/>
        <w:gridCol w:w="1064"/>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3"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2026年一般公共预算安排基本支出分经济科目表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84"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064" w:type="dxa"/>
            <w:vAlign w:val="top"/>
            <w:tcBorders>
              <w:top w:val="single" w:color="FFFFFF" w:sz="4" w:space="0"/>
              <w:left w:val="single" w:color="FFFFFF" w:sz="2" w:space="0"/>
              <w:right w:val="single" w:color="FFFFFF" w:sz="2" w:space="0"/>
            </w:tcBorders>
          </w:tcPr>
          <w:p>
            <w:pPr>
              <w:ind w:left="393"/>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407" w:type="dxa"/>
            <w:vAlign w:val="top"/>
            <w:vMerge w:val="restart"/>
            <w:tcBorders>
              <w:bottom w:val="nil"/>
            </w:tcBorders>
          </w:tcPr>
          <w:p>
            <w:pPr>
              <w:ind w:left="7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43" w:type="dxa"/>
            <w:vAlign w:val="top"/>
            <w:vMerge w:val="restart"/>
            <w:tcBorders>
              <w:bottom w:val="nil"/>
            </w:tcBorders>
          </w:tcPr>
          <w:p>
            <w:pPr>
              <w:ind w:left="188"/>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32" w:type="dxa"/>
            <w:vAlign w:val="top"/>
            <w:gridSpan w:val="3"/>
          </w:tcPr>
          <w:p>
            <w:pPr>
              <w:ind w:left="117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292" w:hRule="atLeast"/>
        </w:trPr>
        <w:tc>
          <w:tcPr>
            <w:tcW w:w="3407" w:type="dxa"/>
            <w:vAlign w:val="top"/>
            <w:vMerge w:val="continue"/>
            <w:tcBorders>
              <w:top w:val="nil"/>
            </w:tcBorders>
          </w:tcPr>
          <w:p>
            <w:pPr>
              <w:pStyle w:val="TableText"/>
              <w:rPr/>
            </w:pPr>
            <w:r/>
          </w:p>
        </w:tc>
        <w:tc>
          <w:tcPr>
            <w:tcW w:w="2343" w:type="dxa"/>
            <w:vAlign w:val="top"/>
            <w:vMerge w:val="continue"/>
            <w:tcBorders>
              <w:top w:val="nil"/>
            </w:tcBorders>
          </w:tcPr>
          <w:p>
            <w:pPr>
              <w:pStyle w:val="TableText"/>
              <w:rPr/>
            </w:pPr>
            <w:r/>
          </w:p>
        </w:tc>
        <w:tc>
          <w:tcPr>
            <w:tcW w:w="1134" w:type="dxa"/>
            <w:vAlign w:val="top"/>
          </w:tcPr>
          <w:p>
            <w:pPr>
              <w:ind w:left="400"/>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8"/>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64" w:type="dxa"/>
            <w:vAlign w:val="top"/>
          </w:tcPr>
          <w:p>
            <w:pPr>
              <w:ind w:left="20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750" w:type="dxa"/>
            <w:vAlign w:val="top"/>
            <w:gridSpan w:val="2"/>
          </w:tcPr>
          <w:p>
            <w:pPr>
              <w:ind w:left="2717"/>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34" w:type="dxa"/>
            <w:vAlign w:val="top"/>
          </w:tcPr>
          <w:p>
            <w:pPr>
              <w:pStyle w:val="TableText"/>
              <w:ind w:left="711"/>
              <w:spacing w:before="87" w:line="186" w:lineRule="auto"/>
              <w:rPr>
                <w:sz w:val="13"/>
                <w:szCs w:val="13"/>
              </w:rPr>
            </w:pPr>
            <w:r>
              <w:rPr>
                <w:sz w:val="13"/>
                <w:szCs w:val="13"/>
                <w:color w:val="212529"/>
                <w:spacing w:val="4"/>
              </w:rPr>
              <w:t>36.</w:t>
            </w:r>
            <w:r>
              <w:rPr>
                <w:sz w:val="13"/>
                <w:szCs w:val="13"/>
                <w:color w:val="212529"/>
                <w:spacing w:val="9"/>
                <w:w w:val="102"/>
              </w:rPr>
              <w:t xml:space="preserve"> </w:t>
            </w:r>
            <w:r>
              <w:rPr>
                <w:sz w:val="13"/>
                <w:szCs w:val="13"/>
                <w:color w:val="212529"/>
                <w:spacing w:val="4"/>
              </w:rPr>
              <w:t>89</w:t>
            </w:r>
          </w:p>
        </w:tc>
        <w:tc>
          <w:tcPr>
            <w:tcW w:w="1134" w:type="dxa"/>
            <w:vAlign w:val="top"/>
          </w:tcPr>
          <w:p>
            <w:pPr>
              <w:pStyle w:val="TableText"/>
              <w:ind w:left="713"/>
              <w:spacing w:before="87" w:line="186" w:lineRule="auto"/>
              <w:rPr>
                <w:sz w:val="13"/>
                <w:szCs w:val="13"/>
              </w:rPr>
            </w:pPr>
            <w:r>
              <w:rPr>
                <w:sz w:val="13"/>
                <w:szCs w:val="13"/>
                <w:color w:val="212529"/>
                <w:spacing w:val="4"/>
              </w:rPr>
              <w:t>33.</w:t>
            </w:r>
            <w:r>
              <w:rPr>
                <w:sz w:val="13"/>
                <w:szCs w:val="13"/>
                <w:color w:val="212529"/>
                <w:spacing w:val="9"/>
              </w:rPr>
              <w:t xml:space="preserve"> </w:t>
            </w:r>
            <w:r>
              <w:rPr>
                <w:sz w:val="13"/>
                <w:szCs w:val="13"/>
                <w:color w:val="212529"/>
                <w:spacing w:val="4"/>
              </w:rPr>
              <w:t>65</w:t>
            </w:r>
          </w:p>
        </w:tc>
        <w:tc>
          <w:tcPr>
            <w:tcW w:w="1064" w:type="dxa"/>
            <w:vAlign w:val="top"/>
          </w:tcPr>
          <w:p>
            <w:pPr>
              <w:pStyle w:val="TableText"/>
              <w:ind w:left="718"/>
              <w:spacing w:before="87" w:line="186" w:lineRule="auto"/>
              <w:rPr>
                <w:sz w:val="13"/>
                <w:szCs w:val="13"/>
              </w:rPr>
            </w:pPr>
            <w:r>
              <w:rPr>
                <w:sz w:val="13"/>
                <w:szCs w:val="13"/>
                <w:color w:val="212529"/>
                <w:spacing w:val="2"/>
              </w:rPr>
              <w:t>3.</w:t>
            </w:r>
            <w:r>
              <w:rPr>
                <w:sz w:val="13"/>
                <w:szCs w:val="13"/>
                <w:color w:val="212529"/>
                <w:spacing w:val="16"/>
              </w:rPr>
              <w:t xml:space="preserve"> </w:t>
            </w:r>
            <w:r>
              <w:rPr>
                <w:sz w:val="13"/>
                <w:szCs w:val="13"/>
                <w:color w:val="212529"/>
                <w:spacing w:val="2"/>
              </w:rPr>
              <w:t>24</w:t>
            </w:r>
          </w:p>
        </w:tc>
      </w:tr>
      <w:tr>
        <w:trPr>
          <w:trHeight w:val="292" w:hRule="atLeast"/>
        </w:trPr>
        <w:tc>
          <w:tcPr>
            <w:tcW w:w="3407"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43" w:type="dxa"/>
            <w:vAlign w:val="top"/>
          </w:tcPr>
          <w:p>
            <w:pPr>
              <w:pStyle w:val="TableText"/>
              <w:rPr/>
            </w:pPr>
            <w:r/>
          </w:p>
        </w:tc>
        <w:tc>
          <w:tcPr>
            <w:tcW w:w="113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33.65</w:t>
            </w:r>
          </w:p>
        </w:tc>
        <w:tc>
          <w:tcPr>
            <w:tcW w:w="1134" w:type="dxa"/>
            <w:vAlign w:val="top"/>
          </w:tcPr>
          <w:p>
            <w:pPr>
              <w:ind w:right="15"/>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33.65</w:t>
            </w:r>
          </w:p>
        </w:tc>
        <w:tc>
          <w:tcPr>
            <w:tcW w:w="1064" w:type="dxa"/>
            <w:vAlign w:val="top"/>
          </w:tcPr>
          <w:p>
            <w:pPr>
              <w:pStyle w:val="TableText"/>
              <w:rPr/>
            </w:pPr>
            <w:r/>
          </w:p>
        </w:tc>
      </w:tr>
      <w:tr>
        <w:trPr>
          <w:trHeight w:val="292" w:hRule="atLeast"/>
        </w:trPr>
        <w:tc>
          <w:tcPr>
            <w:tcW w:w="3407"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43" w:type="dxa"/>
            <w:vAlign w:val="top"/>
          </w:tcPr>
          <w:p>
            <w:pPr>
              <w:ind w:left="331"/>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3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10.55</w:t>
            </w:r>
          </w:p>
        </w:tc>
        <w:tc>
          <w:tcPr>
            <w:tcW w:w="1134" w:type="dxa"/>
            <w:vAlign w:val="top"/>
          </w:tcPr>
          <w:p>
            <w:pPr>
              <w:ind w:right="15"/>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10.55</w:t>
            </w:r>
          </w:p>
        </w:tc>
        <w:tc>
          <w:tcPr>
            <w:tcW w:w="1064" w:type="dxa"/>
            <w:vAlign w:val="top"/>
          </w:tcPr>
          <w:p>
            <w:pPr>
              <w:pStyle w:val="TableText"/>
              <w:rPr/>
            </w:pPr>
            <w:r/>
          </w:p>
        </w:tc>
      </w:tr>
      <w:tr>
        <w:trPr>
          <w:trHeight w:val="292" w:hRule="atLeast"/>
        </w:trPr>
        <w:tc>
          <w:tcPr>
            <w:tcW w:w="3407"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43" w:type="dxa"/>
            <w:vAlign w:val="top"/>
          </w:tcPr>
          <w:p>
            <w:pPr>
              <w:ind w:left="331"/>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3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5.67</w:t>
            </w:r>
          </w:p>
        </w:tc>
        <w:tc>
          <w:tcPr>
            <w:tcW w:w="1134" w:type="dxa"/>
            <w:vAlign w:val="top"/>
          </w:tcPr>
          <w:p>
            <w:pPr>
              <w:ind w:right="1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5.67</w:t>
            </w:r>
          </w:p>
        </w:tc>
        <w:tc>
          <w:tcPr>
            <w:tcW w:w="1064" w:type="dxa"/>
            <w:vAlign w:val="top"/>
          </w:tcPr>
          <w:p>
            <w:pPr>
              <w:pStyle w:val="TableText"/>
              <w:rPr/>
            </w:pPr>
            <w:r/>
          </w:p>
        </w:tc>
      </w:tr>
      <w:tr>
        <w:trPr>
          <w:trHeight w:val="292" w:hRule="atLeast"/>
        </w:trPr>
        <w:tc>
          <w:tcPr>
            <w:tcW w:w="3407"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343" w:type="dxa"/>
            <w:vAlign w:val="top"/>
          </w:tcPr>
          <w:p>
            <w:pPr>
              <w:ind w:left="331"/>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4.79</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4.79</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43" w:type="dxa"/>
            <w:vAlign w:val="top"/>
          </w:tcPr>
          <w:p>
            <w:pPr>
              <w:ind w:left="331"/>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064" w:type="dxa"/>
            <w:vAlign w:val="top"/>
          </w:tcPr>
          <w:p>
            <w:pPr>
              <w:pStyle w:val="TableText"/>
              <w:rPr/>
            </w:pPr>
            <w:r/>
          </w:p>
        </w:tc>
      </w:tr>
      <w:tr>
        <w:trPr>
          <w:trHeight w:val="292" w:hRule="atLeast"/>
        </w:trPr>
        <w:tc>
          <w:tcPr>
            <w:tcW w:w="3407"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343" w:type="dxa"/>
            <w:vAlign w:val="top"/>
          </w:tcPr>
          <w:p>
            <w:pPr>
              <w:ind w:left="331"/>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3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1.28</w:t>
            </w:r>
          </w:p>
        </w:tc>
        <w:tc>
          <w:tcPr>
            <w:tcW w:w="1134" w:type="dxa"/>
            <w:vAlign w:val="top"/>
          </w:tcPr>
          <w:p>
            <w:pPr>
              <w:ind w:right="1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1.28</w:t>
            </w:r>
          </w:p>
        </w:tc>
        <w:tc>
          <w:tcPr>
            <w:tcW w:w="1064" w:type="dxa"/>
            <w:vAlign w:val="top"/>
          </w:tcPr>
          <w:p>
            <w:pPr>
              <w:pStyle w:val="TableText"/>
              <w:rPr/>
            </w:pPr>
            <w:r/>
          </w:p>
        </w:tc>
      </w:tr>
      <w:tr>
        <w:trPr>
          <w:trHeight w:val="292" w:hRule="atLeast"/>
        </w:trPr>
        <w:tc>
          <w:tcPr>
            <w:tcW w:w="3407"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43" w:type="dxa"/>
            <w:vAlign w:val="top"/>
          </w:tcPr>
          <w:p>
            <w:pPr>
              <w:ind w:left="331"/>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3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2.16</w:t>
            </w:r>
          </w:p>
        </w:tc>
        <w:tc>
          <w:tcPr>
            <w:tcW w:w="1134" w:type="dxa"/>
            <w:vAlign w:val="top"/>
          </w:tcPr>
          <w:p>
            <w:pPr>
              <w:ind w:right="1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2.16</w:t>
            </w:r>
          </w:p>
        </w:tc>
        <w:tc>
          <w:tcPr>
            <w:tcW w:w="1064" w:type="dxa"/>
            <w:vAlign w:val="top"/>
          </w:tcPr>
          <w:p>
            <w:pPr>
              <w:pStyle w:val="TableText"/>
              <w:rPr/>
            </w:pPr>
            <w:r/>
          </w:p>
        </w:tc>
      </w:tr>
      <w:tr>
        <w:trPr>
          <w:trHeight w:val="292" w:hRule="atLeast"/>
        </w:trPr>
        <w:tc>
          <w:tcPr>
            <w:tcW w:w="3407"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343" w:type="dxa"/>
            <w:vAlign w:val="top"/>
          </w:tcPr>
          <w:p>
            <w:pPr>
              <w:ind w:left="331"/>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3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134" w:type="dxa"/>
            <w:vAlign w:val="top"/>
          </w:tcPr>
          <w:p>
            <w:pPr>
              <w:ind w:right="15"/>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064" w:type="dxa"/>
            <w:vAlign w:val="top"/>
          </w:tcPr>
          <w:p>
            <w:pPr>
              <w:pStyle w:val="TableText"/>
              <w:rPr/>
            </w:pPr>
            <w:r/>
          </w:p>
        </w:tc>
      </w:tr>
      <w:tr>
        <w:trPr>
          <w:trHeight w:val="292" w:hRule="atLeast"/>
        </w:trPr>
        <w:tc>
          <w:tcPr>
            <w:tcW w:w="3407" w:type="dxa"/>
            <w:vAlign w:val="top"/>
          </w:tcPr>
          <w:p>
            <w:pPr>
              <w:ind w:left="330"/>
              <w:spacing w:before="75"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43" w:type="dxa"/>
            <w:vAlign w:val="top"/>
          </w:tcPr>
          <w:p>
            <w:pPr>
              <w:ind w:left="331"/>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3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0.07</w:t>
            </w:r>
          </w:p>
        </w:tc>
        <w:tc>
          <w:tcPr>
            <w:tcW w:w="1134" w:type="dxa"/>
            <w:vAlign w:val="top"/>
          </w:tcPr>
          <w:p>
            <w:pPr>
              <w:ind w:right="15"/>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0.07</w:t>
            </w:r>
          </w:p>
        </w:tc>
        <w:tc>
          <w:tcPr>
            <w:tcW w:w="1064" w:type="dxa"/>
            <w:vAlign w:val="top"/>
          </w:tcPr>
          <w:p>
            <w:pPr>
              <w:pStyle w:val="TableText"/>
              <w:rPr/>
            </w:pPr>
            <w:r/>
          </w:p>
        </w:tc>
      </w:tr>
      <w:tr>
        <w:trPr>
          <w:trHeight w:val="293" w:hRule="atLeast"/>
        </w:trPr>
        <w:tc>
          <w:tcPr>
            <w:tcW w:w="3407"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43"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134" w:type="dxa"/>
            <w:vAlign w:val="top"/>
          </w:tcPr>
          <w:p>
            <w:pPr>
              <w:ind w:right="1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064" w:type="dxa"/>
            <w:vAlign w:val="top"/>
          </w:tcPr>
          <w:p>
            <w:pPr>
              <w:pStyle w:val="TableText"/>
              <w:rPr/>
            </w:pPr>
            <w:r/>
          </w:p>
        </w:tc>
      </w:tr>
      <w:tr>
        <w:trPr>
          <w:trHeight w:val="293" w:hRule="atLeast"/>
        </w:trPr>
        <w:tc>
          <w:tcPr>
            <w:tcW w:w="3407"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43" w:type="dxa"/>
            <w:vAlign w:val="top"/>
          </w:tcPr>
          <w:p>
            <w:pPr>
              <w:ind w:left="329"/>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134" w:type="dxa"/>
            <w:vAlign w:val="top"/>
          </w:tcPr>
          <w:p>
            <w:pPr>
              <w:ind w:right="1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064" w:type="dxa"/>
            <w:vAlign w:val="top"/>
          </w:tcPr>
          <w:p>
            <w:pPr>
              <w:pStyle w:val="TableText"/>
              <w:rPr/>
            </w:pPr>
            <w:r/>
          </w:p>
        </w:tc>
      </w:tr>
      <w:tr>
        <w:trPr>
          <w:trHeight w:val="292" w:hRule="atLeast"/>
        </w:trPr>
        <w:tc>
          <w:tcPr>
            <w:tcW w:w="3407" w:type="dxa"/>
            <w:vAlign w:val="top"/>
          </w:tcPr>
          <w:p>
            <w:pPr>
              <w:ind w:left="9"/>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43" w:type="dxa"/>
            <w:vAlign w:val="top"/>
          </w:tcPr>
          <w:p>
            <w:pPr>
              <w:pStyle w:val="TableText"/>
              <w:rPr/>
            </w:pPr>
            <w:r/>
          </w:p>
        </w:tc>
        <w:tc>
          <w:tcPr>
            <w:tcW w:w="113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134" w:type="dxa"/>
            <w:vAlign w:val="top"/>
          </w:tcPr>
          <w:p>
            <w:pPr>
              <w:pStyle w:val="TableText"/>
              <w:rPr/>
            </w:pPr>
            <w:r/>
          </w:p>
        </w:tc>
        <w:tc>
          <w:tcPr>
            <w:tcW w:w="106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r>
      <w:tr>
        <w:trPr>
          <w:trHeight w:val="293" w:hRule="atLeast"/>
        </w:trPr>
        <w:tc>
          <w:tcPr>
            <w:tcW w:w="3407"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43" w:type="dxa"/>
            <w:vAlign w:val="top"/>
          </w:tcPr>
          <w:p>
            <w:pPr>
              <w:ind w:left="333"/>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r>
      <w:tr>
        <w:trPr>
          <w:trHeight w:val="292" w:hRule="atLeast"/>
        </w:trPr>
        <w:tc>
          <w:tcPr>
            <w:tcW w:w="3407" w:type="dxa"/>
            <w:vAlign w:val="top"/>
          </w:tcPr>
          <w:p>
            <w:pPr>
              <w:ind w:left="343"/>
              <w:spacing w:before="75"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343" w:type="dxa"/>
            <w:vAlign w:val="top"/>
          </w:tcPr>
          <w:p>
            <w:pPr>
              <w:ind w:left="333"/>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r>
      <w:tr>
        <w:trPr>
          <w:trHeight w:val="293" w:hRule="atLeast"/>
        </w:trPr>
        <w:tc>
          <w:tcPr>
            <w:tcW w:w="3407"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343" w:type="dxa"/>
            <w:vAlign w:val="top"/>
          </w:tcPr>
          <w:p>
            <w:pPr>
              <w:ind w:left="333"/>
              <w:spacing w:before="76"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34"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1.50</w:t>
            </w:r>
          </w:p>
        </w:tc>
        <w:tc>
          <w:tcPr>
            <w:tcW w:w="1134" w:type="dxa"/>
            <w:vAlign w:val="top"/>
          </w:tcPr>
          <w:p>
            <w:pPr>
              <w:pStyle w:val="TableText"/>
              <w:rPr/>
            </w:pPr>
            <w:r/>
          </w:p>
        </w:tc>
        <w:tc>
          <w:tcPr>
            <w:tcW w:w="1064"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1.50</w:t>
            </w:r>
          </w:p>
        </w:tc>
      </w:tr>
      <w:tr>
        <w:trPr>
          <w:trHeight w:val="298" w:hRule="atLeast"/>
        </w:trPr>
        <w:tc>
          <w:tcPr>
            <w:tcW w:w="3407"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343"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r>
    </w:tbl>
    <w:p>
      <w:pPr>
        <w:pStyle w:val="BodyText"/>
        <w:rPr/>
      </w:pPr>
      <w:r/>
    </w:p>
    <w:p>
      <w:pPr>
        <w:sectPr>
          <w:footerReference w:type="default" r:id="rId12"/>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503"/>
        <w:gridCol w:w="2187"/>
      </w:tblGrid>
      <w:tr>
        <w:trPr>
          <w:trHeight w:val="384"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50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187" w:type="dxa"/>
            <w:vAlign w:val="top"/>
            <w:tcBorders>
              <w:bottom w:val="single" w:color="FFFFFF" w:sz="4" w:space="0"/>
              <w:top w:val="single" w:color="FFFFFF" w:sz="4" w:space="0"/>
              <w:left w:val="single" w:color="FFFFFF" w:sz="2" w:space="0"/>
              <w:right w:val="single" w:color="FFFFFF" w:sz="2" w:space="0"/>
            </w:tcBorders>
          </w:tcPr>
          <w:p>
            <w:pPr>
              <w:ind w:left="1449"/>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8" w:line="201" w:lineRule="exact"/>
              <w:outlineLvl w:val="1"/>
              <w:rPr>
                <w:rFonts w:ascii="Microsoft YaHei" w:hAnsi="Microsoft YaHei" w:eastAsia="Microsoft YaHei" w:cs="Microsoft YaHei"/>
                <w:sz w:val="20"/>
                <w:szCs w:val="20"/>
              </w:rPr>
            </w:pPr>
            <w:bookmarkStart w:name="bookmark44" w:id="22"/>
            <w:bookmarkEnd w:id="22"/>
            <w:bookmarkStart w:name="bookmark13" w:id="23"/>
            <w:bookmarkEnd w:id="23"/>
            <w:r>
              <w:rPr>
                <w:rFonts w:ascii="Microsoft YaHei" w:hAnsi="Microsoft YaHei" w:eastAsia="Microsoft YaHei" w:cs="Microsoft YaHei"/>
                <w:sz w:val="20"/>
                <w:szCs w:val="20"/>
                <w:color w:val="212529"/>
                <w:position w:val="-1"/>
              </w:rPr>
              <w:t>2026年政府性基金预算收入表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6971" w:type="dxa"/>
            <w:vAlign w:val="top"/>
            <w:gridSpan w:val="2"/>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2187" w:type="dxa"/>
            <w:vAlign w:val="top"/>
            <w:tcBorders>
              <w:top w:val="single" w:color="FFFFFF" w:sz="4" w:space="0"/>
              <w:left w:val="single" w:color="FFFFFF" w:sz="2" w:space="0"/>
              <w:right w:val="single" w:color="FFFFFF" w:sz="2" w:space="0"/>
            </w:tcBorders>
          </w:tcPr>
          <w:p>
            <w:pPr>
              <w:ind w:left="1579"/>
              <w:spacing w:before="123"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6971" w:type="dxa"/>
            <w:vAlign w:val="top"/>
            <w:gridSpan w:val="2"/>
          </w:tcPr>
          <w:p>
            <w:pPr>
              <w:ind w:left="331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2187" w:type="dxa"/>
            <w:vAlign w:val="top"/>
            <w:vMerge w:val="restart"/>
            <w:tcBorders>
              <w:bottom w:val="nil"/>
            </w:tcBorders>
          </w:tcPr>
          <w:p>
            <w:pPr>
              <w:ind w:left="355"/>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503" w:type="dxa"/>
            <w:vAlign w:val="top"/>
          </w:tcPr>
          <w:p>
            <w:pPr>
              <w:ind w:left="19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2187" w:type="dxa"/>
            <w:vAlign w:val="top"/>
            <w:vMerge w:val="continue"/>
            <w:tcBorders>
              <w:top w:val="nil"/>
            </w:tcBorders>
          </w:tcPr>
          <w:p>
            <w:pPr>
              <w:pStyle w:val="TableText"/>
              <w:rPr/>
            </w:pPr>
            <w:r/>
          </w:p>
        </w:tc>
      </w:tr>
      <w:tr>
        <w:trPr>
          <w:trHeight w:val="378" w:hRule="atLeast"/>
        </w:trPr>
        <w:tc>
          <w:tcPr>
            <w:tcW w:w="6971" w:type="dxa"/>
            <w:vAlign w:val="top"/>
            <w:gridSpan w:val="2"/>
          </w:tcPr>
          <w:p>
            <w:pPr>
              <w:ind w:left="3316"/>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187" w:type="dxa"/>
            <w:vAlign w:val="top"/>
          </w:tcPr>
          <w:p>
            <w:pPr>
              <w:pStyle w:val="TableText"/>
              <w:ind w:left="1514"/>
              <w:spacing w:before="133" w:line="172" w:lineRule="auto"/>
              <w:rPr>
                <w:sz w:val="14"/>
                <w:szCs w:val="14"/>
              </w:rPr>
            </w:pPr>
            <w:r>
              <w:rPr>
                <w:sz w:val="14"/>
                <w:szCs w:val="14"/>
                <w:color w:val="212529"/>
              </w:rPr>
              <w:t>22999.</w:t>
            </w:r>
            <w:r>
              <w:rPr>
                <w:sz w:val="14"/>
                <w:szCs w:val="14"/>
                <w:color w:val="212529"/>
                <w:spacing w:val="12"/>
              </w:rPr>
              <w:t xml:space="preserve"> </w:t>
            </w:r>
            <w:r>
              <w:rPr>
                <w:sz w:val="14"/>
                <w:szCs w:val="14"/>
                <w:color w:val="212529"/>
              </w:rPr>
              <w:t>92</w:t>
            </w:r>
          </w:p>
        </w:tc>
      </w:tr>
      <w:tr>
        <w:trPr>
          <w:trHeight w:val="378" w:hRule="atLeast"/>
        </w:trPr>
        <w:tc>
          <w:tcPr>
            <w:tcW w:w="2468" w:type="dxa"/>
            <w:vAlign w:val="top"/>
          </w:tcPr>
          <w:p>
            <w:pPr>
              <w:ind w:left="18"/>
              <w:spacing w:before="115" w:line="202" w:lineRule="exact"/>
              <w:rPr>
                <w:rFonts w:ascii="SimSun" w:hAnsi="SimSun" w:eastAsia="SimSun" w:cs="SimSun"/>
                <w:sz w:val="15"/>
                <w:szCs w:val="15"/>
              </w:rPr>
            </w:pPr>
            <w:r>
              <w:rPr>
                <w:rFonts w:ascii="SimSun" w:hAnsi="SimSun" w:eastAsia="SimSun" w:cs="SimSun"/>
                <w:sz w:val="15"/>
                <w:szCs w:val="15"/>
                <w:color w:val="212529"/>
                <w:spacing w:val="-1"/>
                <w:position w:val="1"/>
              </w:rPr>
              <w:t>103</w:t>
            </w:r>
          </w:p>
        </w:tc>
        <w:tc>
          <w:tcPr>
            <w:tcW w:w="4503"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9"/>
              </w:rPr>
              <w:t>非税收入</w:t>
            </w:r>
          </w:p>
        </w:tc>
        <w:tc>
          <w:tcPr>
            <w:tcW w:w="2187"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22999.92</w:t>
            </w:r>
          </w:p>
        </w:tc>
      </w:tr>
      <w:tr>
        <w:trPr>
          <w:trHeight w:val="378" w:hRule="atLeast"/>
        </w:trPr>
        <w:tc>
          <w:tcPr>
            <w:tcW w:w="2468" w:type="dxa"/>
            <w:vAlign w:val="top"/>
          </w:tcPr>
          <w:p>
            <w:pPr>
              <w:ind w:left="18"/>
              <w:spacing w:before="116" w:line="202" w:lineRule="exact"/>
              <w:rPr>
                <w:rFonts w:ascii="SimSun" w:hAnsi="SimSun" w:eastAsia="SimSun" w:cs="SimSun"/>
                <w:sz w:val="15"/>
                <w:szCs w:val="15"/>
              </w:rPr>
            </w:pPr>
            <w:r>
              <w:rPr>
                <w:rFonts w:ascii="SimSun" w:hAnsi="SimSun" w:eastAsia="SimSun" w:cs="SimSun"/>
                <w:sz w:val="15"/>
                <w:szCs w:val="15"/>
                <w:color w:val="212529"/>
                <w:spacing w:val="2"/>
                <w:position w:val="1"/>
              </w:rPr>
              <w:t>10301</w:t>
            </w:r>
          </w:p>
        </w:tc>
        <w:tc>
          <w:tcPr>
            <w:tcW w:w="4503" w:type="dxa"/>
            <w:vAlign w:val="top"/>
          </w:tcPr>
          <w:p>
            <w:pPr>
              <w:ind w:left="8"/>
              <w:spacing w:before="116" w:line="228" w:lineRule="auto"/>
              <w:rPr>
                <w:rFonts w:ascii="SimSun" w:hAnsi="SimSun" w:eastAsia="SimSun" w:cs="SimSun"/>
                <w:sz w:val="15"/>
                <w:szCs w:val="15"/>
              </w:rPr>
            </w:pPr>
            <w:r>
              <w:rPr>
                <w:rFonts w:ascii="SimSun" w:hAnsi="SimSun" w:eastAsia="SimSun" w:cs="SimSun"/>
                <w:sz w:val="15"/>
                <w:szCs w:val="15"/>
                <w:color w:val="212529"/>
                <w:spacing w:val="10"/>
              </w:rPr>
              <w:t>政府性基金收入</w:t>
            </w:r>
          </w:p>
        </w:tc>
        <w:tc>
          <w:tcPr>
            <w:tcW w:w="2187"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22999.92</w:t>
            </w:r>
          </w:p>
        </w:tc>
      </w:tr>
      <w:tr>
        <w:trPr>
          <w:trHeight w:val="378" w:hRule="atLeast"/>
        </w:trPr>
        <w:tc>
          <w:tcPr>
            <w:tcW w:w="2468" w:type="dxa"/>
            <w:vAlign w:val="top"/>
          </w:tcPr>
          <w:p>
            <w:pPr>
              <w:ind w:left="18"/>
              <w:spacing w:before="117" w:line="203" w:lineRule="exact"/>
              <w:rPr>
                <w:rFonts w:ascii="SimSun" w:hAnsi="SimSun" w:eastAsia="SimSun" w:cs="SimSun"/>
                <w:sz w:val="15"/>
                <w:szCs w:val="15"/>
              </w:rPr>
            </w:pPr>
            <w:r>
              <w:rPr>
                <w:rFonts w:ascii="SimSun" w:hAnsi="SimSun" w:eastAsia="SimSun" w:cs="SimSun"/>
                <w:sz w:val="15"/>
                <w:szCs w:val="15"/>
                <w:color w:val="212529"/>
                <w:spacing w:val="3"/>
                <w:position w:val="1"/>
              </w:rPr>
              <w:t>1030146</w:t>
            </w:r>
          </w:p>
        </w:tc>
        <w:tc>
          <w:tcPr>
            <w:tcW w:w="4503" w:type="dxa"/>
            <w:vAlign w:val="top"/>
          </w:tcPr>
          <w:p>
            <w:pPr>
              <w:ind w:left="23"/>
              <w:spacing w:before="117" w:line="229" w:lineRule="auto"/>
              <w:rPr>
                <w:rFonts w:ascii="SimSun" w:hAnsi="SimSun" w:eastAsia="SimSun" w:cs="SimSun"/>
                <w:sz w:val="15"/>
                <w:szCs w:val="15"/>
              </w:rPr>
            </w:pPr>
            <w:r>
              <w:rPr>
                <w:rFonts w:ascii="SimSun" w:hAnsi="SimSun" w:eastAsia="SimSun" w:cs="SimSun"/>
                <w:sz w:val="15"/>
                <w:szCs w:val="15"/>
                <w:color w:val="212529"/>
                <w:spacing w:val="9"/>
              </w:rPr>
              <w:t>国有土地收益基金收入</w:t>
            </w:r>
          </w:p>
        </w:tc>
        <w:tc>
          <w:tcPr>
            <w:tcW w:w="2187"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3600.00</w:t>
            </w:r>
          </w:p>
        </w:tc>
      </w:tr>
      <w:tr>
        <w:trPr>
          <w:trHeight w:val="384" w:hRule="atLeast"/>
        </w:trPr>
        <w:tc>
          <w:tcPr>
            <w:tcW w:w="2468" w:type="dxa"/>
            <w:vAlign w:val="top"/>
          </w:tcPr>
          <w:p>
            <w:pPr>
              <w:ind w:left="18"/>
              <w:spacing w:before="118" w:line="203" w:lineRule="exact"/>
              <w:rPr>
                <w:rFonts w:ascii="SimSun" w:hAnsi="SimSun" w:eastAsia="SimSun" w:cs="SimSun"/>
                <w:sz w:val="15"/>
                <w:szCs w:val="15"/>
              </w:rPr>
            </w:pPr>
            <w:r>
              <w:rPr>
                <w:rFonts w:ascii="SimSun" w:hAnsi="SimSun" w:eastAsia="SimSun" w:cs="SimSun"/>
                <w:sz w:val="15"/>
                <w:szCs w:val="15"/>
                <w:color w:val="212529"/>
                <w:spacing w:val="3"/>
                <w:position w:val="1"/>
              </w:rPr>
              <w:t>1030148</w:t>
            </w:r>
          </w:p>
        </w:tc>
        <w:tc>
          <w:tcPr>
            <w:tcW w:w="4503" w:type="dxa"/>
            <w:vAlign w:val="top"/>
          </w:tcPr>
          <w:p>
            <w:pPr>
              <w:ind w:left="23"/>
              <w:spacing w:before="118" w:line="229" w:lineRule="auto"/>
              <w:rPr>
                <w:rFonts w:ascii="SimSun" w:hAnsi="SimSun" w:eastAsia="SimSun" w:cs="SimSun"/>
                <w:sz w:val="15"/>
                <w:szCs w:val="15"/>
              </w:rPr>
            </w:pPr>
            <w:r>
              <w:rPr>
                <w:rFonts w:ascii="SimSun" w:hAnsi="SimSun" w:eastAsia="SimSun" w:cs="SimSun"/>
                <w:sz w:val="15"/>
                <w:szCs w:val="15"/>
                <w:color w:val="212529"/>
                <w:spacing w:val="9"/>
              </w:rPr>
              <w:t>国有土地使用权出让收入</w:t>
            </w:r>
          </w:p>
        </w:tc>
        <w:tc>
          <w:tcPr>
            <w:tcW w:w="2187"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19399.92</w:t>
            </w:r>
          </w:p>
        </w:tc>
      </w:tr>
    </w:tbl>
    <w:p>
      <w:pPr>
        <w:pStyle w:val="BodyText"/>
        <w:rPr/>
      </w:pPr>
      <w:r/>
    </w:p>
    <w:p>
      <w:pPr>
        <w:sectPr>
          <w:footerReference w:type="default" r:id="rId13"/>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132"/>
        <w:gridCol w:w="1436"/>
        <w:gridCol w:w="1026"/>
        <w:gridCol w:w="1442"/>
      </w:tblGrid>
      <w:tr>
        <w:trPr>
          <w:trHeight w:val="384" w:hRule="atLeast"/>
        </w:trPr>
        <w:tc>
          <w:tcPr>
            <w:tcW w:w="212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13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3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2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70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8" w:line="201" w:lineRule="exact"/>
              <w:outlineLvl w:val="1"/>
              <w:rPr>
                <w:rFonts w:ascii="Microsoft YaHei" w:hAnsi="Microsoft YaHei" w:eastAsia="Microsoft YaHei" w:cs="Microsoft YaHei"/>
                <w:sz w:val="20"/>
                <w:szCs w:val="20"/>
              </w:rPr>
            </w:pPr>
            <w:bookmarkStart w:name="bookmark45" w:id="24"/>
            <w:bookmarkEnd w:id="24"/>
            <w:bookmarkStart w:name="bookmark14" w:id="25"/>
            <w:bookmarkEnd w:id="25"/>
            <w:r>
              <w:rPr>
                <w:rFonts w:ascii="Microsoft YaHei" w:hAnsi="Microsoft YaHei" w:eastAsia="Microsoft YaHei" w:cs="Microsoft YaHei"/>
                <w:sz w:val="20"/>
                <w:szCs w:val="20"/>
                <w:color w:val="212529"/>
                <w:position w:val="-1"/>
              </w:rPr>
              <w:t>2026年政府性基金预算支出表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254" w:type="dxa"/>
            <w:vAlign w:val="top"/>
            <w:gridSpan w:val="2"/>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1436" w:type="dxa"/>
            <w:vAlign w:val="top"/>
            <w:tcBorders>
              <w:left w:val="single" w:color="FFFFFF" w:sz="2" w:space="0"/>
              <w:right w:val="single" w:color="FFFFFF" w:sz="2" w:space="0"/>
              <w:top w:val="single" w:color="FFFFFF" w:sz="4" w:space="0"/>
            </w:tcBorders>
          </w:tcPr>
          <w:p>
            <w:pPr>
              <w:pStyle w:val="TableText"/>
              <w:rPr/>
            </w:pPr>
            <w:r/>
          </w:p>
        </w:tc>
        <w:tc>
          <w:tcPr>
            <w:tcW w:w="1026"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3"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4"/>
              <w:spacing w:before="10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32" w:type="dxa"/>
            <w:vAlign w:val="top"/>
          </w:tcPr>
          <w:p>
            <w:pPr>
              <w:ind w:left="1231"/>
              <w:spacing w:before="10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36" w:type="dxa"/>
            <w:vAlign w:val="top"/>
          </w:tcPr>
          <w:p>
            <w:pPr>
              <w:ind w:left="54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026" w:type="dxa"/>
            <w:vAlign w:val="top"/>
          </w:tcPr>
          <w:p>
            <w:pPr>
              <w:ind w:left="178"/>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42" w:type="dxa"/>
            <w:vAlign w:val="top"/>
          </w:tcPr>
          <w:p>
            <w:pPr>
              <w:ind w:left="389"/>
              <w:spacing w:before="10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254" w:type="dxa"/>
            <w:vAlign w:val="top"/>
            <w:gridSpan w:val="2"/>
          </w:tcPr>
          <w:p>
            <w:pPr>
              <w:ind w:left="2457"/>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36" w:type="dxa"/>
            <w:vAlign w:val="top"/>
          </w:tcPr>
          <w:p>
            <w:pPr>
              <w:pStyle w:val="TableText"/>
              <w:ind w:left="764"/>
              <w:spacing w:before="132" w:line="172" w:lineRule="auto"/>
              <w:rPr>
                <w:sz w:val="14"/>
                <w:szCs w:val="14"/>
              </w:rPr>
            </w:pPr>
            <w:r>
              <w:rPr>
                <w:sz w:val="14"/>
                <w:szCs w:val="14"/>
                <w:color w:val="212529"/>
              </w:rPr>
              <w:t>22999.</w:t>
            </w:r>
            <w:r>
              <w:rPr>
                <w:sz w:val="14"/>
                <w:szCs w:val="14"/>
                <w:color w:val="212529"/>
                <w:spacing w:val="12"/>
              </w:rPr>
              <w:t xml:space="preserve"> </w:t>
            </w:r>
            <w:r>
              <w:rPr>
                <w:sz w:val="14"/>
                <w:szCs w:val="14"/>
                <w:color w:val="212529"/>
              </w:rPr>
              <w:t>92</w:t>
            </w:r>
          </w:p>
        </w:tc>
        <w:tc>
          <w:tcPr>
            <w:tcW w:w="1026" w:type="dxa"/>
            <w:vAlign w:val="top"/>
          </w:tcPr>
          <w:p>
            <w:pPr>
              <w:pStyle w:val="TableText"/>
              <w:rPr/>
            </w:pPr>
            <w:r/>
          </w:p>
        </w:tc>
        <w:tc>
          <w:tcPr>
            <w:tcW w:w="1442" w:type="dxa"/>
            <w:vAlign w:val="top"/>
          </w:tcPr>
          <w:p>
            <w:pPr>
              <w:pStyle w:val="TableText"/>
              <w:ind w:left="769"/>
              <w:spacing w:before="132" w:line="172" w:lineRule="auto"/>
              <w:rPr>
                <w:sz w:val="14"/>
                <w:szCs w:val="14"/>
              </w:rPr>
            </w:pPr>
            <w:r>
              <w:rPr>
                <w:sz w:val="14"/>
                <w:szCs w:val="14"/>
                <w:color w:val="212529"/>
              </w:rPr>
              <w:t>22999.</w:t>
            </w:r>
            <w:r>
              <w:rPr>
                <w:sz w:val="14"/>
                <w:szCs w:val="14"/>
                <w:color w:val="212529"/>
                <w:spacing w:val="12"/>
              </w:rPr>
              <w:t xml:space="preserve"> </w:t>
            </w:r>
            <w:r>
              <w:rPr>
                <w:sz w:val="14"/>
                <w:szCs w:val="14"/>
                <w:color w:val="212529"/>
              </w:rPr>
              <w:t>92</w:t>
            </w:r>
          </w:p>
        </w:tc>
      </w:tr>
      <w:tr>
        <w:trPr>
          <w:trHeight w:val="378" w:hRule="atLeast"/>
        </w:trPr>
        <w:tc>
          <w:tcPr>
            <w:tcW w:w="2122" w:type="dxa"/>
            <w:vAlign w:val="top"/>
          </w:tcPr>
          <w:p>
            <w:pPr>
              <w:ind w:left="8"/>
              <w:spacing w:before="114" w:line="203"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132" w:type="dxa"/>
            <w:vAlign w:val="top"/>
          </w:tcPr>
          <w:p>
            <w:pPr>
              <w:ind w:left="7"/>
              <w:spacing w:before="114"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436" w:type="dxa"/>
            <w:vAlign w:val="top"/>
          </w:tcPr>
          <w:p>
            <w:pPr>
              <w:ind w:right="23"/>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22999.92</w:t>
            </w:r>
          </w:p>
        </w:tc>
        <w:tc>
          <w:tcPr>
            <w:tcW w:w="1026" w:type="dxa"/>
            <w:vAlign w:val="top"/>
          </w:tcPr>
          <w:p>
            <w:pPr>
              <w:pStyle w:val="TableText"/>
              <w:rPr/>
            </w:pPr>
            <w:r/>
          </w:p>
        </w:tc>
        <w:tc>
          <w:tcPr>
            <w:tcW w:w="1442" w:type="dxa"/>
            <w:vAlign w:val="top"/>
          </w:tcPr>
          <w:p>
            <w:pPr>
              <w:ind w:right="24"/>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22999.92</w:t>
            </w:r>
          </w:p>
        </w:tc>
      </w:tr>
      <w:tr>
        <w:trPr>
          <w:trHeight w:val="378" w:hRule="atLeast"/>
        </w:trPr>
        <w:tc>
          <w:tcPr>
            <w:tcW w:w="2122" w:type="dxa"/>
            <w:vAlign w:val="top"/>
          </w:tcPr>
          <w:p>
            <w:pPr>
              <w:ind w:left="8"/>
              <w:spacing w:before="115" w:line="202" w:lineRule="exact"/>
              <w:rPr>
                <w:rFonts w:ascii="SimSun" w:hAnsi="SimSun" w:eastAsia="SimSun" w:cs="SimSun"/>
                <w:sz w:val="15"/>
                <w:szCs w:val="15"/>
              </w:rPr>
            </w:pPr>
            <w:r>
              <w:rPr>
                <w:rFonts w:ascii="SimSun" w:hAnsi="SimSun" w:eastAsia="SimSun" w:cs="SimSun"/>
                <w:sz w:val="15"/>
                <w:szCs w:val="15"/>
                <w:color w:val="212529"/>
                <w:spacing w:val="4"/>
                <w:position w:val="1"/>
              </w:rPr>
              <w:t>21208</w:t>
            </w:r>
          </w:p>
        </w:tc>
        <w:tc>
          <w:tcPr>
            <w:tcW w:w="3132" w:type="dxa"/>
            <w:vAlign w:val="top"/>
          </w:tcPr>
          <w:p>
            <w:pPr>
              <w:ind w:left="23"/>
              <w:spacing w:before="115"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436"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19399.92</w:t>
            </w:r>
          </w:p>
        </w:tc>
        <w:tc>
          <w:tcPr>
            <w:tcW w:w="1026" w:type="dxa"/>
            <w:vAlign w:val="top"/>
          </w:tcPr>
          <w:p>
            <w:pPr>
              <w:pStyle w:val="TableText"/>
              <w:rPr/>
            </w:pPr>
            <w:r/>
          </w:p>
        </w:tc>
        <w:tc>
          <w:tcPr>
            <w:tcW w:w="1442"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19399.92</w:t>
            </w:r>
          </w:p>
        </w:tc>
      </w:tr>
      <w:tr>
        <w:trPr>
          <w:trHeight w:val="378" w:hRule="atLeast"/>
        </w:trPr>
        <w:tc>
          <w:tcPr>
            <w:tcW w:w="2122" w:type="dxa"/>
            <w:vAlign w:val="top"/>
          </w:tcPr>
          <w:p>
            <w:pPr>
              <w:ind w:left="8"/>
              <w:spacing w:before="116" w:line="202" w:lineRule="exact"/>
              <w:rPr>
                <w:rFonts w:ascii="SimSun" w:hAnsi="SimSun" w:eastAsia="SimSun" w:cs="SimSun"/>
                <w:sz w:val="15"/>
                <w:szCs w:val="15"/>
              </w:rPr>
            </w:pPr>
            <w:r>
              <w:rPr>
                <w:rFonts w:ascii="SimSun" w:hAnsi="SimSun" w:eastAsia="SimSun" w:cs="SimSun"/>
                <w:sz w:val="15"/>
                <w:szCs w:val="15"/>
                <w:color w:val="212529"/>
                <w:spacing w:val="4"/>
                <w:position w:val="1"/>
              </w:rPr>
              <w:t>2120801</w:t>
            </w:r>
          </w:p>
        </w:tc>
        <w:tc>
          <w:tcPr>
            <w:tcW w:w="3132" w:type="dxa"/>
            <w:vAlign w:val="top"/>
          </w:tcPr>
          <w:p>
            <w:pPr>
              <w:ind w:left="10"/>
              <w:spacing w:before="116"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436"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1348.40</w:t>
            </w:r>
          </w:p>
        </w:tc>
        <w:tc>
          <w:tcPr>
            <w:tcW w:w="1026" w:type="dxa"/>
            <w:vAlign w:val="top"/>
          </w:tcPr>
          <w:p>
            <w:pPr>
              <w:pStyle w:val="TableText"/>
              <w:rPr/>
            </w:pPr>
            <w:r/>
          </w:p>
        </w:tc>
        <w:tc>
          <w:tcPr>
            <w:tcW w:w="1442"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1348.40</w:t>
            </w:r>
          </w:p>
        </w:tc>
      </w:tr>
      <w:tr>
        <w:trPr>
          <w:trHeight w:val="379" w:hRule="atLeast"/>
        </w:trPr>
        <w:tc>
          <w:tcPr>
            <w:tcW w:w="2122" w:type="dxa"/>
            <w:vAlign w:val="top"/>
          </w:tcPr>
          <w:p>
            <w:pPr>
              <w:ind w:left="8"/>
              <w:spacing w:before="117" w:line="203" w:lineRule="exact"/>
              <w:rPr>
                <w:rFonts w:ascii="SimSun" w:hAnsi="SimSun" w:eastAsia="SimSun" w:cs="SimSun"/>
                <w:sz w:val="15"/>
                <w:szCs w:val="15"/>
              </w:rPr>
            </w:pPr>
            <w:r>
              <w:rPr>
                <w:rFonts w:ascii="SimSun" w:hAnsi="SimSun" w:eastAsia="SimSun" w:cs="SimSun"/>
                <w:sz w:val="15"/>
                <w:szCs w:val="15"/>
                <w:color w:val="212529"/>
                <w:spacing w:val="4"/>
                <w:position w:val="1"/>
              </w:rPr>
              <w:t>2120805</w:t>
            </w:r>
          </w:p>
        </w:tc>
        <w:tc>
          <w:tcPr>
            <w:tcW w:w="3132" w:type="dxa"/>
            <w:vAlign w:val="top"/>
          </w:tcPr>
          <w:p>
            <w:pPr>
              <w:ind w:left="7"/>
              <w:spacing w:before="117" w:line="229" w:lineRule="auto"/>
              <w:rPr>
                <w:rFonts w:ascii="SimSun" w:hAnsi="SimSun" w:eastAsia="SimSun" w:cs="SimSun"/>
                <w:sz w:val="15"/>
                <w:szCs w:val="15"/>
              </w:rPr>
            </w:pPr>
            <w:r>
              <w:rPr>
                <w:rFonts w:ascii="SimSun" w:hAnsi="SimSun" w:eastAsia="SimSun" w:cs="SimSun"/>
                <w:sz w:val="15"/>
                <w:szCs w:val="15"/>
                <w:color w:val="212529"/>
                <w:spacing w:val="11"/>
              </w:rPr>
              <w:t>补助被征地农民支出</w:t>
            </w:r>
          </w:p>
        </w:tc>
        <w:tc>
          <w:tcPr>
            <w:tcW w:w="1436"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5000.00</w:t>
            </w:r>
          </w:p>
        </w:tc>
        <w:tc>
          <w:tcPr>
            <w:tcW w:w="1026" w:type="dxa"/>
            <w:vAlign w:val="top"/>
          </w:tcPr>
          <w:p>
            <w:pPr>
              <w:pStyle w:val="TableText"/>
              <w:rPr/>
            </w:pPr>
            <w:r/>
          </w:p>
        </w:tc>
        <w:tc>
          <w:tcPr>
            <w:tcW w:w="1442"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5000.00</w:t>
            </w:r>
          </w:p>
        </w:tc>
      </w:tr>
      <w:tr>
        <w:trPr>
          <w:trHeight w:val="379" w:hRule="atLeast"/>
        </w:trPr>
        <w:tc>
          <w:tcPr>
            <w:tcW w:w="2122" w:type="dxa"/>
            <w:vAlign w:val="top"/>
          </w:tcPr>
          <w:p>
            <w:pPr>
              <w:ind w:left="8"/>
              <w:spacing w:before="117" w:line="203" w:lineRule="exact"/>
              <w:rPr>
                <w:rFonts w:ascii="SimSun" w:hAnsi="SimSun" w:eastAsia="SimSun" w:cs="SimSun"/>
                <w:sz w:val="15"/>
                <w:szCs w:val="15"/>
              </w:rPr>
            </w:pPr>
            <w:r>
              <w:rPr>
                <w:rFonts w:ascii="SimSun" w:hAnsi="SimSun" w:eastAsia="SimSun" w:cs="SimSun"/>
                <w:sz w:val="15"/>
                <w:szCs w:val="15"/>
                <w:color w:val="212529"/>
                <w:spacing w:val="4"/>
                <w:position w:val="1"/>
              </w:rPr>
              <w:t>2120806</w:t>
            </w:r>
          </w:p>
        </w:tc>
        <w:tc>
          <w:tcPr>
            <w:tcW w:w="3132" w:type="dxa"/>
            <w:vAlign w:val="top"/>
          </w:tcPr>
          <w:p>
            <w:pPr>
              <w:ind w:left="8"/>
              <w:spacing w:before="117" w:line="229" w:lineRule="auto"/>
              <w:rPr>
                <w:rFonts w:ascii="SimSun" w:hAnsi="SimSun" w:eastAsia="SimSun" w:cs="SimSun"/>
                <w:sz w:val="15"/>
                <w:szCs w:val="15"/>
              </w:rPr>
            </w:pPr>
            <w:r>
              <w:rPr>
                <w:rFonts w:ascii="SimSun" w:hAnsi="SimSun" w:eastAsia="SimSun" w:cs="SimSun"/>
                <w:sz w:val="15"/>
                <w:szCs w:val="15"/>
                <w:color w:val="212529"/>
                <w:spacing w:val="10"/>
              </w:rPr>
              <w:t>土地出让业务支出</w:t>
            </w:r>
          </w:p>
        </w:tc>
        <w:tc>
          <w:tcPr>
            <w:tcW w:w="1436"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2366.52</w:t>
            </w:r>
          </w:p>
        </w:tc>
        <w:tc>
          <w:tcPr>
            <w:tcW w:w="1026" w:type="dxa"/>
            <w:vAlign w:val="top"/>
          </w:tcPr>
          <w:p>
            <w:pPr>
              <w:pStyle w:val="TableText"/>
              <w:rPr/>
            </w:pPr>
            <w:r/>
          </w:p>
        </w:tc>
        <w:tc>
          <w:tcPr>
            <w:tcW w:w="1442"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2366.52</w:t>
            </w:r>
          </w:p>
        </w:tc>
      </w:tr>
      <w:tr>
        <w:trPr>
          <w:trHeight w:val="379" w:hRule="atLeast"/>
        </w:trPr>
        <w:tc>
          <w:tcPr>
            <w:tcW w:w="2122" w:type="dxa"/>
            <w:vAlign w:val="top"/>
          </w:tcPr>
          <w:p>
            <w:pPr>
              <w:ind w:left="8"/>
              <w:spacing w:before="118" w:line="202" w:lineRule="exact"/>
              <w:rPr>
                <w:rFonts w:ascii="SimSun" w:hAnsi="SimSun" w:eastAsia="SimSun" w:cs="SimSun"/>
                <w:sz w:val="15"/>
                <w:szCs w:val="15"/>
              </w:rPr>
            </w:pPr>
            <w:r>
              <w:rPr>
                <w:rFonts w:ascii="SimSun" w:hAnsi="SimSun" w:eastAsia="SimSun" w:cs="SimSun"/>
                <w:sz w:val="15"/>
                <w:szCs w:val="15"/>
                <w:color w:val="212529"/>
                <w:spacing w:val="4"/>
                <w:position w:val="1"/>
              </w:rPr>
              <w:t>2120899</w:t>
            </w:r>
          </w:p>
        </w:tc>
        <w:tc>
          <w:tcPr>
            <w:tcW w:w="3132" w:type="dxa"/>
            <w:vAlign w:val="top"/>
          </w:tcPr>
          <w:p>
            <w:pPr>
              <w:ind w:left="6"/>
              <w:spacing w:before="118" w:line="229" w:lineRule="auto"/>
              <w:rPr>
                <w:rFonts w:ascii="SimSun" w:hAnsi="SimSun" w:eastAsia="SimSun" w:cs="SimSun"/>
                <w:sz w:val="15"/>
                <w:szCs w:val="15"/>
              </w:rPr>
            </w:pPr>
            <w:r>
              <w:rPr>
                <w:rFonts w:ascii="SimSun" w:hAnsi="SimSun" w:eastAsia="SimSun" w:cs="SimSun"/>
                <w:sz w:val="15"/>
                <w:szCs w:val="15"/>
                <w:color w:val="212529"/>
                <w:spacing w:val="11"/>
              </w:rPr>
              <w:t>其他国有土地使用权出让收入安排的支出</w:t>
            </w:r>
          </w:p>
        </w:tc>
        <w:tc>
          <w:tcPr>
            <w:tcW w:w="1436" w:type="dxa"/>
            <w:vAlign w:val="top"/>
          </w:tcPr>
          <w:p>
            <w:pPr>
              <w:ind w:right="23"/>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10685.00</w:t>
            </w:r>
          </w:p>
        </w:tc>
        <w:tc>
          <w:tcPr>
            <w:tcW w:w="1026" w:type="dxa"/>
            <w:vAlign w:val="top"/>
          </w:tcPr>
          <w:p>
            <w:pPr>
              <w:pStyle w:val="TableText"/>
              <w:rPr/>
            </w:pPr>
            <w:r/>
          </w:p>
        </w:tc>
        <w:tc>
          <w:tcPr>
            <w:tcW w:w="1442" w:type="dxa"/>
            <w:vAlign w:val="top"/>
          </w:tcPr>
          <w:p>
            <w:pPr>
              <w:ind w:right="24"/>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10685.00</w:t>
            </w:r>
          </w:p>
        </w:tc>
      </w:tr>
      <w:tr>
        <w:trPr>
          <w:trHeight w:val="379" w:hRule="atLeast"/>
        </w:trPr>
        <w:tc>
          <w:tcPr>
            <w:tcW w:w="2122" w:type="dxa"/>
            <w:vAlign w:val="top"/>
          </w:tcPr>
          <w:p>
            <w:pPr>
              <w:ind w:left="8"/>
              <w:spacing w:before="118" w:line="202" w:lineRule="exact"/>
              <w:rPr>
                <w:rFonts w:ascii="SimSun" w:hAnsi="SimSun" w:eastAsia="SimSun" w:cs="SimSun"/>
                <w:sz w:val="15"/>
                <w:szCs w:val="15"/>
              </w:rPr>
            </w:pPr>
            <w:r>
              <w:rPr>
                <w:rFonts w:ascii="SimSun" w:hAnsi="SimSun" w:eastAsia="SimSun" w:cs="SimSun"/>
                <w:sz w:val="15"/>
                <w:szCs w:val="15"/>
                <w:color w:val="212529"/>
                <w:spacing w:val="4"/>
                <w:position w:val="1"/>
              </w:rPr>
              <w:t>21210</w:t>
            </w:r>
          </w:p>
        </w:tc>
        <w:tc>
          <w:tcPr>
            <w:tcW w:w="3132" w:type="dxa"/>
            <w:vAlign w:val="top"/>
          </w:tcPr>
          <w:p>
            <w:pPr>
              <w:ind w:left="23"/>
              <w:spacing w:before="118" w:line="229" w:lineRule="auto"/>
              <w:rPr>
                <w:rFonts w:ascii="SimSun" w:hAnsi="SimSun" w:eastAsia="SimSun" w:cs="SimSun"/>
                <w:sz w:val="15"/>
                <w:szCs w:val="15"/>
              </w:rPr>
            </w:pPr>
            <w:r>
              <w:rPr>
                <w:rFonts w:ascii="SimSun" w:hAnsi="SimSun" w:eastAsia="SimSun" w:cs="SimSun"/>
                <w:sz w:val="15"/>
                <w:szCs w:val="15"/>
                <w:color w:val="212529"/>
                <w:spacing w:val="10"/>
              </w:rPr>
              <w:t>国有土地收益基金安排的支出</w:t>
            </w:r>
          </w:p>
        </w:tc>
        <w:tc>
          <w:tcPr>
            <w:tcW w:w="1436"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3600.00</w:t>
            </w:r>
          </w:p>
        </w:tc>
        <w:tc>
          <w:tcPr>
            <w:tcW w:w="1026" w:type="dxa"/>
            <w:vAlign w:val="top"/>
          </w:tcPr>
          <w:p>
            <w:pPr>
              <w:pStyle w:val="TableText"/>
              <w:rPr/>
            </w:pPr>
            <w:r/>
          </w:p>
        </w:tc>
        <w:tc>
          <w:tcPr>
            <w:tcW w:w="1442"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3600.00</w:t>
            </w:r>
          </w:p>
        </w:tc>
      </w:tr>
      <w:tr>
        <w:trPr>
          <w:trHeight w:val="384" w:hRule="atLeast"/>
        </w:trPr>
        <w:tc>
          <w:tcPr>
            <w:tcW w:w="2122" w:type="dxa"/>
            <w:vAlign w:val="top"/>
          </w:tcPr>
          <w:p>
            <w:pPr>
              <w:ind w:left="8"/>
              <w:spacing w:before="118" w:line="202" w:lineRule="exact"/>
              <w:rPr>
                <w:rFonts w:ascii="SimSun" w:hAnsi="SimSun" w:eastAsia="SimSun" w:cs="SimSun"/>
                <w:sz w:val="15"/>
                <w:szCs w:val="15"/>
              </w:rPr>
            </w:pPr>
            <w:r>
              <w:rPr>
                <w:rFonts w:ascii="SimSun" w:hAnsi="SimSun" w:eastAsia="SimSun" w:cs="SimSun"/>
                <w:sz w:val="15"/>
                <w:szCs w:val="15"/>
                <w:color w:val="212529"/>
                <w:spacing w:val="4"/>
                <w:position w:val="1"/>
              </w:rPr>
              <w:t>2121001</w:t>
            </w:r>
          </w:p>
        </w:tc>
        <w:tc>
          <w:tcPr>
            <w:tcW w:w="3132" w:type="dxa"/>
            <w:vAlign w:val="top"/>
          </w:tcPr>
          <w:p>
            <w:pPr>
              <w:ind w:left="10"/>
              <w:spacing w:before="118"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436"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3600.00</w:t>
            </w:r>
          </w:p>
        </w:tc>
        <w:tc>
          <w:tcPr>
            <w:tcW w:w="1026" w:type="dxa"/>
            <w:vAlign w:val="top"/>
          </w:tcPr>
          <w:p>
            <w:pPr>
              <w:pStyle w:val="TableText"/>
              <w:rPr/>
            </w:pPr>
            <w:r/>
          </w:p>
        </w:tc>
        <w:tc>
          <w:tcPr>
            <w:tcW w:w="1442"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3600.00</w:t>
            </w:r>
          </w:p>
        </w:tc>
      </w:tr>
    </w:tbl>
    <w:p>
      <w:pPr>
        <w:pStyle w:val="BodyText"/>
        <w:rPr/>
      </w:pPr>
      <w:r/>
    </w:p>
    <w:p>
      <w:pPr>
        <w:sectPr>
          <w:footerReference w:type="default" r:id="rId14"/>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outlineLvl w:val="0"/>
              <w:rPr>
                <w:rFonts w:ascii="Microsoft YaHei" w:hAnsi="Microsoft YaHei" w:eastAsia="Microsoft YaHei" w:cs="Microsoft YaHei"/>
                <w:sz w:val="20"/>
                <w:szCs w:val="20"/>
              </w:rPr>
            </w:pPr>
            <w:bookmarkStart w:name="bookmark15" w:id="26"/>
            <w:bookmarkEnd w:id="26"/>
            <w:r>
              <w:rPr>
                <w:rFonts w:ascii="Microsoft YaHei" w:hAnsi="Microsoft YaHei" w:eastAsia="Microsoft YaHei" w:cs="Microsoft YaHei"/>
                <w:sz w:val="20"/>
                <w:szCs w:val="20"/>
                <w:color w:val="212529"/>
                <w:position w:val="-1"/>
              </w:rPr>
              <w:t>2026年国有资本经营预算收支预算表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2026年财政拨款安排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footerReference w:type="default" r:id="rId15"/>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16"/>
        <w:gridCol w:w="1350"/>
        <w:gridCol w:w="1512"/>
        <w:gridCol w:w="1598"/>
        <w:gridCol w:w="1582"/>
      </w:tblGrid>
      <w:tr>
        <w:trPr>
          <w:trHeight w:val="383" w:hRule="atLeast"/>
        </w:trPr>
        <w:tc>
          <w:tcPr>
            <w:tcW w:w="311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50"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2" w:type="dxa"/>
            <w:vAlign w:val="top"/>
            <w:tcBorders>
              <w:left w:val="single" w:color="FFFFFF" w:sz="2" w:space="0"/>
              <w:right w:val="single" w:color="FFFFFF" w:sz="2" w:space="0"/>
              <w:bottom w:val="single" w:color="FFFFFF" w:sz="4" w:space="0"/>
              <w:top w:val="single" w:color="FFFFFF" w:sz="4" w:space="0"/>
            </w:tcBorders>
          </w:tcPr>
          <w:p>
            <w:pPr>
              <w:ind w:left="779"/>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7"/>
            <w:bookmarkEnd w:id="27"/>
            <w:bookmarkStart w:name="bookmark17" w:id="28"/>
            <w:bookmarkEnd w:id="28"/>
            <w:r>
              <w:rPr>
                <w:rFonts w:ascii="Microsoft YaHei" w:hAnsi="Microsoft YaHei" w:eastAsia="Microsoft YaHei" w:cs="Microsoft YaHei"/>
                <w:sz w:val="20"/>
                <w:szCs w:val="20"/>
                <w:color w:val="212529"/>
                <w:spacing w:val="-3"/>
                <w:position w:val="-1"/>
              </w:rPr>
              <w:t>2026年财政拨款安排机关运行经费预算表</w:t>
            </w:r>
          </w:p>
        </w:tc>
      </w:tr>
      <w:tr>
        <w:trPr>
          <w:trHeight w:val="378" w:hRule="atLeast"/>
        </w:trPr>
        <w:tc>
          <w:tcPr>
            <w:tcW w:w="3116"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1350"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98" w:type="dxa"/>
            <w:vAlign w:val="top"/>
            <w:tcBorders>
              <w:left w:val="single" w:color="FFFFFF" w:sz="2" w:space="0"/>
              <w:right w:val="single" w:color="FFFFFF" w:sz="2" w:space="0"/>
              <w:top w:val="single" w:color="FFFFFF" w:sz="4" w:space="0"/>
            </w:tcBorders>
          </w:tcPr>
          <w:p>
            <w:pPr>
              <w:pStyle w:val="TableText"/>
              <w:rPr/>
            </w:pPr>
            <w:r/>
          </w:p>
        </w:tc>
        <w:tc>
          <w:tcPr>
            <w:tcW w:w="1582" w:type="dxa"/>
            <w:vAlign w:val="top"/>
            <w:tcBorders>
              <w:left w:val="single" w:color="FFFFFF" w:sz="2" w:space="0"/>
              <w:right w:val="single" w:color="FFFFFF" w:sz="2" w:space="0"/>
              <w:top w:val="single" w:color="FFFFFF" w:sz="4" w:space="0"/>
            </w:tcBorders>
          </w:tcPr>
          <w:p>
            <w:pPr>
              <w:ind w:left="974"/>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16" w:type="dxa"/>
            <w:vAlign w:val="top"/>
            <w:vMerge w:val="restart"/>
            <w:tcBorders>
              <w:bottom w:val="nil"/>
            </w:tcBorders>
          </w:tcPr>
          <w:p>
            <w:pPr>
              <w:ind w:left="1222"/>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42" w:type="dxa"/>
            <w:vAlign w:val="top"/>
            <w:gridSpan w:val="4"/>
          </w:tcPr>
          <w:p>
            <w:pPr>
              <w:ind w:left="2609"/>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2026预算数</w:t>
            </w:r>
          </w:p>
        </w:tc>
      </w:tr>
      <w:tr>
        <w:trPr>
          <w:trHeight w:val="378" w:hRule="atLeast"/>
        </w:trPr>
        <w:tc>
          <w:tcPr>
            <w:tcW w:w="3116" w:type="dxa"/>
            <w:vAlign w:val="top"/>
            <w:vMerge w:val="continue"/>
            <w:tcBorders>
              <w:top w:val="nil"/>
            </w:tcBorders>
          </w:tcPr>
          <w:p>
            <w:pPr>
              <w:pStyle w:val="TableText"/>
              <w:rPr/>
            </w:pPr>
            <w:r/>
          </w:p>
        </w:tc>
        <w:tc>
          <w:tcPr>
            <w:tcW w:w="1350" w:type="dxa"/>
            <w:vAlign w:val="top"/>
          </w:tcPr>
          <w:p>
            <w:pPr>
              <w:ind w:left="50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98" w:type="dxa"/>
            <w:vAlign w:val="top"/>
          </w:tcPr>
          <w:p>
            <w:pPr>
              <w:ind w:left="222"/>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82" w:type="dxa"/>
            <w:vAlign w:val="top"/>
          </w:tcPr>
          <w:p>
            <w:pPr>
              <w:ind w:left="149"/>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16" w:type="dxa"/>
            <w:vAlign w:val="top"/>
          </w:tcPr>
          <w:p>
            <w:pPr>
              <w:ind w:left="1222"/>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350"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512"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598" w:type="dxa"/>
            <w:vAlign w:val="top"/>
          </w:tcPr>
          <w:p>
            <w:pPr>
              <w:pStyle w:val="TableText"/>
              <w:rPr/>
            </w:pPr>
            <w:r/>
          </w:p>
        </w:tc>
        <w:tc>
          <w:tcPr>
            <w:tcW w:w="1582" w:type="dxa"/>
            <w:vAlign w:val="top"/>
          </w:tcPr>
          <w:p>
            <w:pPr>
              <w:pStyle w:val="TableText"/>
              <w:rPr/>
            </w:pPr>
            <w:r/>
          </w:p>
        </w:tc>
      </w:tr>
      <w:tr>
        <w:trPr>
          <w:trHeight w:val="383" w:hRule="atLeast"/>
        </w:trPr>
        <w:tc>
          <w:tcPr>
            <w:tcW w:w="3116" w:type="dxa"/>
            <w:vAlign w:val="top"/>
          </w:tcPr>
          <w:p>
            <w:pPr>
              <w:ind w:left="7"/>
              <w:spacing w:before="117" w:line="229" w:lineRule="auto"/>
              <w:rPr>
                <w:rFonts w:ascii="SimSun" w:hAnsi="SimSun" w:eastAsia="SimSun" w:cs="SimSun"/>
                <w:sz w:val="15"/>
                <w:szCs w:val="15"/>
              </w:rPr>
            </w:pPr>
            <w:r>
              <w:rPr>
                <w:rFonts w:ascii="SimSun" w:hAnsi="SimSun" w:eastAsia="SimSun" w:cs="SimSun"/>
                <w:sz w:val="15"/>
                <w:szCs w:val="15"/>
                <w:color w:val="212529"/>
                <w:spacing w:val="11"/>
              </w:rPr>
              <w:t>长治市规划和自然资源局开发区分局</w:t>
            </w:r>
          </w:p>
        </w:tc>
        <w:tc>
          <w:tcPr>
            <w:tcW w:w="1350"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512"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598" w:type="dxa"/>
            <w:vAlign w:val="top"/>
          </w:tcPr>
          <w:p>
            <w:pPr>
              <w:pStyle w:val="TableText"/>
              <w:rPr/>
            </w:pPr>
            <w:r/>
          </w:p>
        </w:tc>
        <w:tc>
          <w:tcPr>
            <w:tcW w:w="1582" w:type="dxa"/>
            <w:vAlign w:val="top"/>
          </w:tcPr>
          <w:p>
            <w:pPr>
              <w:pStyle w:val="TableText"/>
              <w:rPr/>
            </w:pPr>
            <w:r/>
          </w:p>
        </w:tc>
      </w:tr>
    </w:tbl>
    <w:p>
      <w:pPr>
        <w:pStyle w:val="BodyText"/>
        <w:rPr/>
      </w:pPr>
      <w:r/>
    </w:p>
    <w:p>
      <w:pPr>
        <w:sectPr>
          <w:footerReference w:type="default" r:id="rId16"/>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19"/>
        <w:gridCol w:w="1274"/>
        <w:gridCol w:w="1199"/>
        <w:gridCol w:w="1047"/>
        <w:gridCol w:w="1188"/>
        <w:gridCol w:w="1026"/>
        <w:gridCol w:w="805"/>
      </w:tblGrid>
      <w:tr>
        <w:trPr>
          <w:trHeight w:val="384" w:hRule="atLeast"/>
        </w:trPr>
        <w:tc>
          <w:tcPr>
            <w:tcW w:w="261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9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31" w:type="dxa"/>
            <w:vAlign w:val="top"/>
            <w:gridSpan w:val="2"/>
            <w:tcBorders>
              <w:bottom w:val="single" w:color="FFFFFF" w:sz="4" w:space="0"/>
              <w:top w:val="single" w:color="FFFFFF" w:sz="4" w:space="0"/>
              <w:left w:val="single" w:color="FFFFFF" w:sz="2" w:space="0"/>
              <w:right w:val="single" w:color="FFFFFF" w:sz="2" w:space="0"/>
            </w:tcBorders>
          </w:tcPr>
          <w:p>
            <w:pPr>
              <w:ind w:left="102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29"/>
            <w:bookmarkEnd w:id="29"/>
            <w:bookmarkStart w:name="bookmark18" w:id="30"/>
            <w:bookmarkEnd w:id="30"/>
            <w:r>
              <w:rPr>
                <w:rFonts w:ascii="Microsoft YaHei" w:hAnsi="Microsoft YaHei" w:eastAsia="Microsoft YaHei" w:cs="Microsoft YaHei"/>
                <w:sz w:val="20"/>
                <w:szCs w:val="20"/>
                <w:color w:val="212529"/>
                <w:spacing w:val="-1"/>
                <w:position w:val="-1"/>
              </w:rPr>
              <w:t>2026年项目支出预算表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327"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1831" w:type="dxa"/>
            <w:vAlign w:val="top"/>
            <w:gridSpan w:val="2"/>
            <w:tcBorders>
              <w:top w:val="single" w:color="FFFFFF" w:sz="4" w:space="0"/>
              <w:left w:val="single" w:color="FFFFFF" w:sz="2" w:space="0"/>
              <w:right w:val="single" w:color="FFFFFF" w:sz="2" w:space="0"/>
            </w:tcBorders>
          </w:tcPr>
          <w:p>
            <w:pPr>
              <w:ind w:left="1158"/>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619" w:type="dxa"/>
            <w:vAlign w:val="top"/>
            <w:vMerge w:val="restart"/>
            <w:tcBorders>
              <w:bottom w:val="nil"/>
            </w:tcBorders>
          </w:tcPr>
          <w:p>
            <w:pPr>
              <w:ind w:left="974"/>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ind w:left="468"/>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434" w:type="dxa"/>
            <w:vAlign w:val="top"/>
            <w:gridSpan w:val="3"/>
          </w:tcPr>
          <w:p>
            <w:pPr>
              <w:ind w:left="1145"/>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2026年财政拨款</w:t>
            </w:r>
          </w:p>
        </w:tc>
        <w:tc>
          <w:tcPr>
            <w:tcW w:w="1026" w:type="dxa"/>
            <w:vAlign w:val="top"/>
            <w:vMerge w:val="restart"/>
            <w:tcBorders>
              <w:bottom w:val="nil"/>
            </w:tcBorders>
          </w:tcPr>
          <w:p>
            <w:pPr>
              <w:ind w:left="348" w:right="28" w:hanging="329"/>
              <w:spacing w:before="21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05" w:type="dxa"/>
            <w:vAlign w:val="top"/>
            <w:vMerge w:val="restart"/>
            <w:tcBorders>
              <w:bottom w:val="nil"/>
            </w:tcBorders>
          </w:tcPr>
          <w:p>
            <w:pPr>
              <w:ind w:left="64"/>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619"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199" w:type="dxa"/>
            <w:vAlign w:val="top"/>
          </w:tcPr>
          <w:p>
            <w:pPr>
              <w:ind w:left="101"/>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047" w:type="dxa"/>
            <w:vAlign w:val="top"/>
          </w:tcPr>
          <w:p>
            <w:pPr>
              <w:ind w:left="430" w:right="39" w:hanging="402"/>
              <w:spacing w:before="20"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政府性基金预</w:t>
            </w:r>
            <w:r>
              <w:rPr>
                <w:rFonts w:ascii="Microsoft YaHei" w:hAnsi="Microsoft YaHei" w:eastAsia="Microsoft YaHei" w:cs="Microsoft YaHei"/>
                <w:sz w:val="15"/>
                <w:szCs w:val="15"/>
                <w:color w:val="212529"/>
                <w:spacing w:val="10"/>
              </w:rPr>
              <w:t>算</w:t>
            </w:r>
          </w:p>
        </w:tc>
        <w:tc>
          <w:tcPr>
            <w:tcW w:w="1188" w:type="dxa"/>
            <w:vAlign w:val="top"/>
          </w:tcPr>
          <w:p>
            <w:pPr>
              <w:ind w:left="503" w:right="26" w:hanging="466"/>
              <w:spacing w:before="20"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026" w:type="dxa"/>
            <w:vAlign w:val="top"/>
            <w:vMerge w:val="continue"/>
            <w:tcBorders>
              <w:top w:val="nil"/>
            </w:tcBorders>
          </w:tcPr>
          <w:p>
            <w:pPr>
              <w:pStyle w:val="TableText"/>
              <w:rPr/>
            </w:pPr>
            <w:r/>
          </w:p>
        </w:tc>
        <w:tc>
          <w:tcPr>
            <w:tcW w:w="805" w:type="dxa"/>
            <w:vAlign w:val="top"/>
            <w:vMerge w:val="continue"/>
            <w:tcBorders>
              <w:top w:val="nil"/>
            </w:tcBorders>
          </w:tcPr>
          <w:p>
            <w:pPr>
              <w:pStyle w:val="TableText"/>
              <w:rPr/>
            </w:pPr>
            <w:r/>
          </w:p>
        </w:tc>
      </w:tr>
      <w:tr>
        <w:trPr>
          <w:trHeight w:val="379" w:hRule="atLeast"/>
        </w:trPr>
        <w:tc>
          <w:tcPr>
            <w:tcW w:w="2619" w:type="dxa"/>
            <w:vAlign w:val="top"/>
          </w:tcPr>
          <w:p>
            <w:pPr>
              <w:ind w:left="1272"/>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91"/>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99" w:type="dxa"/>
            <w:vAlign w:val="top"/>
          </w:tcPr>
          <w:p>
            <w:pPr>
              <w:ind w:left="553"/>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047" w:type="dxa"/>
            <w:vAlign w:val="top"/>
          </w:tcPr>
          <w:p>
            <w:pPr>
              <w:ind w:left="475"/>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88" w:type="dxa"/>
            <w:vAlign w:val="top"/>
          </w:tcPr>
          <w:p>
            <w:pPr>
              <w:ind w:left="552"/>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26" w:type="dxa"/>
            <w:vAlign w:val="top"/>
          </w:tcPr>
          <w:p>
            <w:pPr>
              <w:ind w:left="466"/>
              <w:spacing w:before="110"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05" w:type="dxa"/>
            <w:vAlign w:val="top"/>
          </w:tcPr>
          <w:p>
            <w:pPr>
              <w:ind w:left="355"/>
              <w:spacing w:before="110"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619" w:type="dxa"/>
            <w:vAlign w:val="top"/>
          </w:tcPr>
          <w:p>
            <w:pPr>
              <w:ind w:left="7" w:right="179"/>
              <w:spacing w:before="24" w:line="212" w:lineRule="auto"/>
              <w:rPr>
                <w:rFonts w:ascii="SimSun" w:hAnsi="SimSun" w:eastAsia="SimSun" w:cs="SimSun"/>
                <w:sz w:val="15"/>
                <w:szCs w:val="15"/>
              </w:rPr>
            </w:pPr>
            <w:r>
              <w:rPr>
                <w:rFonts w:ascii="SimSun" w:hAnsi="SimSun" w:eastAsia="SimSun" w:cs="SimSun"/>
                <w:sz w:val="15"/>
                <w:szCs w:val="15"/>
                <w:color w:val="212529"/>
                <w:spacing w:val="11"/>
              </w:rPr>
              <w:t>长治市规划和自然资源局开发区分</w:t>
            </w:r>
            <w:r>
              <w:rPr>
                <w:rFonts w:ascii="SimSun" w:hAnsi="SimSun" w:eastAsia="SimSun" w:cs="SimSun"/>
                <w:sz w:val="15"/>
                <w:szCs w:val="15"/>
                <w:color w:val="212529"/>
                <w:spacing w:val="1"/>
              </w:rPr>
              <w:t>局</w:t>
            </w:r>
          </w:p>
        </w:tc>
        <w:tc>
          <w:tcPr>
            <w:tcW w:w="1274"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25227.50</w:t>
            </w:r>
          </w:p>
        </w:tc>
        <w:tc>
          <w:tcPr>
            <w:tcW w:w="1199"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2227.58</w:t>
            </w:r>
          </w:p>
        </w:tc>
        <w:tc>
          <w:tcPr>
            <w:tcW w:w="1047"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22999.92</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7" w:right="98" w:firstLine="81"/>
              <w:spacing w:before="24" w:line="212" w:lineRule="auto"/>
              <w:rPr>
                <w:rFonts w:ascii="SimSun" w:hAnsi="SimSun" w:eastAsia="SimSun" w:cs="SimSun"/>
                <w:sz w:val="15"/>
                <w:szCs w:val="15"/>
              </w:rPr>
            </w:pPr>
            <w:r>
              <w:rPr>
                <w:rFonts w:ascii="SimSun" w:hAnsi="SimSun" w:eastAsia="SimSun" w:cs="SimSun"/>
                <w:sz w:val="15"/>
                <w:szCs w:val="15"/>
                <w:color w:val="212529"/>
                <w:spacing w:val="11"/>
              </w:rPr>
              <w:t>长治市规划和自然资源局开发区分</w:t>
            </w:r>
            <w:r>
              <w:rPr>
                <w:rFonts w:ascii="SimSun" w:hAnsi="SimSun" w:eastAsia="SimSun" w:cs="SimSun"/>
                <w:sz w:val="15"/>
                <w:szCs w:val="15"/>
                <w:color w:val="212529"/>
                <w:spacing w:val="1"/>
              </w:rPr>
              <w:t>局</w:t>
            </w:r>
          </w:p>
        </w:tc>
        <w:tc>
          <w:tcPr>
            <w:tcW w:w="1274"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25227.50</w:t>
            </w:r>
          </w:p>
        </w:tc>
        <w:tc>
          <w:tcPr>
            <w:tcW w:w="1199"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2227.58</w:t>
            </w:r>
          </w:p>
        </w:tc>
        <w:tc>
          <w:tcPr>
            <w:tcW w:w="1047"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22999.92</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0" w:line="229" w:lineRule="auto"/>
              <w:rPr>
                <w:rFonts w:ascii="SimSun" w:hAnsi="SimSun" w:eastAsia="SimSun" w:cs="SimSun"/>
                <w:sz w:val="15"/>
                <w:szCs w:val="15"/>
              </w:rPr>
            </w:pPr>
            <w:r>
              <w:rPr>
                <w:rFonts w:ascii="SimSun" w:hAnsi="SimSun" w:eastAsia="SimSun" w:cs="SimSun"/>
                <w:sz w:val="15"/>
                <w:szCs w:val="15"/>
                <w:color w:val="212529"/>
                <w:spacing w:val="10"/>
              </w:rPr>
              <w:t>土地出让业务经费</w:t>
            </w:r>
          </w:p>
        </w:tc>
        <w:tc>
          <w:tcPr>
            <w:tcW w:w="1274"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260.00</w:t>
            </w:r>
          </w:p>
        </w:tc>
        <w:tc>
          <w:tcPr>
            <w:tcW w:w="1199" w:type="dxa"/>
            <w:vAlign w:val="top"/>
          </w:tcPr>
          <w:p>
            <w:pPr>
              <w:pStyle w:val="TableText"/>
              <w:rPr/>
            </w:pPr>
            <w:r/>
          </w:p>
        </w:tc>
        <w:tc>
          <w:tcPr>
            <w:tcW w:w="1047"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7"/>
              <w:spacing w:before="110" w:line="229" w:lineRule="auto"/>
              <w:rPr>
                <w:rFonts w:ascii="SimSun" w:hAnsi="SimSun" w:eastAsia="SimSun" w:cs="SimSun"/>
                <w:sz w:val="15"/>
                <w:szCs w:val="15"/>
              </w:rPr>
            </w:pPr>
            <w:r>
              <w:rPr>
                <w:rFonts w:ascii="SimSun" w:hAnsi="SimSun" w:eastAsia="SimSun" w:cs="SimSun"/>
                <w:sz w:val="15"/>
                <w:szCs w:val="15"/>
                <w:color w:val="212529"/>
                <w:spacing w:val="11"/>
              </w:rPr>
              <w:t>报件技术服务、测绘费用</w:t>
            </w:r>
          </w:p>
        </w:tc>
        <w:tc>
          <w:tcPr>
            <w:tcW w:w="1274"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99" w:type="dxa"/>
            <w:vAlign w:val="top"/>
          </w:tcPr>
          <w:p>
            <w:pPr>
              <w:pStyle w:val="TableText"/>
              <w:rPr/>
            </w:pPr>
            <w:r/>
          </w:p>
        </w:tc>
        <w:tc>
          <w:tcPr>
            <w:tcW w:w="1047"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0"/>
              <w:spacing w:before="110" w:line="228" w:lineRule="auto"/>
              <w:rPr>
                <w:rFonts w:ascii="SimSun" w:hAnsi="SimSun" w:eastAsia="SimSun" w:cs="SimSun"/>
                <w:sz w:val="15"/>
                <w:szCs w:val="15"/>
              </w:rPr>
            </w:pPr>
            <w:r>
              <w:rPr>
                <w:rFonts w:ascii="SimSun" w:hAnsi="SimSun" w:eastAsia="SimSun" w:cs="SimSun"/>
                <w:sz w:val="15"/>
                <w:szCs w:val="15"/>
                <w:color w:val="212529"/>
                <w:spacing w:val="10"/>
              </w:rPr>
              <w:t>社会稳定风险评估费</w:t>
            </w:r>
          </w:p>
        </w:tc>
        <w:tc>
          <w:tcPr>
            <w:tcW w:w="1274" w:type="dxa"/>
            <w:vAlign w:val="top"/>
          </w:tcPr>
          <w:p>
            <w:pPr>
              <w:ind w:right="20"/>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199" w:type="dxa"/>
            <w:vAlign w:val="top"/>
          </w:tcPr>
          <w:p>
            <w:pPr>
              <w:pStyle w:val="TableText"/>
              <w:rPr/>
            </w:pPr>
            <w:r/>
          </w:p>
        </w:tc>
        <w:tc>
          <w:tcPr>
            <w:tcW w:w="1047" w:type="dxa"/>
            <w:vAlign w:val="top"/>
          </w:tcPr>
          <w:p>
            <w:pPr>
              <w:ind w:right="18"/>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0" w:line="228" w:lineRule="auto"/>
              <w:rPr>
                <w:rFonts w:ascii="SimSun" w:hAnsi="SimSun" w:eastAsia="SimSun" w:cs="SimSun"/>
                <w:sz w:val="15"/>
                <w:szCs w:val="15"/>
              </w:rPr>
            </w:pPr>
            <w:r>
              <w:rPr>
                <w:rFonts w:ascii="SimSun" w:hAnsi="SimSun" w:eastAsia="SimSun" w:cs="SimSun"/>
                <w:sz w:val="15"/>
                <w:szCs w:val="15"/>
                <w:color w:val="212529"/>
                <w:spacing w:val="10"/>
              </w:rPr>
              <w:t>土地评估费用</w:t>
            </w:r>
          </w:p>
        </w:tc>
        <w:tc>
          <w:tcPr>
            <w:tcW w:w="1274"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1199" w:type="dxa"/>
            <w:vAlign w:val="top"/>
          </w:tcPr>
          <w:p>
            <w:pPr>
              <w:pStyle w:val="TableText"/>
              <w:rPr/>
            </w:pPr>
            <w:r/>
          </w:p>
        </w:tc>
        <w:tc>
          <w:tcPr>
            <w:tcW w:w="1047"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8" w:hRule="atLeast"/>
        </w:trPr>
        <w:tc>
          <w:tcPr>
            <w:tcW w:w="2619" w:type="dxa"/>
            <w:vAlign w:val="top"/>
          </w:tcPr>
          <w:p>
            <w:pPr>
              <w:ind w:left="168"/>
              <w:spacing w:before="111" w:line="228" w:lineRule="auto"/>
              <w:rPr>
                <w:rFonts w:ascii="SimSun" w:hAnsi="SimSun" w:eastAsia="SimSun" w:cs="SimSun"/>
                <w:sz w:val="15"/>
                <w:szCs w:val="15"/>
              </w:rPr>
            </w:pPr>
            <w:r>
              <w:rPr>
                <w:rFonts w:ascii="SimSun" w:hAnsi="SimSun" w:eastAsia="SimSun" w:cs="SimSun"/>
                <w:sz w:val="15"/>
                <w:szCs w:val="15"/>
                <w:color w:val="212529"/>
                <w:spacing w:val="11"/>
              </w:rPr>
              <w:t>拟建设项目规划编制、调整费用</w:t>
            </w:r>
          </w:p>
        </w:tc>
        <w:tc>
          <w:tcPr>
            <w:tcW w:w="1274"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pStyle w:val="TableText"/>
              <w:rPr/>
            </w:pPr>
            <w:r/>
          </w:p>
        </w:tc>
        <w:tc>
          <w:tcPr>
            <w:tcW w:w="1047"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2" w:line="229" w:lineRule="auto"/>
              <w:rPr>
                <w:rFonts w:ascii="SimSun" w:hAnsi="SimSun" w:eastAsia="SimSun" w:cs="SimSun"/>
                <w:sz w:val="15"/>
                <w:szCs w:val="15"/>
              </w:rPr>
            </w:pPr>
            <w:r>
              <w:rPr>
                <w:rFonts w:ascii="SimSun" w:hAnsi="SimSun" w:eastAsia="SimSun" w:cs="SimSun"/>
                <w:sz w:val="15"/>
                <w:szCs w:val="15"/>
                <w:color w:val="212529"/>
                <w:spacing w:val="11"/>
              </w:rPr>
              <w:t>城镇开发边界线调整方案</w:t>
            </w:r>
          </w:p>
        </w:tc>
        <w:tc>
          <w:tcPr>
            <w:tcW w:w="1274"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99" w:type="dxa"/>
            <w:vAlign w:val="top"/>
          </w:tcPr>
          <w:p>
            <w:pPr>
              <w:pStyle w:val="TableText"/>
              <w:rPr/>
            </w:pPr>
            <w:r/>
          </w:p>
        </w:tc>
        <w:tc>
          <w:tcPr>
            <w:tcW w:w="1047"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37" w:right="179" w:firstLine="134"/>
              <w:spacing w:before="26" w:line="211" w:lineRule="auto"/>
              <w:rPr>
                <w:rFonts w:ascii="SimSun" w:hAnsi="SimSun" w:eastAsia="SimSun" w:cs="SimSun"/>
                <w:sz w:val="15"/>
                <w:szCs w:val="15"/>
              </w:rPr>
            </w:pPr>
            <w:r>
              <w:rPr>
                <w:rFonts w:ascii="SimSun" w:hAnsi="SimSun" w:eastAsia="SimSun" w:cs="SimSun"/>
                <w:sz w:val="15"/>
                <w:szCs w:val="15"/>
                <w:color w:val="212529"/>
                <w:spacing w:val="11"/>
              </w:rPr>
              <w:t>征收成片开发方案编制及调整项</w:t>
            </w:r>
            <w:r>
              <w:rPr>
                <w:rFonts w:ascii="SimSun" w:hAnsi="SimSun" w:eastAsia="SimSun" w:cs="SimSun"/>
                <w:sz w:val="15"/>
                <w:szCs w:val="15"/>
                <w:color w:val="212529"/>
              </w:rPr>
              <w:t>目</w:t>
            </w:r>
          </w:p>
        </w:tc>
        <w:tc>
          <w:tcPr>
            <w:tcW w:w="1274"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99" w:type="dxa"/>
            <w:vAlign w:val="top"/>
          </w:tcPr>
          <w:p>
            <w:pPr>
              <w:pStyle w:val="TableText"/>
              <w:rPr/>
            </w:pPr>
            <w:r/>
          </w:p>
        </w:tc>
        <w:tc>
          <w:tcPr>
            <w:tcW w:w="1047"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11"/>
              </w:rPr>
              <w:t>测绘、制图等其他技术服务费</w:t>
            </w:r>
          </w:p>
        </w:tc>
        <w:tc>
          <w:tcPr>
            <w:tcW w:w="1274"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pStyle w:val="TableText"/>
              <w:rPr/>
            </w:pPr>
            <w:r/>
          </w:p>
        </w:tc>
        <w:tc>
          <w:tcPr>
            <w:tcW w:w="1047"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8" w:hRule="atLeast"/>
        </w:trPr>
        <w:tc>
          <w:tcPr>
            <w:tcW w:w="2619"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8"/>
              </w:rPr>
              <w:t>2024年文物勘探费用</w:t>
            </w:r>
          </w:p>
        </w:tc>
        <w:tc>
          <w:tcPr>
            <w:tcW w:w="1274"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184.00</w:t>
            </w:r>
          </w:p>
        </w:tc>
        <w:tc>
          <w:tcPr>
            <w:tcW w:w="1199" w:type="dxa"/>
            <w:vAlign w:val="top"/>
          </w:tcPr>
          <w:p>
            <w:pPr>
              <w:pStyle w:val="TableText"/>
              <w:rPr/>
            </w:pPr>
            <w:r/>
          </w:p>
        </w:tc>
        <w:tc>
          <w:tcPr>
            <w:tcW w:w="1047"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4" w:line="228" w:lineRule="auto"/>
              <w:rPr>
                <w:rFonts w:ascii="SimSun" w:hAnsi="SimSun" w:eastAsia="SimSun" w:cs="SimSun"/>
                <w:sz w:val="15"/>
                <w:szCs w:val="15"/>
              </w:rPr>
            </w:pPr>
            <w:r>
              <w:rPr>
                <w:rFonts w:ascii="SimSun" w:hAnsi="SimSun" w:eastAsia="SimSun" w:cs="SimSun"/>
                <w:sz w:val="15"/>
                <w:szCs w:val="15"/>
                <w:color w:val="212529"/>
                <w:spacing w:val="10"/>
              </w:rPr>
              <w:t>地面附着物评估费</w:t>
            </w:r>
          </w:p>
        </w:tc>
        <w:tc>
          <w:tcPr>
            <w:tcW w:w="1274"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199" w:type="dxa"/>
            <w:vAlign w:val="top"/>
          </w:tcPr>
          <w:p>
            <w:pPr>
              <w:pStyle w:val="TableText"/>
              <w:rPr/>
            </w:pPr>
            <w:r/>
          </w:p>
        </w:tc>
        <w:tc>
          <w:tcPr>
            <w:tcW w:w="1047"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4" w:line="229" w:lineRule="auto"/>
              <w:rPr>
                <w:rFonts w:ascii="SimSun" w:hAnsi="SimSun" w:eastAsia="SimSun" w:cs="SimSun"/>
                <w:sz w:val="15"/>
                <w:szCs w:val="15"/>
              </w:rPr>
            </w:pPr>
            <w:r>
              <w:rPr>
                <w:rFonts w:ascii="SimSun" w:hAnsi="SimSun" w:eastAsia="SimSun" w:cs="SimSun"/>
                <w:sz w:val="15"/>
                <w:szCs w:val="15"/>
                <w:color w:val="212529"/>
                <w:spacing w:val="10"/>
              </w:rPr>
              <w:t>测绘服务费</w:t>
            </w:r>
          </w:p>
        </w:tc>
        <w:tc>
          <w:tcPr>
            <w:tcW w:w="1274"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99" w:type="dxa"/>
            <w:vAlign w:val="top"/>
          </w:tcPr>
          <w:p>
            <w:pPr>
              <w:pStyle w:val="TableText"/>
              <w:rPr/>
            </w:pPr>
            <w:r/>
          </w:p>
        </w:tc>
        <w:tc>
          <w:tcPr>
            <w:tcW w:w="1047"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1"/>
              <w:spacing w:before="115" w:line="228" w:lineRule="auto"/>
              <w:rPr>
                <w:rFonts w:ascii="SimSun" w:hAnsi="SimSun" w:eastAsia="SimSun" w:cs="SimSun"/>
                <w:sz w:val="15"/>
                <w:szCs w:val="15"/>
              </w:rPr>
            </w:pPr>
            <w:r>
              <w:rPr>
                <w:rFonts w:ascii="SimSun" w:hAnsi="SimSun" w:eastAsia="SimSun" w:cs="SimSun"/>
                <w:sz w:val="15"/>
                <w:szCs w:val="15"/>
                <w:color w:val="212529"/>
                <w:spacing w:val="9"/>
              </w:rPr>
              <w:t>2026年拟供地文物考古勘探</w:t>
            </w:r>
          </w:p>
        </w:tc>
        <w:tc>
          <w:tcPr>
            <w:tcW w:w="1274" w:type="dxa"/>
            <w:vAlign w:val="top"/>
          </w:tcPr>
          <w:p>
            <w:pPr>
              <w:ind w:right="20"/>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202.00</w:t>
            </w:r>
          </w:p>
        </w:tc>
        <w:tc>
          <w:tcPr>
            <w:tcW w:w="1199" w:type="dxa"/>
            <w:vAlign w:val="top"/>
          </w:tcPr>
          <w:p>
            <w:pPr>
              <w:pStyle w:val="TableText"/>
              <w:rPr/>
            </w:pPr>
            <w:r/>
          </w:p>
        </w:tc>
        <w:tc>
          <w:tcPr>
            <w:tcW w:w="1047" w:type="dxa"/>
            <w:vAlign w:val="top"/>
          </w:tcPr>
          <w:p>
            <w:pPr>
              <w:ind w:right="18"/>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1"/>
              <w:spacing w:before="114" w:line="228" w:lineRule="auto"/>
              <w:rPr>
                <w:rFonts w:ascii="SimSun" w:hAnsi="SimSun" w:eastAsia="SimSun" w:cs="SimSun"/>
                <w:sz w:val="15"/>
                <w:szCs w:val="15"/>
              </w:rPr>
            </w:pPr>
            <w:r>
              <w:rPr>
                <w:rFonts w:ascii="SimSun" w:hAnsi="SimSun" w:eastAsia="SimSun" w:cs="SimSun"/>
                <w:sz w:val="15"/>
                <w:szCs w:val="15"/>
                <w:color w:val="212529"/>
                <w:spacing w:val="9"/>
              </w:rPr>
              <w:t>2026年土地集约利用评价工作</w:t>
            </w:r>
          </w:p>
        </w:tc>
        <w:tc>
          <w:tcPr>
            <w:tcW w:w="1274"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99" w:type="dxa"/>
            <w:vAlign w:val="top"/>
          </w:tcPr>
          <w:p>
            <w:pPr>
              <w:pStyle w:val="TableText"/>
              <w:rPr/>
            </w:pPr>
            <w:r/>
          </w:p>
        </w:tc>
        <w:tc>
          <w:tcPr>
            <w:tcW w:w="1047"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8" w:right="179" w:firstLine="160"/>
              <w:spacing w:before="29" w:line="209" w:lineRule="auto"/>
              <w:rPr>
                <w:rFonts w:ascii="SimSun" w:hAnsi="SimSun" w:eastAsia="SimSun" w:cs="SimSun"/>
                <w:sz w:val="15"/>
                <w:szCs w:val="15"/>
              </w:rPr>
            </w:pPr>
            <w:r>
              <w:rPr>
                <w:rFonts w:ascii="SimSun" w:hAnsi="SimSun" w:eastAsia="SimSun" w:cs="SimSun"/>
                <w:sz w:val="15"/>
                <w:szCs w:val="15"/>
                <w:color w:val="212529"/>
                <w:spacing w:val="11"/>
              </w:rPr>
              <w:t>环保产业园及圣堂醋业线路迁改</w:t>
            </w:r>
            <w:r>
              <w:rPr>
                <w:rFonts w:ascii="SimSun" w:hAnsi="SimSun" w:eastAsia="SimSun" w:cs="SimSun"/>
                <w:sz w:val="15"/>
                <w:szCs w:val="15"/>
                <w:color w:val="212529"/>
                <w:spacing w:val="6"/>
              </w:rPr>
              <w:t>工程</w:t>
            </w:r>
          </w:p>
        </w:tc>
        <w:tc>
          <w:tcPr>
            <w:tcW w:w="1274"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51.50</w:t>
            </w:r>
          </w:p>
        </w:tc>
        <w:tc>
          <w:tcPr>
            <w:tcW w:w="1199" w:type="dxa"/>
            <w:vAlign w:val="top"/>
          </w:tcPr>
          <w:p>
            <w:pPr>
              <w:pStyle w:val="TableText"/>
              <w:rPr/>
            </w:pPr>
            <w:r/>
          </w:p>
        </w:tc>
        <w:tc>
          <w:tcPr>
            <w:tcW w:w="1047"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51.50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2"/>
              <w:spacing w:before="115" w:line="230" w:lineRule="auto"/>
              <w:rPr>
                <w:rFonts w:ascii="SimSun" w:hAnsi="SimSun" w:eastAsia="SimSun" w:cs="SimSun"/>
                <w:sz w:val="15"/>
                <w:szCs w:val="15"/>
              </w:rPr>
            </w:pPr>
            <w:r>
              <w:rPr>
                <w:rFonts w:ascii="SimSun" w:hAnsi="SimSun" w:eastAsia="SimSun" w:cs="SimSun"/>
                <w:sz w:val="15"/>
                <w:szCs w:val="15"/>
                <w:color w:val="212529"/>
                <w:spacing w:val="10"/>
              </w:rPr>
              <w:t>安全围栏工程</w:t>
            </w:r>
          </w:p>
        </w:tc>
        <w:tc>
          <w:tcPr>
            <w:tcW w:w="1274"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30.96</w:t>
            </w:r>
          </w:p>
        </w:tc>
        <w:tc>
          <w:tcPr>
            <w:tcW w:w="1199" w:type="dxa"/>
            <w:vAlign w:val="top"/>
          </w:tcPr>
          <w:p>
            <w:pPr>
              <w:pStyle w:val="TableText"/>
              <w:rPr/>
            </w:pPr>
            <w:r/>
          </w:p>
        </w:tc>
        <w:tc>
          <w:tcPr>
            <w:tcW w:w="1047"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30.96</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7"/>
              <w:spacing w:before="115" w:line="230" w:lineRule="auto"/>
              <w:rPr>
                <w:rFonts w:ascii="SimSun" w:hAnsi="SimSun" w:eastAsia="SimSun" w:cs="SimSun"/>
                <w:sz w:val="15"/>
                <w:szCs w:val="15"/>
              </w:rPr>
            </w:pPr>
            <w:r>
              <w:rPr>
                <w:rFonts w:ascii="SimSun" w:hAnsi="SimSun" w:eastAsia="SimSun" w:cs="SimSun"/>
                <w:sz w:val="15"/>
                <w:szCs w:val="15"/>
                <w:color w:val="212529"/>
              </w:rPr>
              <w:t>GXD</w:t>
            </w:r>
            <w:r>
              <w:rPr>
                <w:rFonts w:ascii="SimSun" w:hAnsi="SimSun" w:eastAsia="SimSun" w:cs="SimSun"/>
                <w:sz w:val="15"/>
                <w:szCs w:val="15"/>
                <w:color w:val="212529"/>
                <w:spacing w:val="10"/>
              </w:rPr>
              <w:t>-01-03地块七通一平工程</w:t>
            </w:r>
          </w:p>
        </w:tc>
        <w:tc>
          <w:tcPr>
            <w:tcW w:w="1274"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155.93</w:t>
            </w:r>
          </w:p>
        </w:tc>
        <w:tc>
          <w:tcPr>
            <w:tcW w:w="1199" w:type="dxa"/>
            <w:vAlign w:val="top"/>
          </w:tcPr>
          <w:p>
            <w:pPr>
              <w:pStyle w:val="TableText"/>
              <w:rPr/>
            </w:pPr>
            <w:r/>
          </w:p>
        </w:tc>
        <w:tc>
          <w:tcPr>
            <w:tcW w:w="1047"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155.93</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8"/>
              <w:spacing w:before="116" w:line="229" w:lineRule="auto"/>
              <w:rPr>
                <w:rFonts w:ascii="SimSun" w:hAnsi="SimSun" w:eastAsia="SimSun" w:cs="SimSun"/>
                <w:sz w:val="15"/>
                <w:szCs w:val="15"/>
              </w:rPr>
            </w:pPr>
            <w:r>
              <w:rPr>
                <w:rFonts w:ascii="SimSun" w:hAnsi="SimSun" w:eastAsia="SimSun" w:cs="SimSun"/>
                <w:sz w:val="15"/>
                <w:szCs w:val="15"/>
                <w:color w:val="212529"/>
                <w:spacing w:val="9"/>
              </w:rPr>
              <w:t>考古发掘一（北创）</w:t>
            </w:r>
          </w:p>
        </w:tc>
        <w:tc>
          <w:tcPr>
            <w:tcW w:w="1274" w:type="dxa"/>
            <w:vAlign w:val="top"/>
          </w:tcPr>
          <w:p>
            <w:pPr>
              <w:ind w:right="20"/>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43.66</w:t>
            </w:r>
          </w:p>
        </w:tc>
        <w:tc>
          <w:tcPr>
            <w:tcW w:w="1199" w:type="dxa"/>
            <w:vAlign w:val="top"/>
          </w:tcPr>
          <w:p>
            <w:pPr>
              <w:pStyle w:val="TableText"/>
              <w:rPr/>
            </w:pPr>
            <w:r/>
          </w:p>
        </w:tc>
        <w:tc>
          <w:tcPr>
            <w:tcW w:w="1047" w:type="dxa"/>
            <w:vAlign w:val="top"/>
          </w:tcPr>
          <w:p>
            <w:pPr>
              <w:ind w:right="18"/>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43.66</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6" w:right="98" w:firstLine="163"/>
              <w:spacing w:before="29" w:line="209" w:lineRule="auto"/>
              <w:rPr>
                <w:rFonts w:ascii="SimSun" w:hAnsi="SimSun" w:eastAsia="SimSun" w:cs="SimSun"/>
                <w:sz w:val="15"/>
                <w:szCs w:val="15"/>
              </w:rPr>
            </w:pPr>
            <w:r>
              <w:rPr>
                <w:rFonts w:ascii="SimSun" w:hAnsi="SimSun" w:eastAsia="SimSun" w:cs="SimSun"/>
                <w:sz w:val="15"/>
                <w:szCs w:val="15"/>
                <w:color w:val="212529"/>
                <w:spacing w:val="10"/>
              </w:rPr>
              <w:t>老顶山物流园</w:t>
            </w:r>
            <w:r>
              <w:rPr>
                <w:rFonts w:ascii="SimSun" w:hAnsi="SimSun" w:eastAsia="SimSun" w:cs="SimSun"/>
                <w:sz w:val="15"/>
                <w:szCs w:val="15"/>
                <w:color w:val="212529"/>
              </w:rPr>
              <w:t>GXE</w:t>
            </w:r>
            <w:r>
              <w:rPr>
                <w:rFonts w:ascii="SimSun" w:hAnsi="SimSun" w:eastAsia="SimSun" w:cs="SimSun"/>
                <w:sz w:val="15"/>
                <w:szCs w:val="15"/>
                <w:color w:val="212529"/>
                <w:spacing w:val="10"/>
              </w:rPr>
              <w:t>-09-02宗地岩土</w:t>
            </w:r>
            <w:r>
              <w:rPr>
                <w:rFonts w:ascii="SimSun" w:hAnsi="SimSun" w:eastAsia="SimSun" w:cs="SimSun"/>
                <w:sz w:val="15"/>
                <w:szCs w:val="15"/>
                <w:color w:val="212529"/>
                <w:spacing w:val="9"/>
              </w:rPr>
              <w:t>勘察工程</w:t>
            </w:r>
          </w:p>
        </w:tc>
        <w:tc>
          <w:tcPr>
            <w:tcW w:w="1274"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25.80</w:t>
            </w:r>
          </w:p>
        </w:tc>
        <w:tc>
          <w:tcPr>
            <w:tcW w:w="1199" w:type="dxa"/>
            <w:vAlign w:val="top"/>
          </w:tcPr>
          <w:p>
            <w:pPr>
              <w:pStyle w:val="TableText"/>
              <w:rPr/>
            </w:pPr>
            <w:r/>
          </w:p>
        </w:tc>
        <w:tc>
          <w:tcPr>
            <w:tcW w:w="1047"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25.80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6" w:right="98" w:firstLine="161"/>
              <w:spacing w:before="29" w:line="209" w:lineRule="auto"/>
              <w:rPr>
                <w:rFonts w:ascii="SimSun" w:hAnsi="SimSun" w:eastAsia="SimSun" w:cs="SimSun"/>
                <w:sz w:val="15"/>
                <w:szCs w:val="15"/>
              </w:rPr>
            </w:pPr>
            <w:r>
              <w:rPr>
                <w:rFonts w:ascii="SimSun" w:hAnsi="SimSun" w:eastAsia="SimSun" w:cs="SimSun"/>
                <w:sz w:val="15"/>
                <w:szCs w:val="15"/>
                <w:color w:val="212529"/>
                <w:spacing w:val="11"/>
              </w:rPr>
              <w:t>4万吨锂离子动力储能电池负极材</w:t>
            </w:r>
            <w:r>
              <w:rPr>
                <w:rFonts w:ascii="SimSun" w:hAnsi="SimSun" w:eastAsia="SimSun" w:cs="SimSun"/>
                <w:sz w:val="15"/>
                <w:szCs w:val="15"/>
                <w:color w:val="212529"/>
                <w:spacing w:val="11"/>
              </w:rPr>
              <w:t>料一体化考古勘探项目</w:t>
            </w:r>
          </w:p>
        </w:tc>
        <w:tc>
          <w:tcPr>
            <w:tcW w:w="1274"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39.30</w:t>
            </w:r>
          </w:p>
        </w:tc>
        <w:tc>
          <w:tcPr>
            <w:tcW w:w="1199" w:type="dxa"/>
            <w:vAlign w:val="top"/>
          </w:tcPr>
          <w:p>
            <w:pPr>
              <w:pStyle w:val="TableText"/>
              <w:rPr/>
            </w:pPr>
            <w:r/>
          </w:p>
        </w:tc>
        <w:tc>
          <w:tcPr>
            <w:tcW w:w="1047"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39.30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200"/>
              <w:spacing w:before="116" w:line="230" w:lineRule="auto"/>
              <w:rPr>
                <w:rFonts w:ascii="SimSun" w:hAnsi="SimSun" w:eastAsia="SimSun" w:cs="SimSun"/>
                <w:sz w:val="15"/>
                <w:szCs w:val="15"/>
              </w:rPr>
            </w:pPr>
            <w:r>
              <w:rPr>
                <w:rFonts w:ascii="SimSun" w:hAnsi="SimSun" w:eastAsia="SimSun" w:cs="SimSun"/>
                <w:sz w:val="15"/>
                <w:szCs w:val="15"/>
                <w:color w:val="212529"/>
                <w:spacing w:val="8"/>
              </w:rPr>
              <w:t>自然资源智能监控系统</w:t>
            </w:r>
          </w:p>
        </w:tc>
        <w:tc>
          <w:tcPr>
            <w:tcW w:w="1274"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218.50</w:t>
            </w:r>
          </w:p>
        </w:tc>
        <w:tc>
          <w:tcPr>
            <w:tcW w:w="1199" w:type="dxa"/>
            <w:vAlign w:val="top"/>
          </w:tcPr>
          <w:p>
            <w:pPr>
              <w:pStyle w:val="TableText"/>
              <w:rPr/>
            </w:pPr>
            <w:r/>
          </w:p>
        </w:tc>
        <w:tc>
          <w:tcPr>
            <w:tcW w:w="1047"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218.50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太行北路东侧物资局拆除</w:t>
            </w:r>
          </w:p>
        </w:tc>
        <w:tc>
          <w:tcPr>
            <w:tcW w:w="1274"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77.97</w:t>
            </w:r>
          </w:p>
        </w:tc>
        <w:tc>
          <w:tcPr>
            <w:tcW w:w="1199" w:type="dxa"/>
            <w:vAlign w:val="top"/>
          </w:tcPr>
          <w:p>
            <w:pPr>
              <w:pStyle w:val="TableText"/>
              <w:rPr/>
            </w:pPr>
            <w:r/>
          </w:p>
        </w:tc>
        <w:tc>
          <w:tcPr>
            <w:tcW w:w="1047"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77.97</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5" w:right="179" w:firstLine="168"/>
              <w:spacing w:before="30" w:line="208" w:lineRule="auto"/>
              <w:rPr>
                <w:rFonts w:ascii="SimSun" w:hAnsi="SimSun" w:eastAsia="SimSun" w:cs="SimSun"/>
                <w:sz w:val="15"/>
                <w:szCs w:val="15"/>
              </w:rPr>
            </w:pPr>
            <w:r>
              <w:rPr>
                <w:rFonts w:ascii="SimSun" w:hAnsi="SimSun" w:eastAsia="SimSun" w:cs="SimSun"/>
                <w:sz w:val="15"/>
                <w:szCs w:val="15"/>
                <w:color w:val="212529"/>
                <w:spacing w:val="11"/>
              </w:rPr>
              <w:t>翟店街道羌城村集体土地考古勘</w:t>
            </w:r>
            <w:r>
              <w:rPr>
                <w:rFonts w:ascii="SimSun" w:hAnsi="SimSun" w:eastAsia="SimSun" w:cs="SimSun"/>
                <w:sz w:val="15"/>
                <w:szCs w:val="15"/>
                <w:color w:val="212529"/>
                <w:spacing w:val="9"/>
              </w:rPr>
              <w:t>探项目</w:t>
            </w:r>
          </w:p>
        </w:tc>
        <w:tc>
          <w:tcPr>
            <w:tcW w:w="1274"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31.00</w:t>
            </w:r>
          </w:p>
        </w:tc>
        <w:tc>
          <w:tcPr>
            <w:tcW w:w="1199" w:type="dxa"/>
            <w:vAlign w:val="top"/>
          </w:tcPr>
          <w:p>
            <w:pPr>
              <w:pStyle w:val="TableText"/>
              <w:rPr/>
            </w:pPr>
            <w:r/>
          </w:p>
        </w:tc>
        <w:tc>
          <w:tcPr>
            <w:tcW w:w="1047"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0" w:right="98" w:firstLine="160"/>
              <w:spacing w:before="30" w:line="208" w:lineRule="auto"/>
              <w:rPr>
                <w:rFonts w:ascii="SimSun" w:hAnsi="SimSun" w:eastAsia="SimSun" w:cs="SimSun"/>
                <w:sz w:val="15"/>
                <w:szCs w:val="15"/>
              </w:rPr>
            </w:pPr>
            <w:r>
              <w:rPr>
                <w:rFonts w:ascii="SimSun" w:hAnsi="SimSun" w:eastAsia="SimSun" w:cs="SimSun"/>
                <w:sz w:val="15"/>
                <w:szCs w:val="15"/>
                <w:color w:val="212529"/>
                <w:spacing w:val="12"/>
              </w:rPr>
              <w:t>智能终端产业园</w:t>
            </w:r>
            <w:r>
              <w:rPr>
                <w:rFonts w:ascii="SimSun" w:hAnsi="SimSun" w:eastAsia="SimSun" w:cs="SimSun"/>
                <w:sz w:val="15"/>
                <w:szCs w:val="15"/>
                <w:color w:val="212529"/>
              </w:rPr>
              <w:t>PPP</w:t>
            </w:r>
            <w:r>
              <w:rPr>
                <w:rFonts w:ascii="SimSun" w:hAnsi="SimSun" w:eastAsia="SimSun" w:cs="SimSun"/>
                <w:sz w:val="15"/>
                <w:szCs w:val="15"/>
                <w:color w:val="212529"/>
                <w:spacing w:val="12"/>
              </w:rPr>
              <w:t>项目三期工程</w:t>
            </w:r>
            <w:r>
              <w:rPr>
                <w:rFonts w:ascii="SimSun" w:hAnsi="SimSun" w:eastAsia="SimSun" w:cs="SimSun"/>
                <w:sz w:val="15"/>
                <w:szCs w:val="15"/>
                <w:color w:val="212529"/>
                <w:spacing w:val="9"/>
              </w:rPr>
              <w:t>3-1区考古发掘项目</w:t>
            </w:r>
          </w:p>
        </w:tc>
        <w:tc>
          <w:tcPr>
            <w:tcW w:w="1274"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51.70</w:t>
            </w:r>
          </w:p>
        </w:tc>
        <w:tc>
          <w:tcPr>
            <w:tcW w:w="1199" w:type="dxa"/>
            <w:vAlign w:val="top"/>
          </w:tcPr>
          <w:p>
            <w:pPr>
              <w:pStyle w:val="TableText"/>
              <w:rPr/>
            </w:pPr>
            <w:r/>
          </w:p>
        </w:tc>
        <w:tc>
          <w:tcPr>
            <w:tcW w:w="1047"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7" w:right="179" w:firstLine="177"/>
              <w:spacing w:before="30" w:line="208" w:lineRule="auto"/>
              <w:rPr>
                <w:rFonts w:ascii="SimSun" w:hAnsi="SimSun" w:eastAsia="SimSun" w:cs="SimSun"/>
                <w:sz w:val="15"/>
                <w:szCs w:val="15"/>
              </w:rPr>
            </w:pPr>
            <w:r>
              <w:rPr>
                <w:rFonts w:ascii="SimSun" w:hAnsi="SimSun" w:eastAsia="SimSun" w:cs="SimSun"/>
                <w:sz w:val="15"/>
                <w:szCs w:val="15"/>
                <w:color w:val="212529"/>
                <w:spacing w:val="10"/>
              </w:rPr>
              <w:t>山西晨烯负极材料一体化考古发</w:t>
            </w:r>
            <w:r>
              <w:rPr>
                <w:rFonts w:ascii="SimSun" w:hAnsi="SimSun" w:eastAsia="SimSun" w:cs="SimSun"/>
                <w:sz w:val="15"/>
                <w:szCs w:val="15"/>
                <w:color w:val="212529"/>
                <w:spacing w:val="8"/>
              </w:rPr>
              <w:t>掘项目</w:t>
            </w:r>
          </w:p>
        </w:tc>
        <w:tc>
          <w:tcPr>
            <w:tcW w:w="1274"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62.16</w:t>
            </w:r>
          </w:p>
        </w:tc>
        <w:tc>
          <w:tcPr>
            <w:tcW w:w="1199" w:type="dxa"/>
            <w:vAlign w:val="top"/>
          </w:tcPr>
          <w:p>
            <w:pPr>
              <w:pStyle w:val="TableText"/>
              <w:rPr/>
            </w:pPr>
            <w:r/>
          </w:p>
        </w:tc>
        <w:tc>
          <w:tcPr>
            <w:tcW w:w="1047"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62.16</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0" w:right="179" w:firstLine="163"/>
              <w:spacing w:before="30" w:line="208" w:lineRule="auto"/>
              <w:rPr>
                <w:rFonts w:ascii="SimSun" w:hAnsi="SimSun" w:eastAsia="SimSun" w:cs="SimSun"/>
                <w:sz w:val="15"/>
                <w:szCs w:val="15"/>
              </w:rPr>
            </w:pPr>
            <w:r>
              <w:rPr>
                <w:rFonts w:ascii="SimSun" w:hAnsi="SimSun" w:eastAsia="SimSun" w:cs="SimSun"/>
                <w:sz w:val="15"/>
                <w:szCs w:val="15"/>
                <w:color w:val="212529"/>
                <w:spacing w:val="11"/>
              </w:rPr>
              <w:t>翟店街道羌城村集体土地建设考</w:t>
            </w:r>
            <w:r>
              <w:rPr>
                <w:rFonts w:ascii="SimSun" w:hAnsi="SimSun" w:eastAsia="SimSun" w:cs="SimSun"/>
                <w:sz w:val="15"/>
                <w:szCs w:val="15"/>
                <w:color w:val="212529"/>
                <w:spacing w:val="9"/>
              </w:rPr>
              <w:t>古发掘项目</w:t>
            </w:r>
          </w:p>
        </w:tc>
        <w:tc>
          <w:tcPr>
            <w:tcW w:w="1274"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46.56</w:t>
            </w:r>
          </w:p>
        </w:tc>
        <w:tc>
          <w:tcPr>
            <w:tcW w:w="1199" w:type="dxa"/>
            <w:vAlign w:val="top"/>
          </w:tcPr>
          <w:p>
            <w:pPr>
              <w:pStyle w:val="TableText"/>
              <w:rPr/>
            </w:pPr>
            <w:r/>
          </w:p>
        </w:tc>
        <w:tc>
          <w:tcPr>
            <w:tcW w:w="1047"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46.56</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9" w:right="179" w:firstLine="149"/>
              <w:spacing w:before="30" w:line="208" w:lineRule="auto"/>
              <w:rPr>
                <w:rFonts w:ascii="SimSun" w:hAnsi="SimSun" w:eastAsia="SimSun" w:cs="SimSun"/>
                <w:sz w:val="15"/>
                <w:szCs w:val="15"/>
              </w:rPr>
            </w:pPr>
            <w:r>
              <w:rPr>
                <w:rFonts w:ascii="SimSun" w:hAnsi="SimSun" w:eastAsia="SimSun" w:cs="SimSun"/>
                <w:sz w:val="15"/>
                <w:szCs w:val="15"/>
                <w:color w:val="212529"/>
                <w:spacing w:val="11"/>
              </w:rPr>
              <w:t>太行北路东侧原物资局地块地面</w:t>
            </w:r>
            <w:r>
              <w:rPr>
                <w:rFonts w:ascii="SimSun" w:hAnsi="SimSun" w:eastAsia="SimSun" w:cs="SimSun"/>
                <w:sz w:val="15"/>
                <w:szCs w:val="15"/>
                <w:color w:val="212529"/>
                <w:spacing w:val="7"/>
              </w:rPr>
              <w:t>附着物拆除</w:t>
            </w:r>
          </w:p>
        </w:tc>
        <w:tc>
          <w:tcPr>
            <w:tcW w:w="1274"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68.26</w:t>
            </w:r>
          </w:p>
        </w:tc>
        <w:tc>
          <w:tcPr>
            <w:tcW w:w="1199" w:type="dxa"/>
            <w:vAlign w:val="top"/>
          </w:tcPr>
          <w:p>
            <w:pPr>
              <w:pStyle w:val="TableText"/>
              <w:rPr/>
            </w:pPr>
            <w:r/>
          </w:p>
        </w:tc>
        <w:tc>
          <w:tcPr>
            <w:tcW w:w="1047"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68.26</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1"/>
              <w:spacing w:before="117" w:line="230" w:lineRule="auto"/>
              <w:rPr>
                <w:rFonts w:ascii="SimSun" w:hAnsi="SimSun" w:eastAsia="SimSun" w:cs="SimSun"/>
                <w:sz w:val="15"/>
                <w:szCs w:val="15"/>
              </w:rPr>
            </w:pPr>
            <w:r>
              <w:rPr>
                <w:rFonts w:ascii="SimSun" w:hAnsi="SimSun" w:eastAsia="SimSun" w:cs="SimSun"/>
                <w:sz w:val="15"/>
                <w:szCs w:val="15"/>
                <w:color w:val="212529"/>
                <w:spacing w:val="11"/>
              </w:rPr>
              <w:t>南垂生物制药厂场地平整工程</w:t>
            </w:r>
          </w:p>
        </w:tc>
        <w:tc>
          <w:tcPr>
            <w:tcW w:w="1274"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33.56</w:t>
            </w:r>
          </w:p>
        </w:tc>
        <w:tc>
          <w:tcPr>
            <w:tcW w:w="1199" w:type="dxa"/>
            <w:vAlign w:val="top"/>
          </w:tcPr>
          <w:p>
            <w:pPr>
              <w:pStyle w:val="TableText"/>
              <w:rPr/>
            </w:pPr>
            <w:r/>
          </w:p>
        </w:tc>
        <w:tc>
          <w:tcPr>
            <w:tcW w:w="1047"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33.56</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82"/>
              <w:spacing w:before="118" w:line="229" w:lineRule="auto"/>
              <w:rPr>
                <w:rFonts w:ascii="SimSun" w:hAnsi="SimSun" w:eastAsia="SimSun" w:cs="SimSun"/>
                <w:sz w:val="15"/>
                <w:szCs w:val="15"/>
              </w:rPr>
            </w:pPr>
            <w:r>
              <w:rPr>
                <w:rFonts w:ascii="SimSun" w:hAnsi="SimSun" w:eastAsia="SimSun" w:cs="SimSun"/>
                <w:sz w:val="15"/>
                <w:szCs w:val="15"/>
                <w:color w:val="212529"/>
                <w:spacing w:val="10"/>
              </w:rPr>
              <w:t>中日友好农场地块垃圾清运工程</w:t>
            </w:r>
          </w:p>
        </w:tc>
        <w:tc>
          <w:tcPr>
            <w:tcW w:w="1274"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154.97</w:t>
            </w:r>
          </w:p>
        </w:tc>
        <w:tc>
          <w:tcPr>
            <w:tcW w:w="1199" w:type="dxa"/>
            <w:vAlign w:val="top"/>
          </w:tcPr>
          <w:p>
            <w:pPr>
              <w:pStyle w:val="TableText"/>
              <w:rPr/>
            </w:pPr>
            <w:r/>
          </w:p>
        </w:tc>
        <w:tc>
          <w:tcPr>
            <w:tcW w:w="1047"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154.97</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8" w:right="179" w:firstLine="160"/>
              <w:spacing w:before="32" w:line="207" w:lineRule="auto"/>
              <w:rPr>
                <w:rFonts w:ascii="SimSun" w:hAnsi="SimSun" w:eastAsia="SimSun" w:cs="SimSun"/>
                <w:sz w:val="15"/>
                <w:szCs w:val="15"/>
              </w:rPr>
            </w:pPr>
            <w:r>
              <w:rPr>
                <w:rFonts w:ascii="SimSun" w:hAnsi="SimSun" w:eastAsia="SimSun" w:cs="SimSun"/>
                <w:sz w:val="15"/>
                <w:szCs w:val="15"/>
                <w:color w:val="212529"/>
                <w:spacing w:val="11"/>
              </w:rPr>
              <w:t>长治高新区保障住房地块土壤污</w:t>
            </w:r>
            <w:r>
              <w:rPr>
                <w:rFonts w:ascii="SimSun" w:hAnsi="SimSun" w:eastAsia="SimSun" w:cs="SimSun"/>
                <w:sz w:val="15"/>
                <w:szCs w:val="15"/>
                <w:color w:val="212529"/>
                <w:spacing w:val="8"/>
              </w:rPr>
              <w:t>染调查</w:t>
            </w:r>
          </w:p>
        </w:tc>
        <w:tc>
          <w:tcPr>
            <w:tcW w:w="1274"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42.06</w:t>
            </w:r>
          </w:p>
        </w:tc>
        <w:tc>
          <w:tcPr>
            <w:tcW w:w="1199" w:type="dxa"/>
            <w:vAlign w:val="top"/>
          </w:tcPr>
          <w:p>
            <w:pPr>
              <w:pStyle w:val="TableText"/>
              <w:rPr/>
            </w:pPr>
            <w:r/>
          </w:p>
        </w:tc>
        <w:tc>
          <w:tcPr>
            <w:tcW w:w="1047"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42.06</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84" w:hRule="atLeast"/>
        </w:trPr>
        <w:tc>
          <w:tcPr>
            <w:tcW w:w="2619" w:type="dxa"/>
            <w:vAlign w:val="top"/>
          </w:tcPr>
          <w:p>
            <w:pPr>
              <w:ind w:left="7" w:right="179" w:firstLine="162"/>
              <w:spacing w:before="32" w:line="210" w:lineRule="auto"/>
              <w:rPr>
                <w:rFonts w:ascii="SimSun" w:hAnsi="SimSun" w:eastAsia="SimSun" w:cs="SimSun"/>
                <w:sz w:val="15"/>
                <w:szCs w:val="15"/>
              </w:rPr>
            </w:pPr>
            <w:r>
              <w:rPr>
                <w:rFonts w:ascii="SimSun" w:hAnsi="SimSun" w:eastAsia="SimSun" w:cs="SimSun"/>
                <w:sz w:val="15"/>
                <w:szCs w:val="15"/>
                <w:color w:val="212529"/>
                <w:spacing w:val="11"/>
              </w:rPr>
              <w:t>长治市人民检查院西侧地块项目</w:t>
            </w:r>
            <w:r>
              <w:rPr>
                <w:rFonts w:ascii="SimSun" w:hAnsi="SimSun" w:eastAsia="SimSun" w:cs="SimSun"/>
                <w:sz w:val="15"/>
                <w:szCs w:val="15"/>
                <w:color w:val="212529"/>
                <w:spacing w:val="10"/>
              </w:rPr>
              <w:t>土壤污染调查</w:t>
            </w:r>
          </w:p>
        </w:tc>
        <w:tc>
          <w:tcPr>
            <w:tcW w:w="1274"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13.45</w:t>
            </w:r>
          </w:p>
        </w:tc>
        <w:tc>
          <w:tcPr>
            <w:tcW w:w="1199" w:type="dxa"/>
            <w:vAlign w:val="top"/>
          </w:tcPr>
          <w:p>
            <w:pPr>
              <w:pStyle w:val="TableText"/>
              <w:rPr/>
            </w:pPr>
            <w:r/>
          </w:p>
        </w:tc>
        <w:tc>
          <w:tcPr>
            <w:tcW w:w="1047"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13.45</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bl>
    <w:p>
      <w:pPr>
        <w:pStyle w:val="BodyText"/>
        <w:rPr/>
      </w:pPr>
      <w:r/>
    </w:p>
    <w:p>
      <w:pPr>
        <w:sectPr>
          <w:footerReference w:type="default" r:id="rId17"/>
          <w:pgSz w:w="11900" w:h="16840"/>
          <w:pgMar w:top="642" w:right="600" w:bottom="340" w:left="600" w:header="326" w:footer="93"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19"/>
        <w:gridCol w:w="1274"/>
        <w:gridCol w:w="1199"/>
        <w:gridCol w:w="1047"/>
        <w:gridCol w:w="1188"/>
        <w:gridCol w:w="1026"/>
        <w:gridCol w:w="805"/>
      </w:tblGrid>
      <w:tr>
        <w:trPr>
          <w:trHeight w:val="384" w:hRule="atLeast"/>
        </w:trPr>
        <w:tc>
          <w:tcPr>
            <w:tcW w:w="2619" w:type="dxa"/>
            <w:vAlign w:val="top"/>
          </w:tcPr>
          <w:p>
            <w:pPr>
              <w:ind w:left="8" w:right="179" w:firstLine="161"/>
              <w:spacing w:before="16" w:line="220" w:lineRule="auto"/>
              <w:rPr>
                <w:rFonts w:ascii="SimSun" w:hAnsi="SimSun" w:eastAsia="SimSun" w:cs="SimSun"/>
                <w:sz w:val="15"/>
                <w:szCs w:val="15"/>
              </w:rPr>
            </w:pPr>
            <w:bookmarkStart w:name="bookmark48" w:id="31"/>
            <w:bookmarkEnd w:id="31"/>
            <w:r>
              <w:rPr>
                <w:rFonts w:ascii="SimSun" w:hAnsi="SimSun" w:eastAsia="SimSun" w:cs="SimSun"/>
                <w:sz w:val="15"/>
                <w:szCs w:val="15"/>
                <w:color w:val="212529"/>
                <w:spacing w:val="11"/>
              </w:rPr>
              <w:t>长治高新区幼儿园地块项目土壤</w:t>
            </w:r>
            <w:r>
              <w:rPr>
                <w:rFonts w:ascii="SimSun" w:hAnsi="SimSun" w:eastAsia="SimSun" w:cs="SimSun"/>
                <w:sz w:val="15"/>
                <w:szCs w:val="15"/>
                <w:color w:val="212529"/>
                <w:spacing w:val="9"/>
              </w:rPr>
              <w:t>污染调查</w:t>
            </w:r>
          </w:p>
        </w:tc>
        <w:tc>
          <w:tcPr>
            <w:tcW w:w="1274"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15.48</w:t>
            </w:r>
          </w:p>
        </w:tc>
        <w:tc>
          <w:tcPr>
            <w:tcW w:w="1199" w:type="dxa"/>
            <w:vAlign w:val="top"/>
          </w:tcPr>
          <w:p>
            <w:pPr>
              <w:pStyle w:val="TableText"/>
              <w:rPr/>
            </w:pPr>
            <w:r/>
          </w:p>
        </w:tc>
        <w:tc>
          <w:tcPr>
            <w:tcW w:w="1047"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15.48</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0" w:right="179" w:firstLine="159"/>
              <w:spacing w:before="11" w:line="220" w:lineRule="auto"/>
              <w:rPr>
                <w:rFonts w:ascii="SimSun" w:hAnsi="SimSun" w:eastAsia="SimSun" w:cs="SimSun"/>
                <w:sz w:val="15"/>
                <w:szCs w:val="15"/>
              </w:rPr>
            </w:pPr>
            <w:r>
              <w:rPr>
                <w:rFonts w:ascii="SimSun" w:hAnsi="SimSun" w:eastAsia="SimSun" w:cs="SimSun"/>
                <w:sz w:val="15"/>
                <w:szCs w:val="15"/>
                <w:color w:val="212529"/>
                <w:spacing w:val="11"/>
              </w:rPr>
              <w:t>长治市保密技术检查中心新建业</w:t>
            </w:r>
            <w:r>
              <w:rPr>
                <w:rFonts w:ascii="SimSun" w:hAnsi="SimSun" w:eastAsia="SimSun" w:cs="SimSun"/>
                <w:sz w:val="15"/>
                <w:szCs w:val="15"/>
                <w:color w:val="212529"/>
                <w:spacing w:val="10"/>
              </w:rPr>
              <w:t>务用房项目土壤污染调查</w:t>
            </w:r>
          </w:p>
        </w:tc>
        <w:tc>
          <w:tcPr>
            <w:tcW w:w="1274" w:type="dxa"/>
            <w:vAlign w:val="top"/>
          </w:tcPr>
          <w:p>
            <w:pPr>
              <w:ind w:right="20"/>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pStyle w:val="TableText"/>
              <w:rPr/>
            </w:pPr>
            <w:r/>
          </w:p>
        </w:tc>
        <w:tc>
          <w:tcPr>
            <w:tcW w:w="1047" w:type="dxa"/>
            <w:vAlign w:val="top"/>
          </w:tcPr>
          <w:p>
            <w:pPr>
              <w:ind w:right="18"/>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9" w:right="179" w:firstLine="160"/>
              <w:spacing w:before="11" w:line="220" w:lineRule="auto"/>
              <w:rPr>
                <w:rFonts w:ascii="SimSun" w:hAnsi="SimSun" w:eastAsia="SimSun" w:cs="SimSun"/>
                <w:sz w:val="15"/>
                <w:szCs w:val="15"/>
              </w:rPr>
            </w:pPr>
            <w:r>
              <w:rPr>
                <w:rFonts w:ascii="SimSun" w:hAnsi="SimSun" w:eastAsia="SimSun" w:cs="SimSun"/>
                <w:sz w:val="15"/>
                <w:szCs w:val="15"/>
                <w:color w:val="212529"/>
                <w:spacing w:val="9"/>
              </w:rPr>
              <w:t>长治高新区2024年开发区土地集</w:t>
            </w:r>
            <w:r>
              <w:rPr>
                <w:rFonts w:ascii="SimSun" w:hAnsi="SimSun" w:eastAsia="SimSun" w:cs="SimSun"/>
                <w:sz w:val="15"/>
                <w:szCs w:val="15"/>
                <w:color w:val="212529"/>
                <w:spacing w:val="10"/>
              </w:rPr>
              <w:t>约利用监测统计</w:t>
            </w:r>
          </w:p>
        </w:tc>
        <w:tc>
          <w:tcPr>
            <w:tcW w:w="1274" w:type="dxa"/>
            <w:vAlign w:val="top"/>
          </w:tcPr>
          <w:p>
            <w:pPr>
              <w:ind w:right="20"/>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20.30</w:t>
            </w:r>
          </w:p>
        </w:tc>
        <w:tc>
          <w:tcPr>
            <w:tcW w:w="1199" w:type="dxa"/>
            <w:vAlign w:val="top"/>
          </w:tcPr>
          <w:p>
            <w:pPr>
              <w:pStyle w:val="TableText"/>
              <w:rPr/>
            </w:pPr>
            <w:r/>
          </w:p>
        </w:tc>
        <w:tc>
          <w:tcPr>
            <w:tcW w:w="1047" w:type="dxa"/>
            <w:vAlign w:val="top"/>
          </w:tcPr>
          <w:p>
            <w:pPr>
              <w:ind w:right="18"/>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20.30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1" w:right="179" w:firstLine="158"/>
              <w:spacing w:before="11" w:line="220" w:lineRule="auto"/>
              <w:rPr>
                <w:rFonts w:ascii="SimSun" w:hAnsi="SimSun" w:eastAsia="SimSun" w:cs="SimSun"/>
                <w:sz w:val="15"/>
                <w:szCs w:val="15"/>
              </w:rPr>
            </w:pPr>
            <w:r>
              <w:rPr>
                <w:rFonts w:ascii="SimSun" w:hAnsi="SimSun" w:eastAsia="SimSun" w:cs="SimSun"/>
                <w:sz w:val="15"/>
                <w:szCs w:val="15"/>
                <w:color w:val="212529"/>
                <w:spacing w:val="9"/>
              </w:rPr>
              <w:t>长治市潞州区2022年土地征收成</w:t>
            </w:r>
            <w:r>
              <w:rPr>
                <w:rFonts w:ascii="SimSun" w:hAnsi="SimSun" w:eastAsia="SimSun" w:cs="SimSun"/>
                <w:sz w:val="15"/>
                <w:szCs w:val="15"/>
                <w:color w:val="212529"/>
                <w:spacing w:val="10"/>
              </w:rPr>
              <w:t>片开发调整方案</w:t>
            </w:r>
          </w:p>
        </w:tc>
        <w:tc>
          <w:tcPr>
            <w:tcW w:w="1274" w:type="dxa"/>
            <w:vAlign w:val="top"/>
          </w:tcPr>
          <w:p>
            <w:pPr>
              <w:ind w:right="20"/>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22.40</w:t>
            </w:r>
          </w:p>
        </w:tc>
        <w:tc>
          <w:tcPr>
            <w:tcW w:w="1199" w:type="dxa"/>
            <w:vAlign w:val="top"/>
          </w:tcPr>
          <w:p>
            <w:pPr>
              <w:pStyle w:val="TableText"/>
              <w:rPr/>
            </w:pPr>
            <w:r/>
          </w:p>
        </w:tc>
        <w:tc>
          <w:tcPr>
            <w:tcW w:w="1047" w:type="dxa"/>
            <w:vAlign w:val="top"/>
          </w:tcPr>
          <w:p>
            <w:pPr>
              <w:ind w:right="18"/>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22.40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1"/>
              <w:spacing w:before="109" w:line="229" w:lineRule="auto"/>
              <w:rPr>
                <w:rFonts w:ascii="SimSun" w:hAnsi="SimSun" w:eastAsia="SimSun" w:cs="SimSun"/>
                <w:sz w:val="15"/>
                <w:szCs w:val="15"/>
              </w:rPr>
            </w:pPr>
            <w:r>
              <w:rPr>
                <w:rFonts w:ascii="SimSun" w:hAnsi="SimSun" w:eastAsia="SimSun" w:cs="SimSun"/>
                <w:sz w:val="15"/>
                <w:szCs w:val="15"/>
                <w:color w:val="212529"/>
                <w:spacing w:val="9"/>
              </w:rPr>
              <w:t>2025年文物考古勘探项目</w:t>
            </w:r>
          </w:p>
        </w:tc>
        <w:tc>
          <w:tcPr>
            <w:tcW w:w="1274" w:type="dxa"/>
            <w:vAlign w:val="top"/>
          </w:tcPr>
          <w:p>
            <w:pPr>
              <w:ind w:right="20"/>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55.00</w:t>
            </w:r>
          </w:p>
        </w:tc>
        <w:tc>
          <w:tcPr>
            <w:tcW w:w="1199" w:type="dxa"/>
            <w:vAlign w:val="top"/>
          </w:tcPr>
          <w:p>
            <w:pPr>
              <w:pStyle w:val="TableText"/>
              <w:rPr/>
            </w:pPr>
            <w:r/>
          </w:p>
        </w:tc>
        <w:tc>
          <w:tcPr>
            <w:tcW w:w="1047" w:type="dxa"/>
            <w:vAlign w:val="top"/>
          </w:tcPr>
          <w:p>
            <w:pPr>
              <w:ind w:right="18"/>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0" w:line="228" w:lineRule="auto"/>
              <w:rPr>
                <w:rFonts w:ascii="SimSun" w:hAnsi="SimSun" w:eastAsia="SimSun" w:cs="SimSun"/>
                <w:sz w:val="15"/>
                <w:szCs w:val="15"/>
              </w:rPr>
            </w:pPr>
            <w:r>
              <w:rPr>
                <w:rFonts w:ascii="SimSun" w:hAnsi="SimSun" w:eastAsia="SimSun" w:cs="SimSun"/>
                <w:sz w:val="15"/>
                <w:szCs w:val="15"/>
                <w:color w:val="212529"/>
                <w:spacing w:val="11"/>
              </w:rPr>
              <w:t>补助被征地农民社会保障支出</w:t>
            </w:r>
          </w:p>
        </w:tc>
        <w:tc>
          <w:tcPr>
            <w:tcW w:w="1274" w:type="dxa"/>
            <w:vAlign w:val="top"/>
          </w:tcPr>
          <w:p>
            <w:pPr>
              <w:ind w:right="20"/>
              <w:spacing w:before="11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5000.00</w:t>
            </w:r>
          </w:p>
        </w:tc>
        <w:tc>
          <w:tcPr>
            <w:tcW w:w="1199" w:type="dxa"/>
            <w:vAlign w:val="top"/>
          </w:tcPr>
          <w:p>
            <w:pPr>
              <w:pStyle w:val="TableText"/>
              <w:rPr/>
            </w:pPr>
            <w:r/>
          </w:p>
        </w:tc>
        <w:tc>
          <w:tcPr>
            <w:tcW w:w="1047" w:type="dxa"/>
            <w:vAlign w:val="top"/>
          </w:tcPr>
          <w:p>
            <w:pPr>
              <w:ind w:right="18"/>
              <w:spacing w:before="11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5000.00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1"/>
              <w:spacing w:before="110"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274"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1348.40</w:t>
            </w:r>
          </w:p>
        </w:tc>
        <w:tc>
          <w:tcPr>
            <w:tcW w:w="1199" w:type="dxa"/>
            <w:vAlign w:val="top"/>
          </w:tcPr>
          <w:p>
            <w:pPr>
              <w:pStyle w:val="TableText"/>
              <w:rPr/>
            </w:pPr>
            <w:r/>
          </w:p>
        </w:tc>
        <w:tc>
          <w:tcPr>
            <w:tcW w:w="1047"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1348.40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6" w:right="179" w:firstLine="161"/>
              <w:spacing w:before="13" w:line="219" w:lineRule="auto"/>
              <w:rPr>
                <w:rFonts w:ascii="SimSun" w:hAnsi="SimSun" w:eastAsia="SimSun" w:cs="SimSun"/>
                <w:sz w:val="15"/>
                <w:szCs w:val="15"/>
              </w:rPr>
            </w:pPr>
            <w:r>
              <w:rPr>
                <w:rFonts w:ascii="SimSun" w:hAnsi="SimSun" w:eastAsia="SimSun" w:cs="SimSun"/>
                <w:sz w:val="15"/>
                <w:szCs w:val="15"/>
                <w:color w:val="212529"/>
                <w:spacing w:val="11"/>
              </w:rPr>
              <w:t>其他国有土地使用权出让收入安</w:t>
            </w:r>
            <w:r>
              <w:rPr>
                <w:rFonts w:ascii="SimSun" w:hAnsi="SimSun" w:eastAsia="SimSun" w:cs="SimSun"/>
                <w:sz w:val="15"/>
                <w:szCs w:val="15"/>
                <w:color w:val="212529"/>
                <w:spacing w:val="9"/>
              </w:rPr>
              <w:t>排的支出</w:t>
            </w:r>
          </w:p>
        </w:tc>
        <w:tc>
          <w:tcPr>
            <w:tcW w:w="1274"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10685.00</w:t>
            </w:r>
          </w:p>
        </w:tc>
        <w:tc>
          <w:tcPr>
            <w:tcW w:w="1199" w:type="dxa"/>
            <w:vAlign w:val="top"/>
          </w:tcPr>
          <w:p>
            <w:pPr>
              <w:pStyle w:val="TableText"/>
              <w:rPr/>
            </w:pPr>
            <w:r/>
          </w:p>
        </w:tc>
        <w:tc>
          <w:tcPr>
            <w:tcW w:w="1047"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10685.00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84"/>
              <w:spacing w:before="110" w:line="229" w:lineRule="auto"/>
              <w:rPr>
                <w:rFonts w:ascii="SimSun" w:hAnsi="SimSun" w:eastAsia="SimSun" w:cs="SimSun"/>
                <w:sz w:val="15"/>
                <w:szCs w:val="15"/>
              </w:rPr>
            </w:pPr>
            <w:r>
              <w:rPr>
                <w:rFonts w:ascii="SimSun" w:hAnsi="SimSun" w:eastAsia="SimSun" w:cs="SimSun"/>
                <w:sz w:val="15"/>
                <w:szCs w:val="15"/>
                <w:color w:val="212529"/>
                <w:spacing w:val="10"/>
              </w:rPr>
              <w:t>国有土地收益基金安排的支出</w:t>
            </w:r>
          </w:p>
        </w:tc>
        <w:tc>
          <w:tcPr>
            <w:tcW w:w="1274"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3600.00</w:t>
            </w:r>
          </w:p>
        </w:tc>
        <w:tc>
          <w:tcPr>
            <w:tcW w:w="1199" w:type="dxa"/>
            <w:vAlign w:val="top"/>
          </w:tcPr>
          <w:p>
            <w:pPr>
              <w:pStyle w:val="TableText"/>
              <w:rPr/>
            </w:pPr>
            <w:r/>
          </w:p>
        </w:tc>
        <w:tc>
          <w:tcPr>
            <w:tcW w:w="1047"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3600.00</w:t>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84"/>
              <w:spacing w:before="110" w:line="229" w:lineRule="auto"/>
              <w:rPr>
                <w:rFonts w:ascii="SimSun" w:hAnsi="SimSun" w:eastAsia="SimSun" w:cs="SimSun"/>
                <w:sz w:val="15"/>
                <w:szCs w:val="15"/>
              </w:rPr>
            </w:pPr>
            <w:r>
              <w:rPr>
                <w:rFonts w:ascii="SimSun" w:hAnsi="SimSun" w:eastAsia="SimSun" w:cs="SimSun"/>
                <w:sz w:val="15"/>
                <w:szCs w:val="15"/>
                <w:color w:val="212529"/>
                <w:spacing w:val="7"/>
              </w:rPr>
              <w:t>网络服务费</w:t>
            </w:r>
          </w:p>
        </w:tc>
        <w:tc>
          <w:tcPr>
            <w:tcW w:w="1274"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c>
          <w:tcPr>
            <w:tcW w:w="1199"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8" w:hRule="atLeast"/>
        </w:trPr>
        <w:tc>
          <w:tcPr>
            <w:tcW w:w="2619" w:type="dxa"/>
            <w:vAlign w:val="top"/>
          </w:tcPr>
          <w:p>
            <w:pPr>
              <w:ind w:left="172"/>
              <w:spacing w:before="111" w:line="229" w:lineRule="auto"/>
              <w:rPr>
                <w:rFonts w:ascii="SimSun" w:hAnsi="SimSun" w:eastAsia="SimSun" w:cs="SimSun"/>
                <w:sz w:val="15"/>
                <w:szCs w:val="15"/>
              </w:rPr>
            </w:pPr>
            <w:r>
              <w:rPr>
                <w:rFonts w:ascii="SimSun" w:hAnsi="SimSun" w:eastAsia="SimSun" w:cs="SimSun"/>
                <w:sz w:val="15"/>
                <w:szCs w:val="15"/>
                <w:color w:val="212529"/>
                <w:spacing w:val="10"/>
              </w:rPr>
              <w:t>办公用品购置</w:t>
            </w:r>
          </w:p>
        </w:tc>
        <w:tc>
          <w:tcPr>
            <w:tcW w:w="1274" w:type="dxa"/>
            <w:vAlign w:val="top"/>
          </w:tcPr>
          <w:p>
            <w:pPr>
              <w:ind w:right="20"/>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199" w:type="dxa"/>
            <w:vAlign w:val="top"/>
          </w:tcPr>
          <w:p>
            <w:pPr>
              <w:ind w:right="24"/>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2"/>
              <w:spacing w:before="11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1274"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99"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8" w:hRule="atLeast"/>
        </w:trPr>
        <w:tc>
          <w:tcPr>
            <w:tcW w:w="2619" w:type="dxa"/>
            <w:vAlign w:val="top"/>
          </w:tcPr>
          <w:p>
            <w:pPr>
              <w:ind w:left="171"/>
              <w:spacing w:before="11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1274"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99"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3" w:line="230" w:lineRule="auto"/>
              <w:rPr>
                <w:rFonts w:ascii="SimSun" w:hAnsi="SimSun" w:eastAsia="SimSun" w:cs="SimSun"/>
                <w:sz w:val="15"/>
                <w:szCs w:val="15"/>
              </w:rPr>
            </w:pPr>
            <w:r>
              <w:rPr>
                <w:rFonts w:ascii="SimSun" w:hAnsi="SimSun" w:eastAsia="SimSun" w:cs="SimSun"/>
                <w:sz w:val="15"/>
                <w:szCs w:val="15"/>
                <w:color w:val="212529"/>
                <w:spacing w:val="8"/>
              </w:rPr>
              <w:t>物业费</w:t>
            </w:r>
          </w:p>
        </w:tc>
        <w:tc>
          <w:tcPr>
            <w:tcW w:w="1274"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1.70</w:t>
            </w:r>
          </w:p>
        </w:tc>
        <w:tc>
          <w:tcPr>
            <w:tcW w:w="1199"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8" w:hRule="atLeast"/>
        </w:trPr>
        <w:tc>
          <w:tcPr>
            <w:tcW w:w="2619" w:type="dxa"/>
            <w:vAlign w:val="top"/>
          </w:tcPr>
          <w:p>
            <w:pPr>
              <w:ind w:left="187"/>
              <w:spacing w:before="113"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1274"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99"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4"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1274"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2.60</w:t>
            </w:r>
          </w:p>
        </w:tc>
        <w:tc>
          <w:tcPr>
            <w:tcW w:w="1199"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7"/>
              <w:spacing w:before="115" w:line="230" w:lineRule="auto"/>
              <w:rPr>
                <w:rFonts w:ascii="SimSun" w:hAnsi="SimSun" w:eastAsia="SimSun" w:cs="SimSun"/>
                <w:sz w:val="15"/>
                <w:szCs w:val="15"/>
              </w:rPr>
            </w:pPr>
            <w:r>
              <w:rPr>
                <w:rFonts w:ascii="SimSun" w:hAnsi="SimSun" w:eastAsia="SimSun" w:cs="SimSun"/>
                <w:sz w:val="15"/>
                <w:szCs w:val="15"/>
                <w:color w:val="212529"/>
                <w:spacing w:val="10"/>
              </w:rPr>
              <w:t>职工福利费</w:t>
            </w:r>
          </w:p>
        </w:tc>
        <w:tc>
          <w:tcPr>
            <w:tcW w:w="1274"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w:t>
            </w:r>
          </w:p>
        </w:tc>
        <w:tc>
          <w:tcPr>
            <w:tcW w:w="1199"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1"/>
              <w:spacing w:before="11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1274"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1.77</w:t>
            </w:r>
          </w:p>
        </w:tc>
        <w:tc>
          <w:tcPr>
            <w:tcW w:w="1199"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1.77</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5"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1274"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199"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8"/>
              </w:rPr>
              <w:t>维修费</w:t>
            </w:r>
          </w:p>
        </w:tc>
        <w:tc>
          <w:tcPr>
            <w:tcW w:w="1274" w:type="dxa"/>
            <w:vAlign w:val="top"/>
          </w:tcPr>
          <w:p>
            <w:pPr>
              <w:ind w:right="20"/>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1.37</w:t>
            </w:r>
          </w:p>
        </w:tc>
        <w:tc>
          <w:tcPr>
            <w:tcW w:w="1199" w:type="dxa"/>
            <w:vAlign w:val="top"/>
          </w:tcPr>
          <w:p>
            <w:pPr>
              <w:ind w:right="24"/>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1.37</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6" w:line="230" w:lineRule="auto"/>
              <w:rPr>
                <w:rFonts w:ascii="SimSun" w:hAnsi="SimSun" w:eastAsia="SimSun" w:cs="SimSun"/>
                <w:sz w:val="15"/>
                <w:szCs w:val="15"/>
              </w:rPr>
            </w:pPr>
            <w:r>
              <w:rPr>
                <w:rFonts w:ascii="SimSun" w:hAnsi="SimSun" w:eastAsia="SimSun" w:cs="SimSun"/>
                <w:sz w:val="15"/>
                <w:szCs w:val="15"/>
                <w:color w:val="212529"/>
                <w:spacing w:val="8"/>
              </w:rPr>
              <w:t>保安费</w:t>
            </w:r>
          </w:p>
        </w:tc>
        <w:tc>
          <w:tcPr>
            <w:tcW w:w="1274"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199"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8"/>
              </w:rPr>
              <w:t>律师费</w:t>
            </w:r>
          </w:p>
        </w:tc>
        <w:tc>
          <w:tcPr>
            <w:tcW w:w="1274"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199"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6" w:line="228" w:lineRule="auto"/>
              <w:rPr>
                <w:rFonts w:ascii="SimSun" w:hAnsi="SimSun" w:eastAsia="SimSun" w:cs="SimSun"/>
                <w:sz w:val="15"/>
                <w:szCs w:val="15"/>
              </w:rPr>
            </w:pPr>
            <w:r>
              <w:rPr>
                <w:rFonts w:ascii="SimSun" w:hAnsi="SimSun" w:eastAsia="SimSun" w:cs="SimSun"/>
                <w:sz w:val="15"/>
                <w:szCs w:val="15"/>
                <w:color w:val="212529"/>
                <w:spacing w:val="10"/>
              </w:rPr>
              <w:t>政府采购评审费</w:t>
            </w:r>
          </w:p>
        </w:tc>
        <w:tc>
          <w:tcPr>
            <w:tcW w:w="1274"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99"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3"/>
              <w:spacing w:before="116" w:line="229" w:lineRule="auto"/>
              <w:rPr>
                <w:rFonts w:ascii="SimSun" w:hAnsi="SimSun" w:eastAsia="SimSun" w:cs="SimSun"/>
                <w:sz w:val="15"/>
                <w:szCs w:val="15"/>
              </w:rPr>
            </w:pPr>
            <w:r>
              <w:rPr>
                <w:rFonts w:ascii="SimSun" w:hAnsi="SimSun" w:eastAsia="SimSun" w:cs="SimSun"/>
                <w:sz w:val="15"/>
                <w:szCs w:val="15"/>
                <w:color w:val="212529"/>
                <w:spacing w:val="10"/>
              </w:rPr>
              <w:t>劳务派遣人员经费</w:t>
            </w:r>
          </w:p>
        </w:tc>
        <w:tc>
          <w:tcPr>
            <w:tcW w:w="1274"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99"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3"/>
              <w:spacing w:before="117" w:line="229" w:lineRule="auto"/>
              <w:rPr>
                <w:rFonts w:ascii="SimSun" w:hAnsi="SimSun" w:eastAsia="SimSun" w:cs="SimSun"/>
                <w:sz w:val="15"/>
                <w:szCs w:val="15"/>
              </w:rPr>
            </w:pPr>
            <w:r>
              <w:rPr>
                <w:rFonts w:ascii="SimSun" w:hAnsi="SimSun" w:eastAsia="SimSun" w:cs="SimSun"/>
                <w:sz w:val="15"/>
                <w:szCs w:val="15"/>
                <w:color w:val="212529"/>
                <w:spacing w:val="10"/>
              </w:rPr>
              <w:t>劳务派遣服务费</w:t>
            </w:r>
          </w:p>
        </w:tc>
        <w:tc>
          <w:tcPr>
            <w:tcW w:w="1274" w:type="dxa"/>
            <w:vAlign w:val="top"/>
          </w:tcPr>
          <w:p>
            <w:pPr>
              <w:ind w:right="20"/>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1.56</w:t>
            </w:r>
          </w:p>
        </w:tc>
        <w:tc>
          <w:tcPr>
            <w:tcW w:w="1199" w:type="dxa"/>
            <w:vAlign w:val="top"/>
          </w:tcPr>
          <w:p>
            <w:pPr>
              <w:ind w:right="24"/>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1.56</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7" w:line="228" w:lineRule="auto"/>
              <w:rPr>
                <w:rFonts w:ascii="SimSun" w:hAnsi="SimSun" w:eastAsia="SimSun" w:cs="SimSun"/>
                <w:sz w:val="15"/>
                <w:szCs w:val="15"/>
              </w:rPr>
            </w:pPr>
            <w:r>
              <w:rPr>
                <w:rFonts w:ascii="SimSun" w:hAnsi="SimSun" w:eastAsia="SimSun" w:cs="SimSun"/>
                <w:sz w:val="15"/>
                <w:szCs w:val="15"/>
                <w:color w:val="212529"/>
                <w:spacing w:val="10"/>
              </w:rPr>
              <w:t>借调人员经费</w:t>
            </w:r>
          </w:p>
        </w:tc>
        <w:tc>
          <w:tcPr>
            <w:tcW w:w="1274"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199"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7" w:line="229" w:lineRule="auto"/>
              <w:rPr>
                <w:rFonts w:ascii="SimSun" w:hAnsi="SimSun" w:eastAsia="SimSun" w:cs="SimSun"/>
                <w:sz w:val="15"/>
                <w:szCs w:val="15"/>
              </w:rPr>
            </w:pPr>
            <w:r>
              <w:rPr>
                <w:rFonts w:ascii="SimSun" w:hAnsi="SimSun" w:eastAsia="SimSun" w:cs="SimSun"/>
                <w:sz w:val="15"/>
                <w:szCs w:val="15"/>
                <w:color w:val="212529"/>
                <w:spacing w:val="10"/>
              </w:rPr>
              <w:t>档案整理业务费</w:t>
            </w:r>
          </w:p>
        </w:tc>
        <w:tc>
          <w:tcPr>
            <w:tcW w:w="1274"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9.30</w:t>
            </w:r>
          </w:p>
        </w:tc>
        <w:tc>
          <w:tcPr>
            <w:tcW w:w="1199"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4"/>
              <w:spacing w:before="117" w:line="228" w:lineRule="auto"/>
              <w:rPr>
                <w:rFonts w:ascii="SimSun" w:hAnsi="SimSun" w:eastAsia="SimSun" w:cs="SimSun"/>
                <w:sz w:val="15"/>
                <w:szCs w:val="15"/>
              </w:rPr>
            </w:pPr>
            <w:r>
              <w:rPr>
                <w:rFonts w:ascii="SimSun" w:hAnsi="SimSun" w:eastAsia="SimSun" w:cs="SimSun"/>
                <w:sz w:val="15"/>
                <w:szCs w:val="15"/>
                <w:color w:val="212529"/>
                <w:spacing w:val="7"/>
              </w:rPr>
              <w:t>公告费</w:t>
            </w:r>
          </w:p>
        </w:tc>
        <w:tc>
          <w:tcPr>
            <w:tcW w:w="1274"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99"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69"/>
              <w:spacing w:before="118" w:line="228" w:lineRule="auto"/>
              <w:rPr>
                <w:rFonts w:ascii="SimSun" w:hAnsi="SimSun" w:eastAsia="SimSun" w:cs="SimSun"/>
                <w:sz w:val="15"/>
                <w:szCs w:val="15"/>
              </w:rPr>
            </w:pPr>
            <w:r>
              <w:rPr>
                <w:rFonts w:ascii="SimSun" w:hAnsi="SimSun" w:eastAsia="SimSun" w:cs="SimSun"/>
                <w:sz w:val="15"/>
                <w:szCs w:val="15"/>
                <w:color w:val="212529"/>
                <w:spacing w:val="8"/>
              </w:rPr>
              <w:t>宣传费</w:t>
            </w:r>
          </w:p>
        </w:tc>
        <w:tc>
          <w:tcPr>
            <w:tcW w:w="1274"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12.70</w:t>
            </w:r>
          </w:p>
        </w:tc>
        <w:tc>
          <w:tcPr>
            <w:tcW w:w="1199"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9"/>
              </w:rPr>
              <w:t>2025年第四季度印花税</w:t>
            </w:r>
          </w:p>
        </w:tc>
        <w:tc>
          <w:tcPr>
            <w:tcW w:w="1274"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2.34</w:t>
            </w:r>
          </w:p>
        </w:tc>
        <w:tc>
          <w:tcPr>
            <w:tcW w:w="1199"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2.34</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79" w:hRule="atLeast"/>
        </w:trPr>
        <w:tc>
          <w:tcPr>
            <w:tcW w:w="2619" w:type="dxa"/>
            <w:vAlign w:val="top"/>
          </w:tcPr>
          <w:p>
            <w:pPr>
              <w:ind w:left="6" w:right="179" w:firstLine="164"/>
              <w:spacing w:before="21" w:line="214" w:lineRule="auto"/>
              <w:rPr>
                <w:rFonts w:ascii="SimSun" w:hAnsi="SimSun" w:eastAsia="SimSun" w:cs="SimSun"/>
                <w:sz w:val="15"/>
                <w:szCs w:val="15"/>
              </w:rPr>
            </w:pPr>
            <w:r>
              <w:rPr>
                <w:rFonts w:ascii="SimSun" w:hAnsi="SimSun" w:eastAsia="SimSun" w:cs="SimSun"/>
                <w:sz w:val="15"/>
                <w:szCs w:val="15"/>
                <w:color w:val="212529"/>
                <w:spacing w:val="9"/>
              </w:rPr>
              <w:t>2025年第一批次建设用地耕地占</w:t>
            </w:r>
            <w:r>
              <w:rPr>
                <w:rFonts w:ascii="SimSun" w:hAnsi="SimSun" w:eastAsia="SimSun" w:cs="SimSun"/>
                <w:sz w:val="15"/>
                <w:szCs w:val="15"/>
                <w:color w:val="212529"/>
                <w:spacing w:val="7"/>
              </w:rPr>
              <w:t>用税</w:t>
            </w:r>
          </w:p>
        </w:tc>
        <w:tc>
          <w:tcPr>
            <w:tcW w:w="1274"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29.24</w:t>
            </w:r>
          </w:p>
        </w:tc>
        <w:tc>
          <w:tcPr>
            <w:tcW w:w="1199"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29.24</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r>
        <w:trPr>
          <w:trHeight w:val="384" w:hRule="atLeast"/>
        </w:trPr>
        <w:tc>
          <w:tcPr>
            <w:tcW w:w="2619" w:type="dxa"/>
            <w:vAlign w:val="top"/>
          </w:tcPr>
          <w:p>
            <w:pPr>
              <w:ind w:left="171"/>
              <w:spacing w:before="118" w:line="228" w:lineRule="auto"/>
              <w:rPr>
                <w:rFonts w:ascii="SimSun" w:hAnsi="SimSun" w:eastAsia="SimSun" w:cs="SimSun"/>
                <w:sz w:val="15"/>
                <w:szCs w:val="15"/>
              </w:rPr>
            </w:pPr>
            <w:r>
              <w:rPr>
                <w:rFonts w:ascii="SimSun" w:hAnsi="SimSun" w:eastAsia="SimSun" w:cs="SimSun"/>
                <w:sz w:val="15"/>
                <w:szCs w:val="15"/>
                <w:color w:val="212529"/>
                <w:spacing w:val="11"/>
              </w:rPr>
              <w:t>大地土地指标价款及服务价款</w:t>
            </w:r>
          </w:p>
        </w:tc>
        <w:tc>
          <w:tcPr>
            <w:tcW w:w="1274"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c>
          <w:tcPr>
            <w:tcW w:w="1199"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c>
          <w:tcPr>
            <w:tcW w:w="1047" w:type="dxa"/>
            <w:vAlign w:val="top"/>
          </w:tcPr>
          <w:p>
            <w:pPr>
              <w:pStyle w:val="TableText"/>
              <w:rPr/>
            </w:pPr>
            <w:r/>
          </w:p>
        </w:tc>
        <w:tc>
          <w:tcPr>
            <w:tcW w:w="1188" w:type="dxa"/>
            <w:vAlign w:val="top"/>
          </w:tcPr>
          <w:p>
            <w:pPr>
              <w:pStyle w:val="TableText"/>
              <w:rPr/>
            </w:pPr>
            <w:r/>
          </w:p>
        </w:tc>
        <w:tc>
          <w:tcPr>
            <w:tcW w:w="1026" w:type="dxa"/>
            <w:vAlign w:val="top"/>
          </w:tcPr>
          <w:p>
            <w:pPr>
              <w:pStyle w:val="TableText"/>
              <w:rPr/>
            </w:pPr>
            <w:r/>
          </w:p>
        </w:tc>
        <w:tc>
          <w:tcPr>
            <w:tcW w:w="805" w:type="dxa"/>
            <w:vAlign w:val="top"/>
          </w:tcPr>
          <w:p>
            <w:pPr>
              <w:pStyle w:val="TableText"/>
              <w:rPr/>
            </w:pPr>
            <w:r/>
          </w:p>
        </w:tc>
      </w:tr>
    </w:tbl>
    <w:p>
      <w:pPr>
        <w:pStyle w:val="BodyText"/>
        <w:rPr/>
      </w:pPr>
      <w:r/>
    </w:p>
    <w:p>
      <w:pPr>
        <w:sectPr>
          <w:footerReference w:type="default" r:id="rId18"/>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9" w:id="32"/>
            <w:bookmarkEnd w:id="32"/>
            <w:bookmarkStart w:name="bookmark19" w:id="33"/>
            <w:bookmarkEnd w:id="33"/>
            <w:r>
              <w:rPr>
                <w:rFonts w:ascii="Microsoft YaHei" w:hAnsi="Microsoft YaHei" w:eastAsia="Microsoft YaHei" w:cs="Microsoft YaHei"/>
                <w:sz w:val="20"/>
                <w:szCs w:val="20"/>
                <w:color w:val="212529"/>
                <w:position w:val="-1"/>
              </w:rPr>
              <w:t>2026年项目支出预算表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部门名称：长治市规划和自然资源局开发区分局</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2026年财政拨款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footerReference w:type="default" r:id="rId19"/>
          <w:pgSz w:w="11900" w:h="16840"/>
          <w:pgMar w:top="642" w:right="600" w:bottom="340" w:left="600" w:header="326" w:footer="91" w:gutter="0"/>
        </w:sectPr>
        <w:rPr/>
      </w:pPr>
    </w:p>
    <w:p>
      <w:pPr>
        <w:pStyle w:val="BodyText"/>
        <w:spacing w:line="261" w:lineRule="auto"/>
        <w:rPr/>
      </w:pPr>
      <w:r/>
    </w:p>
    <w:p>
      <w:pPr>
        <w:pStyle w:val="BodyText"/>
        <w:spacing w:line="262" w:lineRule="auto"/>
        <w:rPr/>
      </w:pPr>
      <w:r/>
    </w:p>
    <w:p>
      <w:pPr>
        <w:pStyle w:val="BodyText"/>
        <w:spacing w:line="262" w:lineRule="auto"/>
        <w:rPr/>
      </w:pPr>
      <w:r/>
    </w:p>
    <w:p>
      <w:pPr>
        <w:ind w:left="3387"/>
        <w:spacing w:before="98" w:line="240" w:lineRule="exact"/>
        <w:outlineLvl w:val="0"/>
        <w:rPr>
          <w:rFonts w:ascii="Microsoft YaHei" w:hAnsi="Microsoft YaHei" w:eastAsia="Microsoft YaHei" w:cs="Microsoft YaHei"/>
          <w:sz w:val="23"/>
          <w:szCs w:val="23"/>
        </w:rPr>
      </w:pPr>
      <w:bookmarkStart w:name="bookmark20" w:id="34"/>
      <w:bookmarkEnd w:id="34"/>
      <w:r>
        <w:rPr>
          <w:rFonts w:ascii="Microsoft YaHei" w:hAnsi="Microsoft YaHei" w:eastAsia="Microsoft YaHei" w:cs="Microsoft YaHei"/>
          <w:sz w:val="23"/>
          <w:szCs w:val="23"/>
          <w:spacing w:val="4"/>
          <w:position w:val="-1"/>
        </w:rPr>
        <w:t>第三部分</w:t>
      </w:r>
      <w:r>
        <w:rPr>
          <w:rFonts w:ascii="Microsoft YaHei" w:hAnsi="Microsoft YaHei" w:eastAsia="Microsoft YaHei" w:cs="Microsoft YaHei"/>
          <w:sz w:val="23"/>
          <w:szCs w:val="23"/>
          <w:spacing w:val="41"/>
          <w:position w:val="-1"/>
        </w:rPr>
        <w:t xml:space="preserve"> </w:t>
      </w:r>
      <w:r>
        <w:rPr>
          <w:rFonts w:ascii="Microsoft YaHei" w:hAnsi="Microsoft YaHei" w:eastAsia="Microsoft YaHei" w:cs="Microsoft YaHei"/>
          <w:sz w:val="23"/>
          <w:szCs w:val="23"/>
          <w:spacing w:val="4"/>
          <w:position w:val="-1"/>
        </w:rPr>
        <w:t>2026年度部门预算情况说明</w:t>
      </w:r>
    </w:p>
    <w:p>
      <w:pPr>
        <w:pStyle w:val="BodyText"/>
        <w:spacing w:line="334" w:lineRule="auto"/>
        <w:rPr/>
      </w:pPr>
      <w:r/>
    </w:p>
    <w:p>
      <w:pPr>
        <w:ind w:left="913"/>
        <w:spacing w:before="99" w:line="238" w:lineRule="exact"/>
        <w:outlineLvl w:val="1"/>
        <w:rPr>
          <w:rFonts w:ascii="Microsoft YaHei" w:hAnsi="Microsoft YaHei" w:eastAsia="Microsoft YaHei" w:cs="Microsoft YaHei"/>
          <w:sz w:val="23"/>
          <w:szCs w:val="23"/>
        </w:rPr>
      </w:pPr>
      <w:bookmarkStart w:name="bookmark21" w:id="35"/>
      <w:bookmarkEnd w:id="35"/>
      <w:r>
        <w:rPr>
          <w:rFonts w:ascii="Microsoft YaHei" w:hAnsi="Microsoft YaHei" w:eastAsia="Microsoft YaHei" w:cs="Microsoft YaHei"/>
          <w:sz w:val="23"/>
          <w:szCs w:val="23"/>
          <w:spacing w:val="8"/>
          <w:position w:val="-1"/>
        </w:rPr>
        <w:t>一、部门预算收支数据变动情况及原因</w:t>
      </w:r>
    </w:p>
    <w:p>
      <w:pPr>
        <w:ind w:left="919" w:right="874" w:firstLine="471"/>
        <w:spacing w:before="233" w:line="352" w:lineRule="auto"/>
        <w:jc w:val="both"/>
        <w:rPr>
          <w:rFonts w:ascii="FangSong" w:hAnsi="FangSong" w:eastAsia="FangSong" w:cs="FangSong"/>
          <w:sz w:val="24"/>
          <w:szCs w:val="24"/>
        </w:rPr>
      </w:pPr>
      <w:r>
        <w:rPr>
          <w:rFonts w:ascii="FangSong" w:hAnsi="FangSong" w:eastAsia="FangSong" w:cs="FangSong"/>
          <w:sz w:val="24"/>
          <w:szCs w:val="24"/>
          <w:spacing w:val="4"/>
        </w:rPr>
        <w:t>2026年度长治市规划和自然资源局开发区分局预算收入总计2</w:t>
      </w:r>
      <w:r>
        <w:rPr>
          <w:rFonts w:ascii="FangSong" w:hAnsi="FangSong" w:eastAsia="FangSong" w:cs="FangSong"/>
          <w:sz w:val="24"/>
          <w:szCs w:val="24"/>
          <w:spacing w:val="3"/>
        </w:rPr>
        <w:t>5,264.39万元，其</w:t>
      </w:r>
      <w:r>
        <w:rPr>
          <w:rFonts w:ascii="FangSong" w:hAnsi="FangSong" w:eastAsia="FangSong" w:cs="FangSong"/>
          <w:sz w:val="24"/>
          <w:szCs w:val="24"/>
          <w:spacing w:val="5"/>
        </w:rPr>
        <w:t>中</w:t>
      </w:r>
      <w:r>
        <w:rPr>
          <w:rFonts w:ascii="FangSong" w:hAnsi="FangSong" w:eastAsia="FangSong" w:cs="FangSong"/>
          <w:sz w:val="24"/>
          <w:szCs w:val="24"/>
          <w:spacing w:val="-48"/>
        </w:rPr>
        <w:t xml:space="preserve"> </w:t>
      </w:r>
      <w:r>
        <w:rPr>
          <w:rFonts w:ascii="FangSong" w:hAnsi="FangSong" w:eastAsia="FangSong" w:cs="FangSong"/>
          <w:sz w:val="24"/>
          <w:szCs w:val="24"/>
          <w:spacing w:val="5"/>
        </w:rPr>
        <w:t>：本年</w:t>
      </w:r>
      <w:r>
        <w:rPr>
          <w:rFonts w:ascii="FangSong" w:hAnsi="FangSong" w:eastAsia="FangSong" w:cs="FangSong"/>
          <w:sz w:val="24"/>
          <w:szCs w:val="24"/>
          <w:spacing w:val="-68"/>
        </w:rPr>
        <w:t xml:space="preserve"> </w:t>
      </w:r>
      <w:r>
        <w:rPr>
          <w:rFonts w:ascii="FangSong" w:hAnsi="FangSong" w:eastAsia="FangSong" w:cs="FangSong"/>
          <w:sz w:val="24"/>
          <w:szCs w:val="24"/>
          <w:spacing w:val="5"/>
        </w:rPr>
        <w:t>收入25,264.39万元</w:t>
      </w:r>
      <w:r>
        <w:rPr>
          <w:rFonts w:ascii="FangSong" w:hAnsi="FangSong" w:eastAsia="FangSong" w:cs="FangSong"/>
          <w:sz w:val="24"/>
          <w:szCs w:val="24"/>
          <w:spacing w:val="-64"/>
        </w:rPr>
        <w:t xml:space="preserve"> </w:t>
      </w:r>
      <w:r>
        <w:rPr>
          <w:rFonts w:ascii="FangSong" w:hAnsi="FangSong" w:eastAsia="FangSong" w:cs="FangSong"/>
          <w:sz w:val="24"/>
          <w:szCs w:val="24"/>
          <w:spacing w:val="5"/>
        </w:rPr>
        <w:t>，上年结转0万元</w:t>
      </w:r>
      <w:r>
        <w:rPr>
          <w:rFonts w:ascii="FangSong" w:hAnsi="FangSong" w:eastAsia="FangSong" w:cs="FangSong"/>
          <w:sz w:val="24"/>
          <w:szCs w:val="24"/>
          <w:spacing w:val="-64"/>
        </w:rPr>
        <w:t xml:space="preserve"> </w:t>
      </w:r>
      <w:r>
        <w:rPr>
          <w:rFonts w:ascii="FangSong" w:hAnsi="FangSong" w:eastAsia="FangSong" w:cs="FangSong"/>
          <w:sz w:val="24"/>
          <w:szCs w:val="24"/>
          <w:spacing w:val="5"/>
        </w:rPr>
        <w:t>，</w:t>
      </w:r>
      <w:r>
        <w:rPr>
          <w:rFonts w:ascii="FangSong" w:hAnsi="FangSong" w:eastAsia="FangSong" w:cs="FangSong"/>
          <w:sz w:val="24"/>
          <w:szCs w:val="24"/>
          <w:spacing w:val="-54"/>
        </w:rPr>
        <w:t xml:space="preserve"> </w:t>
      </w:r>
      <w:r>
        <w:rPr>
          <w:rFonts w:ascii="FangSong" w:hAnsi="FangSong" w:eastAsia="FangSong" w:cs="FangSong"/>
          <w:sz w:val="24"/>
          <w:szCs w:val="24"/>
          <w:spacing w:val="5"/>
        </w:rPr>
        <w:t>比上年减少3943.15万元</w:t>
      </w:r>
      <w:r>
        <w:rPr>
          <w:rFonts w:ascii="FangSong" w:hAnsi="FangSong" w:eastAsia="FangSong" w:cs="FangSong"/>
          <w:sz w:val="24"/>
          <w:szCs w:val="24"/>
          <w:spacing w:val="-64"/>
        </w:rPr>
        <w:t xml:space="preserve"> </w:t>
      </w:r>
      <w:r>
        <w:rPr>
          <w:rFonts w:ascii="FangSong" w:hAnsi="FangSong" w:eastAsia="FangSong" w:cs="FangSong"/>
          <w:sz w:val="24"/>
          <w:szCs w:val="24"/>
          <w:spacing w:val="5"/>
        </w:rPr>
        <w:t>，下</w:t>
      </w:r>
      <w:r>
        <w:rPr>
          <w:rFonts w:ascii="FangSong" w:hAnsi="FangSong" w:eastAsia="FangSong" w:cs="FangSong"/>
          <w:sz w:val="24"/>
          <w:szCs w:val="24"/>
          <w:spacing w:val="-69"/>
        </w:rPr>
        <w:t xml:space="preserve"> </w:t>
      </w:r>
      <w:r>
        <w:rPr>
          <w:rFonts w:ascii="FangSong" w:hAnsi="FangSong" w:eastAsia="FangSong" w:cs="FangSong"/>
          <w:sz w:val="24"/>
          <w:szCs w:val="24"/>
          <w:spacing w:val="5"/>
        </w:rPr>
        <w:t>降</w:t>
      </w:r>
      <w:r>
        <w:rPr>
          <w:rFonts w:ascii="FangSong" w:hAnsi="FangSong" w:eastAsia="FangSong" w:cs="FangSong"/>
          <w:sz w:val="24"/>
          <w:szCs w:val="24"/>
          <w:spacing w:val="3"/>
        </w:rPr>
        <w:t>13.50%，主要原因是政府性基金项目支出减少；本年部门预算支出总计25,264.39万</w:t>
      </w:r>
      <w:r>
        <w:rPr>
          <w:rFonts w:ascii="FangSong" w:hAnsi="FangSong" w:eastAsia="FangSong" w:cs="FangSong"/>
          <w:sz w:val="24"/>
          <w:szCs w:val="24"/>
          <w:spacing w:val="8"/>
        </w:rPr>
        <w:t>元，其中：本年预算安排25,264.3</w:t>
      </w:r>
      <w:r>
        <w:rPr>
          <w:rFonts w:ascii="FangSong" w:hAnsi="FangSong" w:eastAsia="FangSong" w:cs="FangSong"/>
          <w:sz w:val="24"/>
          <w:szCs w:val="24"/>
          <w:spacing w:val="7"/>
        </w:rPr>
        <w:t>9万元，上年结转0万元，</w:t>
      </w:r>
      <w:r>
        <w:rPr>
          <w:rFonts w:ascii="FangSong" w:hAnsi="FangSong" w:eastAsia="FangSong" w:cs="FangSong"/>
          <w:sz w:val="24"/>
          <w:szCs w:val="24"/>
          <w:spacing w:val="-63"/>
        </w:rPr>
        <w:t xml:space="preserve"> </w:t>
      </w:r>
      <w:r>
        <w:rPr>
          <w:rFonts w:ascii="FangSong" w:hAnsi="FangSong" w:eastAsia="FangSong" w:cs="FangSong"/>
          <w:sz w:val="24"/>
          <w:szCs w:val="24"/>
          <w:spacing w:val="7"/>
        </w:rPr>
        <w:t>比上年减少3943.15万</w:t>
      </w:r>
      <w:r>
        <w:rPr>
          <w:rFonts w:ascii="FangSong" w:hAnsi="FangSong" w:eastAsia="FangSong" w:cs="FangSong"/>
          <w:sz w:val="24"/>
          <w:szCs w:val="24"/>
          <w:spacing w:val="-1"/>
        </w:rPr>
        <w:t>元，下降13.50%，主要原因是政府性基金项目支出减少</w:t>
      </w:r>
    </w:p>
    <w:p>
      <w:pPr>
        <w:ind w:left="913"/>
        <w:spacing w:line="239" w:lineRule="exact"/>
        <w:outlineLvl w:val="1"/>
        <w:rPr>
          <w:rFonts w:ascii="Microsoft YaHei" w:hAnsi="Microsoft YaHei" w:eastAsia="Microsoft YaHei" w:cs="Microsoft YaHei"/>
          <w:sz w:val="23"/>
          <w:szCs w:val="23"/>
        </w:rPr>
      </w:pPr>
      <w:bookmarkStart w:name="bookmark22" w:id="36"/>
      <w:bookmarkEnd w:id="36"/>
      <w:r>
        <w:rPr>
          <w:rFonts w:ascii="Microsoft YaHei" w:hAnsi="Microsoft YaHei" w:eastAsia="Microsoft YaHei" w:cs="Microsoft YaHei"/>
          <w:sz w:val="23"/>
          <w:szCs w:val="23"/>
          <w:spacing w:val="7"/>
          <w:position w:val="-1"/>
        </w:rPr>
        <w:t>二、收入预算情况说明</w:t>
      </w:r>
    </w:p>
    <w:p>
      <w:pPr>
        <w:ind w:left="911" w:right="874" w:firstLine="480"/>
        <w:spacing w:before="232" w:line="353" w:lineRule="auto"/>
        <w:jc w:val="both"/>
        <w:rPr>
          <w:rFonts w:ascii="FangSong" w:hAnsi="FangSong" w:eastAsia="FangSong" w:cs="FangSong"/>
          <w:sz w:val="24"/>
          <w:szCs w:val="24"/>
        </w:rPr>
      </w:pPr>
      <w:r>
        <w:rPr>
          <w:rFonts w:ascii="FangSong" w:hAnsi="FangSong" w:eastAsia="FangSong" w:cs="FangSong"/>
          <w:sz w:val="24"/>
          <w:szCs w:val="24"/>
          <w:spacing w:val="4"/>
        </w:rPr>
        <w:t>2026年度长治市规划和自然资源局开发区分局预算收入25,</w:t>
      </w:r>
      <w:r>
        <w:rPr>
          <w:rFonts w:ascii="FangSong" w:hAnsi="FangSong" w:eastAsia="FangSong" w:cs="FangSong"/>
          <w:sz w:val="24"/>
          <w:szCs w:val="24"/>
          <w:spacing w:val="3"/>
        </w:rPr>
        <w:t>264.39万元，主要包</w:t>
      </w:r>
      <w:r>
        <w:rPr>
          <w:rFonts w:ascii="FangSong" w:hAnsi="FangSong" w:eastAsia="FangSong" w:cs="FangSong"/>
          <w:sz w:val="24"/>
          <w:szCs w:val="24"/>
          <w:spacing w:val="-9"/>
        </w:rPr>
        <w:t>括</w:t>
      </w:r>
      <w:r>
        <w:rPr>
          <w:rFonts w:ascii="FangSong" w:hAnsi="FangSong" w:eastAsia="FangSong" w:cs="FangSong"/>
          <w:sz w:val="24"/>
          <w:szCs w:val="24"/>
          <w:spacing w:val="-68"/>
        </w:rPr>
        <w:t xml:space="preserve"> </w:t>
      </w:r>
      <w:r>
        <w:rPr>
          <w:rFonts w:ascii="FangSong" w:hAnsi="FangSong" w:eastAsia="FangSong" w:cs="FangSong"/>
          <w:sz w:val="24"/>
          <w:szCs w:val="24"/>
          <w:spacing w:val="-9"/>
        </w:rPr>
        <w:t>一</w:t>
      </w:r>
      <w:r>
        <w:rPr>
          <w:rFonts w:ascii="FangSong" w:hAnsi="FangSong" w:eastAsia="FangSong" w:cs="FangSong"/>
          <w:sz w:val="24"/>
          <w:szCs w:val="24"/>
          <w:spacing w:val="-70"/>
        </w:rPr>
        <w:t xml:space="preserve"> </w:t>
      </w:r>
      <w:r>
        <w:rPr>
          <w:rFonts w:ascii="FangSong" w:hAnsi="FangSong" w:eastAsia="FangSong" w:cs="FangSong"/>
          <w:sz w:val="24"/>
          <w:szCs w:val="24"/>
          <w:spacing w:val="-9"/>
        </w:rPr>
        <w:t>般</w:t>
      </w:r>
      <w:r>
        <w:rPr>
          <w:rFonts w:ascii="FangSong" w:hAnsi="FangSong" w:eastAsia="FangSong" w:cs="FangSong"/>
          <w:sz w:val="24"/>
          <w:szCs w:val="24"/>
          <w:spacing w:val="-67"/>
        </w:rPr>
        <w:t xml:space="preserve"> </w:t>
      </w:r>
      <w:r>
        <w:rPr>
          <w:rFonts w:ascii="FangSong" w:hAnsi="FangSong" w:eastAsia="FangSong" w:cs="FangSong"/>
          <w:sz w:val="24"/>
          <w:szCs w:val="24"/>
          <w:spacing w:val="-9"/>
        </w:rPr>
        <w:t>公</w:t>
      </w:r>
      <w:r>
        <w:rPr>
          <w:rFonts w:ascii="FangSong" w:hAnsi="FangSong" w:eastAsia="FangSong" w:cs="FangSong"/>
          <w:sz w:val="24"/>
          <w:szCs w:val="24"/>
          <w:spacing w:val="-65"/>
        </w:rPr>
        <w:t xml:space="preserve"> </w:t>
      </w:r>
      <w:r>
        <w:rPr>
          <w:rFonts w:ascii="FangSong" w:hAnsi="FangSong" w:eastAsia="FangSong" w:cs="FangSong"/>
          <w:sz w:val="24"/>
          <w:szCs w:val="24"/>
          <w:spacing w:val="-9"/>
        </w:rPr>
        <w:t>共</w:t>
      </w:r>
      <w:r>
        <w:rPr>
          <w:rFonts w:ascii="FangSong" w:hAnsi="FangSong" w:eastAsia="FangSong" w:cs="FangSong"/>
          <w:sz w:val="24"/>
          <w:szCs w:val="24"/>
          <w:spacing w:val="-69"/>
        </w:rPr>
        <w:t xml:space="preserve"> </w:t>
      </w:r>
      <w:r>
        <w:rPr>
          <w:rFonts w:ascii="FangSong" w:hAnsi="FangSong" w:eastAsia="FangSong" w:cs="FangSong"/>
          <w:sz w:val="24"/>
          <w:szCs w:val="24"/>
          <w:spacing w:val="-9"/>
        </w:rPr>
        <w:t>预</w:t>
      </w:r>
      <w:r>
        <w:rPr>
          <w:rFonts w:ascii="FangSong" w:hAnsi="FangSong" w:eastAsia="FangSong" w:cs="FangSong"/>
          <w:sz w:val="24"/>
          <w:szCs w:val="24"/>
          <w:spacing w:val="-71"/>
        </w:rPr>
        <w:t xml:space="preserve"> </w:t>
      </w:r>
      <w:r>
        <w:rPr>
          <w:rFonts w:ascii="FangSong" w:hAnsi="FangSong" w:eastAsia="FangSong" w:cs="FangSong"/>
          <w:sz w:val="24"/>
          <w:szCs w:val="24"/>
          <w:spacing w:val="-9"/>
        </w:rPr>
        <w:t>算</w:t>
      </w:r>
      <w:r>
        <w:rPr>
          <w:rFonts w:ascii="FangSong" w:hAnsi="FangSong" w:eastAsia="FangSong" w:cs="FangSong"/>
          <w:sz w:val="24"/>
          <w:szCs w:val="24"/>
          <w:spacing w:val="-72"/>
        </w:rPr>
        <w:t xml:space="preserve"> </w:t>
      </w:r>
      <w:r>
        <w:rPr>
          <w:rFonts w:ascii="FangSong" w:hAnsi="FangSong" w:eastAsia="FangSong" w:cs="FangSong"/>
          <w:sz w:val="24"/>
          <w:szCs w:val="24"/>
          <w:spacing w:val="-9"/>
        </w:rPr>
        <w:t>拨款</w:t>
      </w:r>
      <w:r>
        <w:rPr>
          <w:rFonts w:ascii="FangSong" w:hAnsi="FangSong" w:eastAsia="FangSong" w:cs="FangSong"/>
          <w:sz w:val="24"/>
          <w:szCs w:val="24"/>
          <w:spacing w:val="-58"/>
        </w:rPr>
        <w:t xml:space="preserve"> </w:t>
      </w:r>
      <w:r>
        <w:rPr>
          <w:rFonts w:ascii="FangSong" w:hAnsi="FangSong" w:eastAsia="FangSong" w:cs="FangSong"/>
          <w:sz w:val="24"/>
          <w:szCs w:val="24"/>
          <w:spacing w:val="-9"/>
        </w:rPr>
        <w:t>收</w:t>
      </w:r>
      <w:r>
        <w:rPr>
          <w:rFonts w:ascii="FangSong" w:hAnsi="FangSong" w:eastAsia="FangSong" w:cs="FangSong"/>
          <w:sz w:val="24"/>
          <w:szCs w:val="24"/>
          <w:spacing w:val="-71"/>
        </w:rPr>
        <w:t xml:space="preserve"> </w:t>
      </w:r>
      <w:r>
        <w:rPr>
          <w:rFonts w:ascii="FangSong" w:hAnsi="FangSong" w:eastAsia="FangSong" w:cs="FangSong"/>
          <w:sz w:val="24"/>
          <w:szCs w:val="24"/>
          <w:spacing w:val="-9"/>
        </w:rPr>
        <w:t>入2,264.47</w:t>
      </w:r>
      <w:r>
        <w:rPr>
          <w:rFonts w:ascii="FangSong" w:hAnsi="FangSong" w:eastAsia="FangSong" w:cs="FangSong"/>
          <w:sz w:val="24"/>
          <w:szCs w:val="24"/>
          <w:spacing w:val="-70"/>
        </w:rPr>
        <w:t xml:space="preserve"> </w:t>
      </w:r>
      <w:r>
        <w:rPr>
          <w:rFonts w:ascii="FangSong" w:hAnsi="FangSong" w:eastAsia="FangSong" w:cs="FangSong"/>
          <w:sz w:val="24"/>
          <w:szCs w:val="24"/>
          <w:spacing w:val="-9"/>
        </w:rPr>
        <w:t>万</w:t>
      </w:r>
      <w:r>
        <w:rPr>
          <w:rFonts w:ascii="FangSong" w:hAnsi="FangSong" w:eastAsia="FangSong" w:cs="FangSong"/>
          <w:sz w:val="24"/>
          <w:szCs w:val="24"/>
          <w:spacing w:val="-67"/>
        </w:rPr>
        <w:t xml:space="preserve"> </w:t>
      </w:r>
      <w:r>
        <w:rPr>
          <w:rFonts w:ascii="FangSong" w:hAnsi="FangSong" w:eastAsia="FangSong" w:cs="FangSong"/>
          <w:sz w:val="24"/>
          <w:szCs w:val="24"/>
          <w:spacing w:val="-9"/>
        </w:rPr>
        <w:t>元</w:t>
      </w:r>
      <w:r>
        <w:rPr>
          <w:rFonts w:ascii="FangSong" w:hAnsi="FangSong" w:eastAsia="FangSong" w:cs="FangSong"/>
          <w:sz w:val="24"/>
          <w:szCs w:val="24"/>
          <w:spacing w:val="-55"/>
        </w:rPr>
        <w:t xml:space="preserve"> </w:t>
      </w:r>
      <w:r>
        <w:rPr>
          <w:rFonts w:ascii="FangSong" w:hAnsi="FangSong" w:eastAsia="FangSong" w:cs="FangSong"/>
          <w:sz w:val="24"/>
          <w:szCs w:val="24"/>
          <w:spacing w:val="-9"/>
        </w:rPr>
        <w:t>，</w:t>
      </w:r>
      <w:r>
        <w:rPr>
          <w:rFonts w:ascii="FangSong" w:hAnsi="FangSong" w:eastAsia="FangSong" w:cs="FangSong"/>
          <w:sz w:val="24"/>
          <w:szCs w:val="24"/>
          <w:spacing w:val="-30"/>
        </w:rPr>
        <w:t xml:space="preserve"> </w:t>
      </w:r>
      <w:r>
        <w:rPr>
          <w:rFonts w:ascii="FangSong" w:hAnsi="FangSong" w:eastAsia="FangSong" w:cs="FangSong"/>
          <w:sz w:val="24"/>
          <w:szCs w:val="24"/>
          <w:spacing w:val="-9"/>
        </w:rPr>
        <w:t>占8.96%；</w:t>
      </w:r>
      <w:r>
        <w:rPr>
          <w:rFonts w:ascii="FangSong" w:hAnsi="FangSong" w:eastAsia="FangSong" w:cs="FangSong"/>
          <w:sz w:val="24"/>
          <w:szCs w:val="24"/>
          <w:spacing w:val="-70"/>
        </w:rPr>
        <w:t xml:space="preserve"> </w:t>
      </w:r>
      <w:r>
        <w:rPr>
          <w:rFonts w:ascii="FangSong" w:hAnsi="FangSong" w:eastAsia="FangSong" w:cs="FangSong"/>
          <w:sz w:val="24"/>
          <w:szCs w:val="24"/>
          <w:spacing w:val="-9"/>
        </w:rPr>
        <w:t>政</w:t>
      </w:r>
      <w:r>
        <w:rPr>
          <w:rFonts w:ascii="FangSong" w:hAnsi="FangSong" w:eastAsia="FangSong" w:cs="FangSong"/>
          <w:sz w:val="24"/>
          <w:szCs w:val="24"/>
          <w:spacing w:val="-71"/>
        </w:rPr>
        <w:t xml:space="preserve"> </w:t>
      </w:r>
      <w:r>
        <w:rPr>
          <w:rFonts w:ascii="FangSong" w:hAnsi="FangSong" w:eastAsia="FangSong" w:cs="FangSong"/>
          <w:sz w:val="24"/>
          <w:szCs w:val="24"/>
          <w:spacing w:val="-9"/>
        </w:rPr>
        <w:t>府</w:t>
      </w:r>
      <w:r>
        <w:rPr>
          <w:rFonts w:ascii="FangSong" w:hAnsi="FangSong" w:eastAsia="FangSong" w:cs="FangSong"/>
          <w:sz w:val="24"/>
          <w:szCs w:val="24"/>
          <w:spacing w:val="-67"/>
        </w:rPr>
        <w:t xml:space="preserve"> </w:t>
      </w:r>
      <w:r>
        <w:rPr>
          <w:rFonts w:ascii="FangSong" w:hAnsi="FangSong" w:eastAsia="FangSong" w:cs="FangSong"/>
          <w:sz w:val="24"/>
          <w:szCs w:val="24"/>
          <w:spacing w:val="-9"/>
        </w:rPr>
        <w:t>性</w:t>
      </w:r>
      <w:r>
        <w:rPr>
          <w:rFonts w:ascii="FangSong" w:hAnsi="FangSong" w:eastAsia="FangSong" w:cs="FangSong"/>
          <w:sz w:val="24"/>
          <w:szCs w:val="24"/>
          <w:spacing w:val="-72"/>
        </w:rPr>
        <w:t xml:space="preserve"> </w:t>
      </w:r>
      <w:r>
        <w:rPr>
          <w:rFonts w:ascii="FangSong" w:hAnsi="FangSong" w:eastAsia="FangSong" w:cs="FangSong"/>
          <w:sz w:val="24"/>
          <w:szCs w:val="24"/>
          <w:spacing w:val="-9"/>
        </w:rPr>
        <w:t>基</w:t>
      </w:r>
      <w:r>
        <w:rPr>
          <w:rFonts w:ascii="FangSong" w:hAnsi="FangSong" w:eastAsia="FangSong" w:cs="FangSong"/>
          <w:sz w:val="24"/>
          <w:szCs w:val="24"/>
          <w:spacing w:val="-71"/>
        </w:rPr>
        <w:t xml:space="preserve"> </w:t>
      </w:r>
      <w:r>
        <w:rPr>
          <w:rFonts w:ascii="FangSong" w:hAnsi="FangSong" w:eastAsia="FangSong" w:cs="FangSong"/>
          <w:sz w:val="24"/>
          <w:szCs w:val="24"/>
          <w:spacing w:val="-9"/>
        </w:rPr>
        <w:t>金</w:t>
      </w:r>
      <w:r>
        <w:rPr>
          <w:rFonts w:ascii="FangSong" w:hAnsi="FangSong" w:eastAsia="FangSong" w:cs="FangSong"/>
          <w:sz w:val="24"/>
          <w:szCs w:val="24"/>
          <w:spacing w:val="-69"/>
        </w:rPr>
        <w:t xml:space="preserve"> </w:t>
      </w:r>
      <w:r>
        <w:rPr>
          <w:rFonts w:ascii="FangSong" w:hAnsi="FangSong" w:eastAsia="FangSong" w:cs="FangSong"/>
          <w:sz w:val="24"/>
          <w:szCs w:val="24"/>
          <w:spacing w:val="-9"/>
        </w:rPr>
        <w:t>预</w:t>
      </w:r>
      <w:r>
        <w:rPr>
          <w:rFonts w:ascii="FangSong" w:hAnsi="FangSong" w:eastAsia="FangSong" w:cs="FangSong"/>
          <w:sz w:val="24"/>
          <w:szCs w:val="24"/>
          <w:spacing w:val="-72"/>
        </w:rPr>
        <w:t xml:space="preserve"> </w:t>
      </w:r>
      <w:r>
        <w:rPr>
          <w:rFonts w:ascii="FangSong" w:hAnsi="FangSong" w:eastAsia="FangSong" w:cs="FangSong"/>
          <w:sz w:val="24"/>
          <w:szCs w:val="24"/>
          <w:spacing w:val="-9"/>
        </w:rPr>
        <w:t>算</w:t>
      </w:r>
      <w:r>
        <w:rPr>
          <w:rFonts w:ascii="FangSong" w:hAnsi="FangSong" w:eastAsia="FangSong" w:cs="FangSong"/>
          <w:sz w:val="24"/>
          <w:szCs w:val="24"/>
          <w:spacing w:val="-71"/>
        </w:rPr>
        <w:t xml:space="preserve"> </w:t>
      </w:r>
      <w:r>
        <w:rPr>
          <w:rFonts w:ascii="FangSong" w:hAnsi="FangSong" w:eastAsia="FangSong" w:cs="FangSong"/>
          <w:sz w:val="24"/>
          <w:szCs w:val="24"/>
          <w:spacing w:val="-9"/>
        </w:rPr>
        <w:t>拨款</w:t>
      </w:r>
      <w:r>
        <w:rPr>
          <w:rFonts w:ascii="FangSong" w:hAnsi="FangSong" w:eastAsia="FangSong" w:cs="FangSong"/>
          <w:sz w:val="24"/>
          <w:szCs w:val="24"/>
          <w:spacing w:val="-58"/>
        </w:rPr>
        <w:t xml:space="preserve"> </w:t>
      </w:r>
      <w:r>
        <w:rPr>
          <w:rFonts w:ascii="FangSong" w:hAnsi="FangSong" w:eastAsia="FangSong" w:cs="FangSong"/>
          <w:sz w:val="24"/>
          <w:szCs w:val="24"/>
          <w:spacing w:val="-10"/>
        </w:rPr>
        <w:t>收</w:t>
      </w:r>
      <w:r>
        <w:rPr>
          <w:rFonts w:ascii="FangSong" w:hAnsi="FangSong" w:eastAsia="FangSong" w:cs="FangSong"/>
          <w:sz w:val="24"/>
          <w:szCs w:val="24"/>
          <w:spacing w:val="-72"/>
        </w:rPr>
        <w:t xml:space="preserve"> </w:t>
      </w:r>
      <w:r>
        <w:rPr>
          <w:rFonts w:ascii="FangSong" w:hAnsi="FangSong" w:eastAsia="FangSong" w:cs="FangSong"/>
          <w:sz w:val="24"/>
          <w:szCs w:val="24"/>
          <w:spacing w:val="-10"/>
        </w:rPr>
        <w:t>入</w:t>
      </w:r>
      <w:r>
        <w:rPr>
          <w:rFonts w:ascii="FangSong" w:hAnsi="FangSong" w:eastAsia="FangSong" w:cs="FangSong"/>
          <w:sz w:val="24"/>
          <w:szCs w:val="24"/>
          <w:spacing w:val="-2"/>
        </w:rPr>
        <w:t>22,999.92万元，</w:t>
      </w:r>
      <w:r>
        <w:rPr>
          <w:rFonts w:ascii="FangSong" w:hAnsi="FangSong" w:eastAsia="FangSong" w:cs="FangSong"/>
          <w:sz w:val="24"/>
          <w:szCs w:val="24"/>
          <w:spacing w:val="-54"/>
        </w:rPr>
        <w:t xml:space="preserve"> </w:t>
      </w:r>
      <w:r>
        <w:rPr>
          <w:rFonts w:ascii="FangSong" w:hAnsi="FangSong" w:eastAsia="FangSong" w:cs="FangSong"/>
          <w:sz w:val="24"/>
          <w:szCs w:val="24"/>
          <w:spacing w:val="-2"/>
        </w:rPr>
        <w:t>占91.04%；国有资本经营预算拨款收入0万元，</w:t>
      </w:r>
      <w:r>
        <w:rPr>
          <w:rFonts w:ascii="FangSong" w:hAnsi="FangSong" w:eastAsia="FangSong" w:cs="FangSong"/>
          <w:sz w:val="24"/>
          <w:szCs w:val="24"/>
          <w:spacing w:val="-61"/>
        </w:rPr>
        <w:t xml:space="preserve"> </w:t>
      </w:r>
      <w:r>
        <w:rPr>
          <w:rFonts w:ascii="FangSong" w:hAnsi="FangSong" w:eastAsia="FangSong" w:cs="FangSong"/>
          <w:sz w:val="24"/>
          <w:szCs w:val="24"/>
          <w:spacing w:val="-2"/>
        </w:rPr>
        <w:t>占0%；财政专户管理</w:t>
      </w:r>
      <w:r>
        <w:rPr>
          <w:rFonts w:ascii="FangSong" w:hAnsi="FangSong" w:eastAsia="FangSong" w:cs="FangSong"/>
          <w:sz w:val="24"/>
          <w:szCs w:val="24"/>
          <w:spacing w:val="-1"/>
        </w:rPr>
        <w:t>资金收入0万元，占0%；单位资金0万元，占0%；上年结转0万元，</w:t>
      </w:r>
      <w:r>
        <w:rPr>
          <w:rFonts w:ascii="FangSong" w:hAnsi="FangSong" w:eastAsia="FangSong" w:cs="FangSong"/>
          <w:sz w:val="24"/>
          <w:szCs w:val="24"/>
          <w:spacing w:val="-2"/>
        </w:rPr>
        <w:t>占0%。</w:t>
      </w:r>
    </w:p>
    <w:p>
      <w:pPr>
        <w:pStyle w:val="BodyText"/>
        <w:spacing w:line="468" w:lineRule="auto"/>
        <w:rPr/>
      </w:pPr>
      <w:r/>
    </w:p>
    <w:p>
      <w:pPr>
        <w:ind w:firstLine="2117"/>
        <w:spacing w:line="4045" w:lineRule="exact"/>
        <w:rPr/>
      </w:pPr>
      <w:r>
        <w:rPr>
          <w:position w:val="-80"/>
        </w:rPr>
        <w:drawing>
          <wp:inline distT="0" distB="0" distL="0" distR="0">
            <wp:extent cx="3765571" cy="2568586"/>
            <wp:effectExtent l="0" t="0" r="0" b="0"/>
            <wp:docPr id="2" name="IM 2"/>
            <wp:cNvGraphicFramePr/>
            <a:graphic>
              <a:graphicData uri="http://schemas.openxmlformats.org/drawingml/2006/picture">
                <pic:pic>
                  <pic:nvPicPr>
                    <pic:cNvPr id="2" name="IM 2"/>
                    <pic:cNvPicPr/>
                  </pic:nvPicPr>
                  <pic:blipFill>
                    <a:blip r:embed="rId21"/>
                    <a:stretch>
                      <a:fillRect/>
                    </a:stretch>
                  </pic:blipFill>
                  <pic:spPr>
                    <a:xfrm rot="0">
                      <a:off x="0" y="0"/>
                      <a:ext cx="3765571" cy="2568586"/>
                    </a:xfrm>
                    <a:prstGeom prst="rect">
                      <a:avLst/>
                    </a:prstGeom>
                  </pic:spPr>
                </pic:pic>
              </a:graphicData>
            </a:graphic>
          </wp:inline>
        </w:drawing>
      </w:r>
    </w:p>
    <w:p>
      <w:pPr>
        <w:pStyle w:val="BodyText"/>
        <w:spacing w:line="261" w:lineRule="auto"/>
        <w:rPr/>
      </w:pPr>
      <w:r/>
    </w:p>
    <w:p>
      <w:pPr>
        <w:pStyle w:val="BodyText"/>
        <w:spacing w:line="261" w:lineRule="auto"/>
        <w:rPr/>
      </w:pPr>
      <w:r/>
    </w:p>
    <w:p>
      <w:pPr>
        <w:pStyle w:val="BodyText"/>
        <w:spacing w:line="261" w:lineRule="auto"/>
        <w:rPr/>
      </w:pPr>
      <w:r/>
    </w:p>
    <w:p>
      <w:pPr>
        <w:ind w:left="914"/>
        <w:spacing w:before="99" w:line="239" w:lineRule="exact"/>
        <w:outlineLvl w:val="1"/>
        <w:rPr>
          <w:rFonts w:ascii="Microsoft YaHei" w:hAnsi="Microsoft YaHei" w:eastAsia="Microsoft YaHei" w:cs="Microsoft YaHei"/>
          <w:sz w:val="23"/>
          <w:szCs w:val="23"/>
        </w:rPr>
      </w:pPr>
      <w:bookmarkStart w:name="bookmark23" w:id="37"/>
      <w:bookmarkEnd w:id="37"/>
      <w:r>
        <w:rPr>
          <w:rFonts w:ascii="Microsoft YaHei" w:hAnsi="Microsoft YaHei" w:eastAsia="Microsoft YaHei" w:cs="Microsoft YaHei"/>
          <w:sz w:val="23"/>
          <w:szCs w:val="23"/>
          <w:spacing w:val="7"/>
          <w:position w:val="-1"/>
        </w:rPr>
        <w:t>三、支出预算情况说明</w:t>
      </w:r>
    </w:p>
    <w:p>
      <w:pPr>
        <w:ind w:left="916" w:right="874" w:firstLine="474"/>
        <w:spacing w:before="215" w:line="356" w:lineRule="auto"/>
        <w:rPr>
          <w:rFonts w:ascii="FangSong" w:hAnsi="FangSong" w:eastAsia="FangSong" w:cs="FangSong"/>
          <w:sz w:val="24"/>
          <w:szCs w:val="24"/>
        </w:rPr>
      </w:pPr>
      <w:r>
        <w:rPr>
          <w:rFonts w:ascii="FangSong" w:hAnsi="FangSong" w:eastAsia="FangSong" w:cs="FangSong"/>
          <w:sz w:val="24"/>
          <w:szCs w:val="24"/>
          <w:spacing w:val="1"/>
        </w:rPr>
        <w:t>2026年度长治市规划和自然资源局开发区分局支出预算25264.</w:t>
      </w:r>
      <w:r>
        <w:rPr>
          <w:rFonts w:ascii="FangSong" w:hAnsi="FangSong" w:eastAsia="FangSong" w:cs="FangSong"/>
          <w:sz w:val="24"/>
          <w:szCs w:val="24"/>
        </w:rPr>
        <w:t>39万元，其中：基</w:t>
      </w:r>
      <w:r>
        <w:rPr>
          <w:rFonts w:ascii="FangSong" w:hAnsi="FangSong" w:eastAsia="FangSong" w:cs="FangSong"/>
          <w:sz w:val="24"/>
          <w:szCs w:val="24"/>
          <w:spacing w:val="-1"/>
        </w:rPr>
        <w:t>本支出36.89万元，占0.15%；项目支出25227.49万元，占99.85%。</w:t>
      </w:r>
    </w:p>
    <w:p>
      <w:pPr>
        <w:ind w:left="923"/>
        <w:spacing w:line="240" w:lineRule="exact"/>
        <w:outlineLvl w:val="1"/>
        <w:rPr>
          <w:rFonts w:ascii="Microsoft YaHei" w:hAnsi="Microsoft YaHei" w:eastAsia="Microsoft YaHei" w:cs="Microsoft YaHei"/>
          <w:sz w:val="23"/>
          <w:szCs w:val="23"/>
        </w:rPr>
      </w:pPr>
      <w:bookmarkStart w:name="bookmark24" w:id="38"/>
      <w:bookmarkEnd w:id="38"/>
      <w:r>
        <w:rPr>
          <w:rFonts w:ascii="Microsoft YaHei" w:hAnsi="Microsoft YaHei" w:eastAsia="Microsoft YaHei" w:cs="Microsoft YaHei"/>
          <w:sz w:val="23"/>
          <w:szCs w:val="23"/>
          <w:spacing w:val="7"/>
          <w:position w:val="-1"/>
        </w:rPr>
        <w:t>四、财政拨款收支预算总体情况说明</w:t>
      </w:r>
    </w:p>
    <w:p>
      <w:pPr>
        <w:ind w:left="919" w:right="874" w:firstLine="471"/>
        <w:spacing w:before="216" w:line="351" w:lineRule="auto"/>
        <w:jc w:val="both"/>
        <w:rPr>
          <w:rFonts w:ascii="FangSong" w:hAnsi="FangSong" w:eastAsia="FangSong" w:cs="FangSong"/>
          <w:sz w:val="24"/>
          <w:szCs w:val="24"/>
        </w:rPr>
      </w:pPr>
      <w:r>
        <w:rPr>
          <w:rFonts w:ascii="FangSong" w:hAnsi="FangSong" w:eastAsia="FangSong" w:cs="FangSong"/>
          <w:sz w:val="24"/>
          <w:szCs w:val="24"/>
          <w:spacing w:val="4"/>
        </w:rPr>
        <w:t>2026年度长治市规划和自然资源局开发区分局财政拨款收支总</w:t>
      </w:r>
      <w:r>
        <w:rPr>
          <w:rFonts w:ascii="FangSong" w:hAnsi="FangSong" w:eastAsia="FangSong" w:cs="FangSong"/>
          <w:sz w:val="24"/>
          <w:szCs w:val="24"/>
          <w:spacing w:val="3"/>
        </w:rPr>
        <w:t>预算25,264.39万</w:t>
      </w:r>
      <w:r>
        <w:rPr>
          <w:rFonts w:ascii="FangSong" w:hAnsi="FangSong" w:eastAsia="FangSong" w:cs="FangSong"/>
          <w:sz w:val="24"/>
          <w:szCs w:val="24"/>
          <w:spacing w:val="3"/>
        </w:rPr>
        <w:t>元。其中：一般公共预算拨款2,264.47万元，政府性基金预算拨款22,999.92万元，</w:t>
      </w:r>
      <w:r>
        <w:rPr>
          <w:rFonts w:ascii="FangSong" w:hAnsi="FangSong" w:eastAsia="FangSong" w:cs="FangSong"/>
          <w:sz w:val="24"/>
          <w:szCs w:val="24"/>
          <w:spacing w:val="2"/>
        </w:rPr>
        <w:t>国有资本经营预算拨款0万元。其中：</w:t>
      </w:r>
      <w:r>
        <w:rPr>
          <w:rFonts w:ascii="FangSong" w:hAnsi="FangSong" w:eastAsia="FangSong" w:cs="FangSong"/>
          <w:sz w:val="24"/>
          <w:szCs w:val="24"/>
          <w:spacing w:val="-60"/>
        </w:rPr>
        <w:t xml:space="preserve"> </w:t>
      </w:r>
      <w:r>
        <w:rPr>
          <w:rFonts w:ascii="FangSong" w:hAnsi="FangSong" w:eastAsia="FangSong" w:cs="FangSong"/>
          <w:sz w:val="24"/>
          <w:szCs w:val="24"/>
          <w:spacing w:val="2"/>
        </w:rPr>
        <w:t>当年拨款收入25,264.39万元，上年结转收入0</w:t>
      </w:r>
    </w:p>
    <w:p>
      <w:pPr>
        <w:spacing w:line="351" w:lineRule="auto"/>
        <w:sectPr>
          <w:footerReference w:type="default" r:id="rId20"/>
          <w:pgSz w:w="11900" w:h="16840"/>
          <w:pgMar w:top="642" w:right="600" w:bottom="340" w:left="600" w:header="326" w:footer="93" w:gutter="0"/>
        </w:sectPr>
        <w:rPr>
          <w:rFonts w:ascii="FangSong" w:hAnsi="FangSong" w:eastAsia="FangSong" w:cs="FangSong"/>
          <w:sz w:val="24"/>
          <w:szCs w:val="24"/>
        </w:rPr>
      </w:pPr>
    </w:p>
    <w:p>
      <w:pPr>
        <w:pStyle w:val="BodyText"/>
        <w:spacing w:line="285" w:lineRule="auto"/>
        <w:rPr/>
      </w:pPr>
      <w:r/>
    </w:p>
    <w:p>
      <w:pPr>
        <w:pStyle w:val="BodyText"/>
        <w:spacing w:line="285" w:lineRule="auto"/>
        <w:rPr/>
      </w:pPr>
      <w:r/>
    </w:p>
    <w:p>
      <w:pPr>
        <w:ind w:left="915" w:right="874" w:firstLine="1"/>
        <w:spacing w:before="78" w:line="353" w:lineRule="auto"/>
        <w:jc w:val="both"/>
        <w:rPr>
          <w:rFonts w:ascii="FangSong" w:hAnsi="FangSong" w:eastAsia="FangSong" w:cs="FangSong"/>
          <w:sz w:val="24"/>
          <w:szCs w:val="24"/>
        </w:rPr>
      </w:pPr>
      <w:r>
        <w:rPr>
          <w:rFonts w:ascii="FangSong" w:hAnsi="FangSong" w:eastAsia="FangSong" w:cs="FangSong"/>
          <w:sz w:val="24"/>
          <w:szCs w:val="24"/>
          <w:spacing w:val="1"/>
        </w:rPr>
        <w:t>万元。支出包括：社会保障和就业支出5.26万元、卫生</w:t>
      </w:r>
      <w:r>
        <w:rPr>
          <w:rFonts w:ascii="FangSong" w:hAnsi="FangSong" w:eastAsia="FangSong" w:cs="FangSong"/>
          <w:sz w:val="24"/>
          <w:szCs w:val="24"/>
        </w:rPr>
        <w:t>健康支出3.18万元、城乡社区</w:t>
      </w:r>
      <w:r>
        <w:rPr>
          <w:rFonts w:ascii="FangSong" w:hAnsi="FangSong" w:eastAsia="FangSong" w:cs="FangSong"/>
          <w:sz w:val="24"/>
          <w:szCs w:val="24"/>
          <w:spacing w:val="2"/>
        </w:rPr>
        <w:t>支出22,999.92万元、</w:t>
      </w:r>
      <w:r>
        <w:rPr>
          <w:rFonts w:ascii="FangSong" w:hAnsi="FangSong" w:eastAsia="FangSong" w:cs="FangSong"/>
          <w:sz w:val="24"/>
          <w:szCs w:val="24"/>
          <w:spacing w:val="-53"/>
        </w:rPr>
        <w:t xml:space="preserve"> </w:t>
      </w:r>
      <w:r>
        <w:rPr>
          <w:rFonts w:ascii="FangSong" w:hAnsi="FangSong" w:eastAsia="FangSong" w:cs="FangSong"/>
          <w:sz w:val="24"/>
          <w:szCs w:val="24"/>
          <w:spacing w:val="2"/>
        </w:rPr>
        <w:t>自然资源海洋气象等支出2,253.23万</w:t>
      </w:r>
      <w:r>
        <w:rPr>
          <w:rFonts w:ascii="FangSong" w:hAnsi="FangSong" w:eastAsia="FangSong" w:cs="FangSong"/>
          <w:sz w:val="24"/>
          <w:szCs w:val="24"/>
          <w:spacing w:val="1"/>
        </w:rPr>
        <w:t>元、住房保障支出2.79万</w:t>
      </w:r>
      <w:r>
        <w:rPr>
          <w:rFonts w:ascii="FangSong" w:hAnsi="FangSong" w:eastAsia="FangSong" w:cs="FangSong"/>
          <w:sz w:val="24"/>
          <w:szCs w:val="24"/>
          <w:spacing w:val="-11"/>
        </w:rPr>
        <w:t>元等。</w:t>
      </w:r>
    </w:p>
    <w:p>
      <w:pPr>
        <w:ind w:left="915"/>
        <w:spacing w:line="239" w:lineRule="exact"/>
        <w:outlineLvl w:val="1"/>
        <w:rPr>
          <w:rFonts w:ascii="Microsoft YaHei" w:hAnsi="Microsoft YaHei" w:eastAsia="Microsoft YaHei" w:cs="Microsoft YaHei"/>
          <w:sz w:val="23"/>
          <w:szCs w:val="23"/>
        </w:rPr>
      </w:pPr>
      <w:bookmarkStart w:name="bookmark25" w:id="39"/>
      <w:bookmarkEnd w:id="39"/>
      <w:r>
        <w:rPr>
          <w:rFonts w:ascii="Microsoft YaHei" w:hAnsi="Microsoft YaHei" w:eastAsia="Microsoft YaHei" w:cs="Microsoft YaHei"/>
          <w:sz w:val="23"/>
          <w:szCs w:val="23"/>
          <w:spacing w:val="7"/>
          <w:position w:val="-1"/>
        </w:rPr>
        <w:t>五、一般公共预算支出情况说明</w:t>
      </w:r>
    </w:p>
    <w:p>
      <w:pPr>
        <w:ind w:left="1395"/>
        <w:spacing w:before="229" w:line="222" w:lineRule="auto"/>
        <w:rPr>
          <w:rFonts w:ascii="FangSong" w:hAnsi="FangSong" w:eastAsia="FangSong" w:cs="FangSong"/>
          <w:sz w:val="24"/>
          <w:szCs w:val="24"/>
        </w:rPr>
      </w:pPr>
      <w:r>
        <w:rPr>
          <w:rFonts w:ascii="FangSong" w:hAnsi="FangSong" w:eastAsia="FangSong" w:cs="FangSong"/>
          <w:sz w:val="24"/>
          <w:szCs w:val="24"/>
          <w:spacing w:val="-1"/>
        </w:rPr>
        <w:t>（一）一般公共预算当年支出规模变化情况</w:t>
      </w:r>
    </w:p>
    <w:p>
      <w:pPr>
        <w:ind w:left="919" w:right="874" w:firstLine="471"/>
        <w:spacing w:before="161" w:line="358" w:lineRule="auto"/>
        <w:rPr>
          <w:rFonts w:ascii="FangSong" w:hAnsi="FangSong" w:eastAsia="FangSong" w:cs="FangSong"/>
          <w:sz w:val="24"/>
          <w:szCs w:val="24"/>
        </w:rPr>
      </w:pPr>
      <w:r>
        <w:rPr>
          <w:rFonts w:ascii="FangSong" w:hAnsi="FangSong" w:eastAsia="FangSong" w:cs="FangSong"/>
          <w:sz w:val="24"/>
          <w:szCs w:val="24"/>
          <w:spacing w:val="1"/>
        </w:rPr>
        <w:t>2026年度长治市规划和自然资源局开发区分局一般公共预算当年支出</w:t>
      </w:r>
      <w:r>
        <w:rPr>
          <w:rFonts w:ascii="FangSong" w:hAnsi="FangSong" w:eastAsia="FangSong" w:cs="FangSong"/>
          <w:sz w:val="24"/>
          <w:szCs w:val="24"/>
        </w:rPr>
        <w:t>2,264.47万</w:t>
      </w:r>
      <w:r>
        <w:rPr>
          <w:rFonts w:ascii="FangSong" w:hAnsi="FangSong" w:eastAsia="FangSong" w:cs="FangSong"/>
          <w:sz w:val="24"/>
          <w:szCs w:val="24"/>
          <w:spacing w:val="-1"/>
        </w:rPr>
        <w:t>元,比上年增加1860.83万元，增长461.01%。</w:t>
      </w:r>
    </w:p>
    <w:p>
      <w:pPr>
        <w:ind w:left="1395"/>
        <w:spacing w:line="221" w:lineRule="auto"/>
        <w:rPr>
          <w:rFonts w:ascii="FangSong" w:hAnsi="FangSong" w:eastAsia="FangSong" w:cs="FangSong"/>
          <w:sz w:val="24"/>
          <w:szCs w:val="24"/>
        </w:rPr>
      </w:pPr>
      <w:r>
        <w:rPr>
          <w:rFonts w:ascii="FangSong" w:hAnsi="FangSong" w:eastAsia="FangSong" w:cs="FangSong"/>
          <w:sz w:val="24"/>
          <w:szCs w:val="24"/>
          <w:spacing w:val="-1"/>
        </w:rPr>
        <w:t>（二）一般公共预算当年支出结构情况</w:t>
      </w:r>
    </w:p>
    <w:p>
      <w:pPr>
        <w:ind w:left="911" w:right="874" w:firstLine="480"/>
        <w:spacing w:before="160" w:line="355" w:lineRule="auto"/>
        <w:jc w:val="both"/>
        <w:rPr>
          <w:rFonts w:ascii="FangSong" w:hAnsi="FangSong" w:eastAsia="FangSong" w:cs="FangSong"/>
          <w:sz w:val="24"/>
          <w:szCs w:val="24"/>
        </w:rPr>
      </w:pPr>
      <w:r>
        <w:rPr>
          <w:rFonts w:ascii="FangSong" w:hAnsi="FangSong" w:eastAsia="FangSong" w:cs="FangSong"/>
          <w:sz w:val="24"/>
          <w:szCs w:val="24"/>
          <w:spacing w:val="1"/>
        </w:rPr>
        <w:t>2026年度长治市规划和自然资源局开发区分局一般公共预算当年支出</w:t>
      </w:r>
      <w:r>
        <w:rPr>
          <w:rFonts w:ascii="FangSong" w:hAnsi="FangSong" w:eastAsia="FangSong" w:cs="FangSong"/>
          <w:sz w:val="24"/>
          <w:szCs w:val="24"/>
        </w:rPr>
        <w:t>2,264.47万</w:t>
      </w:r>
      <w:r>
        <w:rPr>
          <w:rFonts w:ascii="FangSong" w:hAnsi="FangSong" w:eastAsia="FangSong" w:cs="FangSong"/>
          <w:sz w:val="24"/>
          <w:szCs w:val="24"/>
          <w:spacing w:val="-1"/>
        </w:rPr>
        <w:t>元,主要用于以下方面：社会保障和就业支出5.26万元，</w:t>
      </w:r>
      <w:r>
        <w:rPr>
          <w:rFonts w:ascii="FangSong" w:hAnsi="FangSong" w:eastAsia="FangSong" w:cs="FangSong"/>
          <w:sz w:val="24"/>
          <w:szCs w:val="24"/>
          <w:spacing w:val="-44"/>
        </w:rPr>
        <w:t xml:space="preserve"> </w:t>
      </w:r>
      <w:r>
        <w:rPr>
          <w:rFonts w:ascii="FangSong" w:hAnsi="FangSong" w:eastAsia="FangSong" w:cs="FangSong"/>
          <w:sz w:val="24"/>
          <w:szCs w:val="24"/>
          <w:spacing w:val="-1"/>
        </w:rPr>
        <w:t>占0.23%；卫生健康支出3.18</w:t>
      </w:r>
      <w:r>
        <w:rPr>
          <w:rFonts w:ascii="FangSong" w:hAnsi="FangSong" w:eastAsia="FangSong" w:cs="FangSong"/>
          <w:sz w:val="24"/>
          <w:szCs w:val="24"/>
          <w:spacing w:val="-1"/>
        </w:rPr>
        <w:t>万元，</w:t>
      </w:r>
      <w:r>
        <w:rPr>
          <w:rFonts w:ascii="FangSong" w:hAnsi="FangSong" w:eastAsia="FangSong" w:cs="FangSong"/>
          <w:sz w:val="24"/>
          <w:szCs w:val="24"/>
          <w:spacing w:val="-51"/>
        </w:rPr>
        <w:t xml:space="preserve"> </w:t>
      </w:r>
      <w:r>
        <w:rPr>
          <w:rFonts w:ascii="FangSong" w:hAnsi="FangSong" w:eastAsia="FangSong" w:cs="FangSong"/>
          <w:sz w:val="24"/>
          <w:szCs w:val="24"/>
          <w:spacing w:val="-1"/>
        </w:rPr>
        <w:t>占0.14%；</w:t>
      </w:r>
      <w:r>
        <w:rPr>
          <w:rFonts w:ascii="FangSong" w:hAnsi="FangSong" w:eastAsia="FangSong" w:cs="FangSong"/>
          <w:sz w:val="24"/>
          <w:szCs w:val="24"/>
          <w:spacing w:val="-53"/>
        </w:rPr>
        <w:t xml:space="preserve"> </w:t>
      </w:r>
      <w:r>
        <w:rPr>
          <w:rFonts w:ascii="FangSong" w:hAnsi="FangSong" w:eastAsia="FangSong" w:cs="FangSong"/>
          <w:sz w:val="24"/>
          <w:szCs w:val="24"/>
          <w:spacing w:val="-1"/>
        </w:rPr>
        <w:t>自然资源海洋气象等支出2,253.23万元，</w:t>
      </w:r>
      <w:r>
        <w:rPr>
          <w:rFonts w:ascii="FangSong" w:hAnsi="FangSong" w:eastAsia="FangSong" w:cs="FangSong"/>
          <w:sz w:val="24"/>
          <w:szCs w:val="24"/>
          <w:spacing w:val="-57"/>
        </w:rPr>
        <w:t xml:space="preserve"> </w:t>
      </w:r>
      <w:r>
        <w:rPr>
          <w:rFonts w:ascii="FangSong" w:hAnsi="FangSong" w:eastAsia="FangSong" w:cs="FangSong"/>
          <w:sz w:val="24"/>
          <w:szCs w:val="24"/>
          <w:spacing w:val="-1"/>
        </w:rPr>
        <w:t>占99.50%；住房保障支出</w:t>
      </w:r>
      <w:r>
        <w:rPr>
          <w:rFonts w:ascii="FangSong" w:hAnsi="FangSong" w:eastAsia="FangSong" w:cs="FangSong"/>
          <w:sz w:val="24"/>
          <w:szCs w:val="24"/>
          <w:spacing w:val="-2"/>
        </w:rPr>
        <w:t>2.79万元，占0.12%等。</w:t>
      </w:r>
    </w:p>
    <w:p>
      <w:pPr>
        <w:ind w:firstLine="2936"/>
        <w:spacing w:before="166" w:line="3504" w:lineRule="exact"/>
        <w:rPr/>
      </w:pPr>
      <w:r>
        <w:rPr>
          <w:position w:val="-70"/>
        </w:rPr>
        <w:drawing>
          <wp:inline distT="0" distB="0" distL="0" distR="0">
            <wp:extent cx="2916098" cy="2225309"/>
            <wp:effectExtent l="0" t="0" r="0" b="0"/>
            <wp:docPr id="4" name="IM 4"/>
            <wp:cNvGraphicFramePr/>
            <a:graphic>
              <a:graphicData uri="http://schemas.openxmlformats.org/drawingml/2006/picture">
                <pic:pic>
                  <pic:nvPicPr>
                    <pic:cNvPr id="4" name="IM 4"/>
                    <pic:cNvPicPr/>
                  </pic:nvPicPr>
                  <pic:blipFill>
                    <a:blip r:embed="rId23"/>
                    <a:stretch>
                      <a:fillRect/>
                    </a:stretch>
                  </pic:blipFill>
                  <pic:spPr>
                    <a:xfrm rot="0">
                      <a:off x="0" y="0"/>
                      <a:ext cx="2916098" cy="2225309"/>
                    </a:xfrm>
                    <a:prstGeom prst="rect">
                      <a:avLst/>
                    </a:prstGeom>
                  </pic:spPr>
                </pic:pic>
              </a:graphicData>
            </a:graphic>
          </wp:inline>
        </w:drawing>
      </w:r>
    </w:p>
    <w:p>
      <w:pPr>
        <w:pStyle w:val="BodyText"/>
        <w:spacing w:line="241" w:lineRule="auto"/>
        <w:rPr/>
      </w:pPr>
      <w:r/>
    </w:p>
    <w:p>
      <w:pPr>
        <w:pStyle w:val="BodyText"/>
        <w:spacing w:line="241" w:lineRule="auto"/>
        <w:rPr/>
      </w:pPr>
      <w:r/>
    </w:p>
    <w:p>
      <w:pPr>
        <w:pStyle w:val="BodyText"/>
        <w:spacing w:line="241" w:lineRule="auto"/>
        <w:rPr/>
      </w:pPr>
      <w:r/>
    </w:p>
    <w:p>
      <w:pPr>
        <w:ind w:left="913"/>
        <w:spacing w:before="99" w:line="239" w:lineRule="exact"/>
        <w:outlineLvl w:val="1"/>
        <w:rPr>
          <w:rFonts w:ascii="Microsoft YaHei" w:hAnsi="Microsoft YaHei" w:eastAsia="Microsoft YaHei" w:cs="Microsoft YaHei"/>
          <w:sz w:val="23"/>
          <w:szCs w:val="23"/>
        </w:rPr>
      </w:pPr>
      <w:bookmarkStart w:name="bookmark26" w:id="40"/>
      <w:bookmarkEnd w:id="40"/>
      <w:r>
        <w:rPr>
          <w:rFonts w:ascii="Microsoft YaHei" w:hAnsi="Microsoft YaHei" w:eastAsia="Microsoft YaHei" w:cs="Microsoft YaHei"/>
          <w:sz w:val="23"/>
          <w:szCs w:val="23"/>
          <w:spacing w:val="8"/>
          <w:position w:val="-1"/>
        </w:rPr>
        <w:t>六、一般公共预算基本支出情况说明</w:t>
      </w:r>
    </w:p>
    <w:p>
      <w:pPr>
        <w:ind w:left="917" w:right="875" w:firstLine="473"/>
        <w:spacing w:before="231" w:line="347" w:lineRule="auto"/>
        <w:rPr>
          <w:rFonts w:ascii="FangSong" w:hAnsi="FangSong" w:eastAsia="FangSong" w:cs="FangSong"/>
          <w:sz w:val="24"/>
          <w:szCs w:val="24"/>
        </w:rPr>
      </w:pPr>
      <w:r>
        <w:rPr>
          <w:rFonts w:ascii="FangSong" w:hAnsi="FangSong" w:eastAsia="FangSong" w:cs="FangSong"/>
          <w:sz w:val="24"/>
          <w:szCs w:val="24"/>
          <w:spacing w:val="4"/>
        </w:rPr>
        <w:t>2026年度长治市规划和自然资源局开发区分局一般公共预算安排基本支出3</w:t>
      </w:r>
      <w:r>
        <w:rPr>
          <w:rFonts w:ascii="FangSong" w:hAnsi="FangSong" w:eastAsia="FangSong" w:cs="FangSong"/>
          <w:sz w:val="24"/>
          <w:szCs w:val="24"/>
          <w:spacing w:val="3"/>
        </w:rPr>
        <w:t>6.89</w:t>
      </w:r>
      <w:r>
        <w:rPr>
          <w:rFonts w:ascii="FangSong" w:hAnsi="FangSong" w:eastAsia="FangSong" w:cs="FangSong"/>
          <w:sz w:val="24"/>
          <w:szCs w:val="24"/>
          <w:spacing w:val="-10"/>
        </w:rPr>
        <w:t>万元，其中：</w:t>
      </w:r>
    </w:p>
    <w:p>
      <w:pPr>
        <w:ind w:left="917" w:right="875" w:firstLine="481"/>
        <w:spacing w:before="12" w:line="352" w:lineRule="auto"/>
        <w:rPr>
          <w:rFonts w:ascii="FangSong" w:hAnsi="FangSong" w:eastAsia="FangSong" w:cs="FangSong"/>
          <w:sz w:val="24"/>
          <w:szCs w:val="24"/>
        </w:rPr>
      </w:pPr>
      <w:r>
        <w:rPr>
          <w:rFonts w:ascii="FangSong" w:hAnsi="FangSong" w:eastAsia="FangSong" w:cs="FangSong"/>
          <w:sz w:val="24"/>
          <w:szCs w:val="24"/>
          <w:spacing w:val="4"/>
        </w:rPr>
        <w:t>人员经费33.65万元，主要包括：其他工资福利支出、其他社会保障缴</w:t>
      </w:r>
      <w:r>
        <w:rPr>
          <w:rFonts w:ascii="FangSong" w:hAnsi="FangSong" w:eastAsia="FangSong" w:cs="FangSong"/>
          <w:sz w:val="24"/>
          <w:szCs w:val="24"/>
          <w:spacing w:val="3"/>
        </w:rPr>
        <w:t>费、公务</w:t>
      </w:r>
      <w:r>
        <w:rPr>
          <w:rFonts w:ascii="FangSong" w:hAnsi="FangSong" w:eastAsia="FangSong" w:cs="FangSong"/>
          <w:sz w:val="24"/>
          <w:szCs w:val="24"/>
          <w:spacing w:val="1"/>
        </w:rPr>
        <w:t>员医疗补助缴费、基本工资、机关事业单位基本养老保险缴</w:t>
      </w:r>
      <w:r>
        <w:rPr>
          <w:rFonts w:ascii="FangSong" w:hAnsi="FangSong" w:eastAsia="FangSong" w:cs="FangSong"/>
          <w:sz w:val="24"/>
          <w:szCs w:val="24"/>
        </w:rPr>
        <w:t>费、奖金、住房公积金、</w:t>
      </w:r>
      <w:r>
        <w:rPr>
          <w:rFonts w:ascii="FangSong" w:hAnsi="FangSong" w:eastAsia="FangSong" w:cs="FangSong"/>
          <w:sz w:val="24"/>
          <w:szCs w:val="24"/>
          <w:spacing w:val="-2"/>
        </w:rPr>
        <w:t>津贴补贴、职业年金缴费、职工基本医疗保险缴费等；</w:t>
      </w:r>
    </w:p>
    <w:p>
      <w:pPr>
        <w:ind w:left="922" w:right="874" w:firstLine="478"/>
        <w:spacing w:before="6" w:line="348" w:lineRule="auto"/>
        <w:rPr>
          <w:rFonts w:ascii="FangSong" w:hAnsi="FangSong" w:eastAsia="FangSong" w:cs="FangSong"/>
          <w:sz w:val="24"/>
          <w:szCs w:val="24"/>
        </w:rPr>
      </w:pPr>
      <w:r>
        <w:rPr>
          <w:rFonts w:ascii="FangSong" w:hAnsi="FangSong" w:eastAsia="FangSong" w:cs="FangSong"/>
          <w:sz w:val="24"/>
          <w:szCs w:val="24"/>
          <w:spacing w:val="1"/>
        </w:rPr>
        <w:t>公用经费3.24万元，主要包括：办公费、邮电费</w:t>
      </w:r>
      <w:r>
        <w:rPr>
          <w:rFonts w:ascii="FangSong" w:hAnsi="FangSong" w:eastAsia="FangSong" w:cs="FangSong"/>
          <w:sz w:val="24"/>
          <w:szCs w:val="24"/>
        </w:rPr>
        <w:t>、其他交通费用、其他商品和服</w:t>
      </w:r>
      <w:r>
        <w:rPr>
          <w:rFonts w:ascii="FangSong" w:hAnsi="FangSong" w:eastAsia="FangSong" w:cs="FangSong"/>
          <w:sz w:val="24"/>
          <w:szCs w:val="24"/>
          <w:spacing w:val="-8"/>
        </w:rPr>
        <w:t>务支出等。</w:t>
      </w:r>
    </w:p>
    <w:p>
      <w:pPr>
        <w:ind w:left="906"/>
        <w:spacing w:before="8" w:line="238"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5"/>
          <w:position w:val="-1"/>
        </w:rPr>
        <w:t>七、</w:t>
      </w:r>
      <w:r>
        <w:rPr>
          <w:rFonts w:ascii="Microsoft YaHei" w:hAnsi="Microsoft YaHei" w:eastAsia="Microsoft YaHei" w:cs="Microsoft YaHei"/>
          <w:sz w:val="23"/>
          <w:szCs w:val="23"/>
          <w:spacing w:val="11"/>
          <w:position w:val="-1"/>
        </w:rPr>
        <w:t xml:space="preserve">  </w:t>
      </w:r>
      <w:r>
        <w:rPr>
          <w:rFonts w:ascii="Microsoft YaHei" w:hAnsi="Microsoft YaHei" w:eastAsia="Microsoft YaHei" w:cs="Microsoft YaHei"/>
          <w:sz w:val="23"/>
          <w:szCs w:val="23"/>
          <w:spacing w:val="15"/>
          <w:position w:val="-1"/>
        </w:rPr>
        <w:t>"三公"经费增减变动原因说明</w:t>
      </w:r>
    </w:p>
    <w:p>
      <w:pPr>
        <w:ind w:left="1396"/>
        <w:spacing w:before="230" w:line="222" w:lineRule="auto"/>
        <w:rPr>
          <w:rFonts w:ascii="FangSong" w:hAnsi="FangSong" w:eastAsia="FangSong" w:cs="FangSong"/>
          <w:sz w:val="24"/>
          <w:szCs w:val="24"/>
        </w:rPr>
      </w:pPr>
      <w:r>
        <w:rPr>
          <w:rFonts w:ascii="FangSong" w:hAnsi="FangSong" w:eastAsia="FangSong" w:cs="FangSong"/>
          <w:sz w:val="24"/>
          <w:szCs w:val="24"/>
          <w:spacing w:val="-4"/>
        </w:rPr>
        <w:t>本部门无“三公”经费预算。</w:t>
      </w:r>
    </w:p>
    <w:p>
      <w:pPr>
        <w:spacing w:line="222" w:lineRule="auto"/>
        <w:sectPr>
          <w:footerReference w:type="default" r:id="rId22"/>
          <w:pgSz w:w="11900" w:h="16840"/>
          <w:pgMar w:top="642" w:right="600" w:bottom="340" w:left="600" w:header="326" w:footer="93" w:gutter="0"/>
        </w:sectPr>
        <w:rPr>
          <w:rFonts w:ascii="FangSong" w:hAnsi="FangSong" w:eastAsia="FangSong" w:cs="FangSong"/>
          <w:sz w:val="24"/>
          <w:szCs w:val="24"/>
        </w:rPr>
      </w:pPr>
    </w:p>
    <w:p>
      <w:pPr>
        <w:pStyle w:val="BodyText"/>
        <w:spacing w:line="273" w:lineRule="auto"/>
        <w:rPr/>
      </w:pPr>
      <w:r/>
    </w:p>
    <w:p>
      <w:pPr>
        <w:pStyle w:val="BodyText"/>
        <w:spacing w:line="273" w:lineRule="auto"/>
        <w:rPr/>
      </w:pPr>
      <w:r/>
    </w:p>
    <w:p>
      <w:pPr>
        <w:ind w:left="905"/>
        <w:spacing w:before="98" w:line="240" w:lineRule="exact"/>
        <w:outlineLvl w:val="1"/>
        <w:rPr>
          <w:rFonts w:ascii="Microsoft YaHei" w:hAnsi="Microsoft YaHei" w:eastAsia="Microsoft YaHei" w:cs="Microsoft YaHei"/>
          <w:sz w:val="23"/>
          <w:szCs w:val="23"/>
        </w:rPr>
      </w:pPr>
      <w:bookmarkStart w:name="bookmark28" w:id="42"/>
      <w:bookmarkEnd w:id="42"/>
      <w:r>
        <w:rPr>
          <w:rFonts w:ascii="Microsoft YaHei" w:hAnsi="Microsoft YaHei" w:eastAsia="Microsoft YaHei" w:cs="Microsoft YaHei"/>
          <w:sz w:val="23"/>
          <w:szCs w:val="23"/>
          <w:spacing w:val="8"/>
          <w:position w:val="-1"/>
        </w:rPr>
        <w:t>八、机关运行经费增减变动原因说明</w:t>
      </w:r>
    </w:p>
    <w:p>
      <w:pPr>
        <w:ind w:left="917" w:right="875" w:firstLine="479"/>
        <w:spacing w:before="229" w:line="347" w:lineRule="auto"/>
        <w:rPr>
          <w:rFonts w:ascii="FangSong" w:hAnsi="FangSong" w:eastAsia="FangSong" w:cs="FangSong"/>
          <w:sz w:val="24"/>
          <w:szCs w:val="24"/>
        </w:rPr>
      </w:pPr>
      <w:r>
        <w:rPr>
          <w:rFonts w:ascii="FangSong" w:hAnsi="FangSong" w:eastAsia="FangSong" w:cs="FangSong"/>
          <w:sz w:val="24"/>
          <w:szCs w:val="24"/>
          <w:spacing w:val="2"/>
        </w:rPr>
        <w:t>本部门2026年所属1家行政单位机关运行经费财政拨款预算3.24万元，</w:t>
      </w:r>
      <w:r>
        <w:rPr>
          <w:rFonts w:ascii="FangSong" w:hAnsi="FangSong" w:eastAsia="FangSong" w:cs="FangSong"/>
          <w:sz w:val="24"/>
          <w:szCs w:val="24"/>
          <w:spacing w:val="-55"/>
        </w:rPr>
        <w:t xml:space="preserve"> </w:t>
      </w:r>
      <w:r>
        <w:rPr>
          <w:rFonts w:ascii="FangSong" w:hAnsi="FangSong" w:eastAsia="FangSong" w:cs="FangSong"/>
          <w:sz w:val="24"/>
          <w:szCs w:val="24"/>
          <w:spacing w:val="2"/>
        </w:rPr>
        <w:t>比2025年</w:t>
      </w:r>
      <w:r>
        <w:rPr>
          <w:rFonts w:ascii="FangSong" w:hAnsi="FangSong" w:eastAsia="FangSong" w:cs="FangSong"/>
          <w:sz w:val="24"/>
          <w:szCs w:val="24"/>
          <w:spacing w:val="-2"/>
        </w:rPr>
        <w:t>预算减少1.47万元，下降31.21%，原因是人员减少。</w:t>
      </w:r>
    </w:p>
    <w:p>
      <w:pPr>
        <w:ind w:left="910"/>
        <w:spacing w:before="10" w:line="235" w:lineRule="exact"/>
        <w:outlineLvl w:val="1"/>
        <w:rPr>
          <w:rFonts w:ascii="Microsoft YaHei" w:hAnsi="Microsoft YaHei" w:eastAsia="Microsoft YaHei" w:cs="Microsoft YaHei"/>
          <w:sz w:val="23"/>
          <w:szCs w:val="23"/>
        </w:rPr>
      </w:pPr>
      <w:bookmarkStart w:name="bookmark29" w:id="43"/>
      <w:bookmarkEnd w:id="43"/>
      <w:r>
        <w:rPr>
          <w:rFonts w:ascii="Microsoft YaHei" w:hAnsi="Microsoft YaHei" w:eastAsia="Microsoft YaHei" w:cs="Microsoft YaHei"/>
          <w:sz w:val="23"/>
          <w:szCs w:val="23"/>
          <w:spacing w:val="8"/>
          <w:position w:val="-1"/>
        </w:rPr>
        <w:t>九、政府采购情况</w:t>
      </w:r>
    </w:p>
    <w:p>
      <w:pPr>
        <w:ind w:left="926" w:right="874" w:firstLine="465"/>
        <w:spacing w:before="231" w:line="353" w:lineRule="auto"/>
        <w:jc w:val="both"/>
        <w:rPr>
          <w:rFonts w:ascii="FangSong" w:hAnsi="FangSong" w:eastAsia="FangSong" w:cs="FangSong"/>
          <w:sz w:val="24"/>
          <w:szCs w:val="24"/>
        </w:rPr>
      </w:pPr>
      <w:r>
        <w:rPr>
          <w:rFonts w:ascii="FangSong" w:hAnsi="FangSong" w:eastAsia="FangSong" w:cs="FangSong"/>
          <w:sz w:val="24"/>
          <w:szCs w:val="24"/>
          <w:spacing w:val="1"/>
        </w:rPr>
        <w:t>2026年长治市规划和自然资源局开发区分局政府采购预算总额1,5</w:t>
      </w:r>
      <w:r>
        <w:rPr>
          <w:rFonts w:ascii="FangSong" w:hAnsi="FangSong" w:eastAsia="FangSong" w:cs="FangSong"/>
          <w:sz w:val="24"/>
          <w:szCs w:val="24"/>
        </w:rPr>
        <w:t>75.32万元。其</w:t>
      </w:r>
      <w:r>
        <w:rPr>
          <w:rFonts w:ascii="FangSong" w:hAnsi="FangSong" w:eastAsia="FangSong" w:cs="FangSong"/>
          <w:sz w:val="24"/>
          <w:szCs w:val="24"/>
        </w:rPr>
        <w:t>中：政府采购货物预算1.00万元、政府采购工程预算573.15万元、政府采购服务预算</w:t>
      </w:r>
      <w:r>
        <w:rPr>
          <w:rFonts w:ascii="FangSong" w:hAnsi="FangSong" w:eastAsia="FangSong" w:cs="FangSong"/>
          <w:sz w:val="24"/>
          <w:szCs w:val="24"/>
          <w:spacing w:val="-5"/>
        </w:rPr>
        <w:t>1,001.17万元。</w:t>
      </w:r>
    </w:p>
    <w:p>
      <w:pPr>
        <w:ind w:left="912"/>
        <w:spacing w:line="239" w:lineRule="exact"/>
        <w:outlineLvl w:val="1"/>
        <w:rPr>
          <w:rFonts w:ascii="Microsoft YaHei" w:hAnsi="Microsoft YaHei" w:eastAsia="Microsoft YaHei" w:cs="Microsoft YaHei"/>
          <w:sz w:val="23"/>
          <w:szCs w:val="23"/>
        </w:rPr>
      </w:pPr>
      <w:bookmarkStart w:name="bookmark30" w:id="44"/>
      <w:bookmarkEnd w:id="44"/>
      <w:r>
        <w:rPr>
          <w:rFonts w:ascii="Microsoft YaHei" w:hAnsi="Microsoft YaHei" w:eastAsia="Microsoft YaHei" w:cs="Microsoft YaHei"/>
          <w:sz w:val="23"/>
          <w:szCs w:val="23"/>
          <w:spacing w:val="8"/>
          <w:position w:val="-1"/>
        </w:rPr>
        <w:t>十、绩效管理情况</w:t>
      </w:r>
    </w:p>
    <w:p>
      <w:pPr>
        <w:ind w:left="1406"/>
        <w:spacing w:before="216" w:line="222" w:lineRule="auto"/>
        <w:rPr>
          <w:rFonts w:ascii="FangSong" w:hAnsi="FangSong" w:eastAsia="FangSong" w:cs="FangSong"/>
          <w:sz w:val="24"/>
          <w:szCs w:val="24"/>
        </w:rPr>
      </w:pPr>
      <w:r>
        <w:rPr>
          <w:rFonts w:ascii="FangSong" w:hAnsi="FangSong" w:eastAsia="FangSong" w:cs="FangSong"/>
          <w:sz w:val="24"/>
          <w:szCs w:val="24"/>
          <w:spacing w:val="-3"/>
        </w:rPr>
        <w:t>1、整体绩效目标</w:t>
      </w:r>
    </w:p>
    <w:p>
      <w:pPr>
        <w:ind w:left="915" w:right="874" w:hanging="4"/>
        <w:spacing w:before="176" w:line="352" w:lineRule="auto"/>
        <w:jc w:val="both"/>
        <w:rPr>
          <w:rFonts w:ascii="FangSong" w:hAnsi="FangSong" w:eastAsia="FangSong" w:cs="FangSong"/>
          <w:sz w:val="24"/>
          <w:szCs w:val="24"/>
        </w:rPr>
      </w:pPr>
      <w:r>
        <w:rPr>
          <w:rFonts w:ascii="FangSong" w:hAnsi="FangSong" w:eastAsia="FangSong" w:cs="FangSong"/>
          <w:sz w:val="24"/>
          <w:szCs w:val="24"/>
          <w:spacing w:val="1"/>
        </w:rPr>
        <w:t>2026年编报部门整体支出绩效目标，涉及部门预算资金25227.</w:t>
      </w:r>
      <w:r>
        <w:rPr>
          <w:rFonts w:ascii="FangSong" w:hAnsi="FangSong" w:eastAsia="FangSong" w:cs="FangSong"/>
          <w:sz w:val="24"/>
          <w:szCs w:val="24"/>
        </w:rPr>
        <w:t>4946万元，其中基本支</w:t>
      </w:r>
      <w:r>
        <w:rPr>
          <w:rFonts w:ascii="FangSong" w:hAnsi="FangSong" w:eastAsia="FangSong" w:cs="FangSong"/>
          <w:sz w:val="24"/>
          <w:szCs w:val="24"/>
          <w:spacing w:val="4"/>
        </w:rPr>
        <w:t>出0万元，项目支出25227.4946</w:t>
      </w:r>
      <w:r>
        <w:rPr>
          <w:rFonts w:ascii="FangSong" w:hAnsi="FangSong" w:eastAsia="FangSong" w:cs="FangSong"/>
          <w:sz w:val="24"/>
          <w:szCs w:val="24"/>
          <w:spacing w:val="3"/>
        </w:rPr>
        <w:t>万元；机关及下属预算单位1个，其中1个单位（包括</w:t>
      </w:r>
      <w:r>
        <w:rPr>
          <w:rFonts w:ascii="FangSong" w:hAnsi="FangSong" w:eastAsia="FangSong" w:cs="FangSong"/>
          <w:sz w:val="24"/>
          <w:szCs w:val="24"/>
          <w:spacing w:val="-1"/>
        </w:rPr>
        <w:t>机关）编报了单位整体绩效目标，涉及资金25</w:t>
      </w:r>
      <w:r>
        <w:rPr>
          <w:rFonts w:ascii="FangSong" w:hAnsi="FangSong" w:eastAsia="FangSong" w:cs="FangSong"/>
          <w:sz w:val="24"/>
          <w:szCs w:val="24"/>
          <w:spacing w:val="-2"/>
        </w:rPr>
        <w:t>227.4946万元。</w:t>
      </w:r>
    </w:p>
    <w:p>
      <w:pPr>
        <w:ind w:left="1391"/>
        <w:spacing w:before="7" w:line="222" w:lineRule="auto"/>
        <w:rPr>
          <w:rFonts w:ascii="FangSong" w:hAnsi="FangSong" w:eastAsia="FangSong" w:cs="FangSong"/>
          <w:sz w:val="24"/>
          <w:szCs w:val="24"/>
        </w:rPr>
      </w:pPr>
      <w:r>
        <w:rPr>
          <w:rFonts w:ascii="FangSong" w:hAnsi="FangSong" w:eastAsia="FangSong" w:cs="FangSong"/>
          <w:sz w:val="24"/>
          <w:szCs w:val="24"/>
          <w:spacing w:val="-2"/>
        </w:rPr>
        <w:t>2、项目绩效目标</w:t>
      </w:r>
    </w:p>
    <w:p>
      <w:pPr>
        <w:ind w:left="915" w:right="874" w:firstLine="476"/>
        <w:spacing w:before="176" w:line="352" w:lineRule="auto"/>
        <w:rPr>
          <w:rFonts w:ascii="FangSong" w:hAnsi="FangSong" w:eastAsia="FangSong" w:cs="FangSong"/>
          <w:sz w:val="24"/>
          <w:szCs w:val="24"/>
        </w:rPr>
      </w:pPr>
      <w:r>
        <w:rPr>
          <w:rFonts w:ascii="FangSong" w:hAnsi="FangSong" w:eastAsia="FangSong" w:cs="FangSong"/>
          <w:sz w:val="24"/>
          <w:szCs w:val="24"/>
          <w:spacing w:val="1"/>
        </w:rPr>
        <w:t>2026年长治市规划和自然资源局开发区分局纳入绩效目标管理的二级项</w:t>
      </w:r>
      <w:r>
        <w:rPr>
          <w:rFonts w:ascii="FangSong" w:hAnsi="FangSong" w:eastAsia="FangSong" w:cs="FangSong"/>
          <w:sz w:val="24"/>
          <w:szCs w:val="24"/>
        </w:rPr>
        <w:t>目62个，</w:t>
      </w:r>
      <w:r>
        <w:rPr>
          <w:rFonts w:ascii="FangSong" w:hAnsi="FangSong" w:eastAsia="FangSong" w:cs="FangSong"/>
          <w:sz w:val="24"/>
          <w:szCs w:val="24"/>
          <w:spacing w:val="3"/>
        </w:rPr>
        <w:t>共计金额25,227.49万元。其中：其他运转类项目23个，涉及金额2,227.58万元；特</w:t>
      </w:r>
      <w:r>
        <w:rPr>
          <w:rFonts w:ascii="FangSong" w:hAnsi="FangSong" w:eastAsia="FangSong" w:cs="FangSong"/>
          <w:sz w:val="24"/>
          <w:szCs w:val="24"/>
          <w:spacing w:val="4"/>
        </w:rPr>
        <w:t>定目标类项目39个，涉及金额22,99</w:t>
      </w:r>
      <w:r>
        <w:rPr>
          <w:rFonts w:ascii="FangSong" w:hAnsi="FangSong" w:eastAsia="FangSong" w:cs="FangSong"/>
          <w:sz w:val="24"/>
          <w:szCs w:val="24"/>
          <w:spacing w:val="3"/>
        </w:rPr>
        <w:t>9.92万元。公开项目绩效目标62个，涉及项目金</w:t>
      </w:r>
      <w:r>
        <w:rPr>
          <w:rFonts w:ascii="FangSong" w:hAnsi="FangSong" w:eastAsia="FangSong" w:cs="FangSong"/>
          <w:sz w:val="24"/>
          <w:szCs w:val="24"/>
          <w:spacing w:val="2"/>
        </w:rPr>
        <w:t>额25,227.49万元，</w:t>
      </w:r>
      <w:r>
        <w:rPr>
          <w:rFonts w:ascii="FangSong" w:hAnsi="FangSong" w:eastAsia="FangSong" w:cs="FangSong"/>
          <w:sz w:val="24"/>
          <w:szCs w:val="24"/>
          <w:spacing w:val="-57"/>
        </w:rPr>
        <w:t xml:space="preserve"> </w:t>
      </w:r>
      <w:r>
        <w:rPr>
          <w:rFonts w:ascii="FangSong" w:hAnsi="FangSong" w:eastAsia="FangSong" w:cs="FangSong"/>
          <w:sz w:val="24"/>
          <w:szCs w:val="24"/>
          <w:spacing w:val="2"/>
        </w:rPr>
        <w:t>占部门（单位）项目支出总额的100%。其中：其他运转类项目</w:t>
      </w:r>
      <w:r>
        <w:rPr>
          <w:rFonts w:ascii="FangSong" w:hAnsi="FangSong" w:eastAsia="FangSong" w:cs="FangSong"/>
          <w:sz w:val="24"/>
          <w:szCs w:val="24"/>
          <w:spacing w:val="1"/>
        </w:rPr>
        <w:t>23</w:t>
      </w:r>
      <w:r>
        <w:rPr>
          <w:rFonts w:ascii="FangSong" w:hAnsi="FangSong" w:eastAsia="FangSong" w:cs="FangSong"/>
          <w:sz w:val="24"/>
          <w:szCs w:val="24"/>
          <w:spacing w:val="3"/>
        </w:rPr>
        <w:t>个，涉及项目金额2,227.58万元；特定目标类项目39个，涉及项目金额22,999.92万</w:t>
      </w:r>
      <w:r>
        <w:rPr>
          <w:rFonts w:ascii="FangSong" w:hAnsi="FangSong" w:eastAsia="FangSong" w:cs="FangSong"/>
          <w:sz w:val="24"/>
          <w:szCs w:val="24"/>
          <w:spacing w:val="-12"/>
        </w:rPr>
        <w:t>元。</w:t>
      </w:r>
    </w:p>
    <w:p>
      <w:pPr>
        <w:ind w:left="915"/>
        <w:spacing w:line="222" w:lineRule="auto"/>
        <w:rPr>
          <w:rFonts w:ascii="FangSong" w:hAnsi="FangSong" w:eastAsia="FangSong" w:cs="FangSong"/>
          <w:sz w:val="24"/>
          <w:szCs w:val="24"/>
        </w:rPr>
      </w:pPr>
      <w:r>
        <w:rPr>
          <w:rFonts w:ascii="FangSong" w:hAnsi="FangSong" w:eastAsia="FangSong" w:cs="FangSong"/>
          <w:sz w:val="24"/>
          <w:szCs w:val="24"/>
          <w:spacing w:val="-2"/>
        </w:rPr>
        <w:t>（项目绩效目标表公开情况见附件）</w:t>
      </w:r>
    </w:p>
    <w:p>
      <w:pPr>
        <w:spacing w:line="222" w:lineRule="auto"/>
        <w:sectPr>
          <w:footerReference w:type="default" r:id="rId24"/>
          <w:pgSz w:w="11900" w:h="16840"/>
          <w:pgMar w:top="642" w:right="600" w:bottom="340" w:left="600" w:header="326" w:footer="93" w:gutter="0"/>
        </w:sectPr>
        <w:rPr>
          <w:rFonts w:ascii="FangSong" w:hAnsi="FangSong" w:eastAsia="FangSong" w:cs="FangSong"/>
          <w:sz w:val="24"/>
          <w:szCs w:val="24"/>
        </w:rPr>
      </w:pPr>
    </w:p>
    <w:p>
      <w:pPr>
        <w:pStyle w:val="BodyText"/>
        <w:spacing w:line="277" w:lineRule="auto"/>
        <w:rPr/>
      </w:pPr>
      <w:r/>
    </w:p>
    <w:p>
      <w:pPr>
        <w:pStyle w:val="BodyText"/>
        <w:spacing w:line="278" w:lineRule="auto"/>
        <w:rPr/>
      </w:pPr>
      <w:r/>
    </w:p>
    <w:p>
      <w:pPr>
        <w:ind w:firstLine="1665"/>
        <w:spacing w:line="12150" w:lineRule="exact"/>
        <w:rPr/>
      </w:pPr>
      <w:r>
        <w:rPr>
          <w:position w:val="-243"/>
        </w:rPr>
        <w:drawing>
          <wp:inline distT="0" distB="0" distL="0" distR="0">
            <wp:extent cx="4695825" cy="7715250"/>
            <wp:effectExtent l="0" t="0" r="0" b="0"/>
            <wp:docPr id="6" name="IM 6"/>
            <wp:cNvGraphicFramePr/>
            <a:graphic>
              <a:graphicData uri="http://schemas.openxmlformats.org/drawingml/2006/picture">
                <pic:pic>
                  <pic:nvPicPr>
                    <pic:cNvPr id="6" name="IM 6"/>
                    <pic:cNvPicPr/>
                  </pic:nvPicPr>
                  <pic:blipFill>
                    <a:blip r:embed="rId26"/>
                    <a:stretch>
                      <a:fillRect/>
                    </a:stretch>
                  </pic:blipFill>
                  <pic:spPr>
                    <a:xfrm rot="0">
                      <a:off x="0" y="0"/>
                      <a:ext cx="4695825" cy="7715250"/>
                    </a:xfrm>
                    <a:prstGeom prst="rect">
                      <a:avLst/>
                    </a:prstGeom>
                  </pic:spPr>
                </pic:pic>
              </a:graphicData>
            </a:graphic>
          </wp:inline>
        </w:drawing>
      </w:r>
    </w:p>
    <w:p>
      <w:pPr>
        <w:spacing w:line="12150" w:lineRule="exact"/>
        <w:sectPr>
          <w:footerReference w:type="default" r:id="rId25"/>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665"/>
        <w:spacing w:line="12270" w:lineRule="exact"/>
        <w:rPr/>
      </w:pPr>
      <w:r>
        <w:rPr>
          <w:position w:val="-245"/>
        </w:rPr>
        <w:drawing>
          <wp:inline distT="0" distB="0" distL="0" distR="0">
            <wp:extent cx="4695825" cy="7791450"/>
            <wp:effectExtent l="0" t="0" r="0" b="0"/>
            <wp:docPr id="8" name="IM 8"/>
            <wp:cNvGraphicFramePr/>
            <a:graphic>
              <a:graphicData uri="http://schemas.openxmlformats.org/drawingml/2006/picture">
                <pic:pic>
                  <pic:nvPicPr>
                    <pic:cNvPr id="8" name="IM 8"/>
                    <pic:cNvPicPr/>
                  </pic:nvPicPr>
                  <pic:blipFill>
                    <a:blip r:embed="rId28"/>
                    <a:stretch>
                      <a:fillRect/>
                    </a:stretch>
                  </pic:blipFill>
                  <pic:spPr>
                    <a:xfrm rot="0">
                      <a:off x="0" y="0"/>
                      <a:ext cx="4695825" cy="7791450"/>
                    </a:xfrm>
                    <a:prstGeom prst="rect">
                      <a:avLst/>
                    </a:prstGeom>
                  </pic:spPr>
                </pic:pic>
              </a:graphicData>
            </a:graphic>
          </wp:inline>
        </w:drawing>
      </w:r>
    </w:p>
    <w:p>
      <w:pPr>
        <w:spacing w:line="12270" w:lineRule="exact"/>
        <w:sectPr>
          <w:footerReference w:type="default" r:id="rId27"/>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0" name="IM 10"/>
            <wp:cNvGraphicFramePr/>
            <a:graphic>
              <a:graphicData uri="http://schemas.openxmlformats.org/drawingml/2006/picture">
                <pic:pic>
                  <pic:nvPicPr>
                    <pic:cNvPr id="10" name="IM 10"/>
                    <pic:cNvPicPr/>
                  </pic:nvPicPr>
                  <pic:blipFill>
                    <a:blip r:embed="rId30"/>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2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2" name="IM 12"/>
            <wp:cNvGraphicFramePr/>
            <a:graphic>
              <a:graphicData uri="http://schemas.openxmlformats.org/drawingml/2006/picture">
                <pic:pic>
                  <pic:nvPicPr>
                    <pic:cNvPr id="12" name="IM 12"/>
                    <pic:cNvPicPr/>
                  </pic:nvPicPr>
                  <pic:blipFill>
                    <a:blip r:embed="rId32"/>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3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4" name="IM 14"/>
            <wp:cNvGraphicFramePr/>
            <a:graphic>
              <a:graphicData uri="http://schemas.openxmlformats.org/drawingml/2006/picture">
                <pic:pic>
                  <pic:nvPicPr>
                    <pic:cNvPr id="14" name="IM 14"/>
                    <pic:cNvPicPr/>
                  </pic:nvPicPr>
                  <pic:blipFill>
                    <a:blip r:embed="rId3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3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6" name="IM 16"/>
            <wp:cNvGraphicFramePr/>
            <a:graphic>
              <a:graphicData uri="http://schemas.openxmlformats.org/drawingml/2006/picture">
                <pic:pic>
                  <pic:nvPicPr>
                    <pic:cNvPr id="16" name="IM 16"/>
                    <pic:cNvPicPr/>
                  </pic:nvPicPr>
                  <pic:blipFill>
                    <a:blip r:embed="rId36"/>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3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8" name="IM 18"/>
            <wp:cNvGraphicFramePr/>
            <a:graphic>
              <a:graphicData uri="http://schemas.openxmlformats.org/drawingml/2006/picture">
                <pic:pic>
                  <pic:nvPicPr>
                    <pic:cNvPr id="18" name="IM 18"/>
                    <pic:cNvPicPr/>
                  </pic:nvPicPr>
                  <pic:blipFill>
                    <a:blip r:embed="rId38"/>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37"/>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20" name="IM 20"/>
            <wp:cNvGraphicFramePr/>
            <a:graphic>
              <a:graphicData uri="http://schemas.openxmlformats.org/drawingml/2006/picture">
                <pic:pic>
                  <pic:nvPicPr>
                    <pic:cNvPr id="20" name="IM 20"/>
                    <pic:cNvPicPr/>
                  </pic:nvPicPr>
                  <pic:blipFill>
                    <a:blip r:embed="rId40"/>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3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22" name="IM 22"/>
            <wp:cNvGraphicFramePr/>
            <a:graphic>
              <a:graphicData uri="http://schemas.openxmlformats.org/drawingml/2006/picture">
                <pic:pic>
                  <pic:nvPicPr>
                    <pic:cNvPr id="22" name="IM 22"/>
                    <pic:cNvPicPr/>
                  </pic:nvPicPr>
                  <pic:blipFill>
                    <a:blip r:embed="rId42"/>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4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24" name="IM 24"/>
            <wp:cNvGraphicFramePr/>
            <a:graphic>
              <a:graphicData uri="http://schemas.openxmlformats.org/drawingml/2006/picture">
                <pic:pic>
                  <pic:nvPicPr>
                    <pic:cNvPr id="24" name="IM 24"/>
                    <pic:cNvPicPr/>
                  </pic:nvPicPr>
                  <pic:blipFill>
                    <a:blip r:embed="rId4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4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26" name="IM 26"/>
            <wp:cNvGraphicFramePr/>
            <a:graphic>
              <a:graphicData uri="http://schemas.openxmlformats.org/drawingml/2006/picture">
                <pic:pic>
                  <pic:nvPicPr>
                    <pic:cNvPr id="26" name="IM 26"/>
                    <pic:cNvPicPr/>
                  </pic:nvPicPr>
                  <pic:blipFill>
                    <a:blip r:embed="rId46"/>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4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28" name="IM 28"/>
            <wp:cNvGraphicFramePr/>
            <a:graphic>
              <a:graphicData uri="http://schemas.openxmlformats.org/drawingml/2006/picture">
                <pic:pic>
                  <pic:nvPicPr>
                    <pic:cNvPr id="28" name="IM 28"/>
                    <pic:cNvPicPr/>
                  </pic:nvPicPr>
                  <pic:blipFill>
                    <a:blip r:embed="rId48"/>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4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30" name="IM 30"/>
            <wp:cNvGraphicFramePr/>
            <a:graphic>
              <a:graphicData uri="http://schemas.openxmlformats.org/drawingml/2006/picture">
                <pic:pic>
                  <pic:nvPicPr>
                    <pic:cNvPr id="30" name="IM 30"/>
                    <pic:cNvPicPr/>
                  </pic:nvPicPr>
                  <pic:blipFill>
                    <a:blip r:embed="rId50"/>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4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32" name="IM 32"/>
            <wp:cNvGraphicFramePr/>
            <a:graphic>
              <a:graphicData uri="http://schemas.openxmlformats.org/drawingml/2006/picture">
                <pic:pic>
                  <pic:nvPicPr>
                    <pic:cNvPr id="32" name="IM 32"/>
                    <pic:cNvPicPr/>
                  </pic:nvPicPr>
                  <pic:blipFill>
                    <a:blip r:embed="rId52"/>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5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34" name="IM 34"/>
            <wp:cNvGraphicFramePr/>
            <a:graphic>
              <a:graphicData uri="http://schemas.openxmlformats.org/drawingml/2006/picture">
                <pic:pic>
                  <pic:nvPicPr>
                    <pic:cNvPr id="34" name="IM 34"/>
                    <pic:cNvPicPr/>
                  </pic:nvPicPr>
                  <pic:blipFill>
                    <a:blip r:embed="rId5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5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36" name="IM 36"/>
            <wp:cNvGraphicFramePr/>
            <a:graphic>
              <a:graphicData uri="http://schemas.openxmlformats.org/drawingml/2006/picture">
                <pic:pic>
                  <pic:nvPicPr>
                    <pic:cNvPr id="36" name="IM 36"/>
                    <pic:cNvPicPr/>
                  </pic:nvPicPr>
                  <pic:blipFill>
                    <a:blip r:embed="rId56"/>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5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38" name="IM 38"/>
            <wp:cNvGraphicFramePr/>
            <a:graphic>
              <a:graphicData uri="http://schemas.openxmlformats.org/drawingml/2006/picture">
                <pic:pic>
                  <pic:nvPicPr>
                    <pic:cNvPr id="38" name="IM 38"/>
                    <pic:cNvPicPr/>
                  </pic:nvPicPr>
                  <pic:blipFill>
                    <a:blip r:embed="rId58"/>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5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40" name="IM 40"/>
            <wp:cNvGraphicFramePr/>
            <a:graphic>
              <a:graphicData uri="http://schemas.openxmlformats.org/drawingml/2006/picture">
                <pic:pic>
                  <pic:nvPicPr>
                    <pic:cNvPr id="40" name="IM 40"/>
                    <pic:cNvPicPr/>
                  </pic:nvPicPr>
                  <pic:blipFill>
                    <a:blip r:embed="rId60"/>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5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42" name="IM 42"/>
            <wp:cNvGraphicFramePr/>
            <a:graphic>
              <a:graphicData uri="http://schemas.openxmlformats.org/drawingml/2006/picture">
                <pic:pic>
                  <pic:nvPicPr>
                    <pic:cNvPr id="42" name="IM 42"/>
                    <pic:cNvPicPr/>
                  </pic:nvPicPr>
                  <pic:blipFill>
                    <a:blip r:embed="rId62"/>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6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44" name="IM 44"/>
            <wp:cNvGraphicFramePr/>
            <a:graphic>
              <a:graphicData uri="http://schemas.openxmlformats.org/drawingml/2006/picture">
                <pic:pic>
                  <pic:nvPicPr>
                    <pic:cNvPr id="44" name="IM 44"/>
                    <pic:cNvPicPr/>
                  </pic:nvPicPr>
                  <pic:blipFill>
                    <a:blip r:embed="rId6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6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46" name="IM 46"/>
            <wp:cNvGraphicFramePr/>
            <a:graphic>
              <a:graphicData uri="http://schemas.openxmlformats.org/drawingml/2006/picture">
                <pic:pic>
                  <pic:nvPicPr>
                    <pic:cNvPr id="46" name="IM 46"/>
                    <pic:cNvPicPr/>
                  </pic:nvPicPr>
                  <pic:blipFill>
                    <a:blip r:embed="rId66"/>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6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48" name="IM 48"/>
            <wp:cNvGraphicFramePr/>
            <a:graphic>
              <a:graphicData uri="http://schemas.openxmlformats.org/drawingml/2006/picture">
                <pic:pic>
                  <pic:nvPicPr>
                    <pic:cNvPr id="48" name="IM 48"/>
                    <pic:cNvPicPr/>
                  </pic:nvPicPr>
                  <pic:blipFill>
                    <a:blip r:embed="rId68"/>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6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285" w:lineRule="exact"/>
        <w:rPr/>
      </w:pPr>
      <w:r>
        <w:rPr>
          <w:position w:val="-245"/>
        </w:rPr>
        <w:drawing>
          <wp:inline distT="0" distB="0" distL="0" distR="0">
            <wp:extent cx="4695825" cy="7800975"/>
            <wp:effectExtent l="0" t="0" r="0" b="0"/>
            <wp:docPr id="50" name="IM 50"/>
            <wp:cNvGraphicFramePr/>
            <a:graphic>
              <a:graphicData uri="http://schemas.openxmlformats.org/drawingml/2006/picture">
                <pic:pic>
                  <pic:nvPicPr>
                    <pic:cNvPr id="50" name="IM 50"/>
                    <pic:cNvPicPr/>
                  </pic:nvPicPr>
                  <pic:blipFill>
                    <a:blip r:embed="rId70"/>
                    <a:stretch>
                      <a:fillRect/>
                    </a:stretch>
                  </pic:blipFill>
                  <pic:spPr>
                    <a:xfrm rot="0">
                      <a:off x="0" y="0"/>
                      <a:ext cx="4695825" cy="7800975"/>
                    </a:xfrm>
                    <a:prstGeom prst="rect">
                      <a:avLst/>
                    </a:prstGeom>
                  </pic:spPr>
                </pic:pic>
              </a:graphicData>
            </a:graphic>
          </wp:inline>
        </w:drawing>
      </w:r>
    </w:p>
    <w:p>
      <w:pPr>
        <w:spacing w:line="12285" w:lineRule="exact"/>
        <w:sectPr>
          <w:footerReference w:type="default" r:id="rId6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65" w:lineRule="exact"/>
        <w:rPr/>
      </w:pPr>
      <w:r>
        <w:rPr>
          <w:position w:val="-243"/>
        </w:rPr>
        <w:drawing>
          <wp:inline distT="0" distB="0" distL="0" distR="0">
            <wp:extent cx="4695825" cy="7724775"/>
            <wp:effectExtent l="0" t="0" r="0" b="0"/>
            <wp:docPr id="52" name="IM 52"/>
            <wp:cNvGraphicFramePr/>
            <a:graphic>
              <a:graphicData uri="http://schemas.openxmlformats.org/drawingml/2006/picture">
                <pic:pic>
                  <pic:nvPicPr>
                    <pic:cNvPr id="52" name="IM 52"/>
                    <pic:cNvPicPr/>
                  </pic:nvPicPr>
                  <pic:blipFill>
                    <a:blip r:embed="rId72"/>
                    <a:stretch>
                      <a:fillRect/>
                    </a:stretch>
                  </pic:blipFill>
                  <pic:spPr>
                    <a:xfrm rot="0">
                      <a:off x="0" y="0"/>
                      <a:ext cx="4695825" cy="7724775"/>
                    </a:xfrm>
                    <a:prstGeom prst="rect">
                      <a:avLst/>
                    </a:prstGeom>
                  </pic:spPr>
                </pic:pic>
              </a:graphicData>
            </a:graphic>
          </wp:inline>
        </w:drawing>
      </w:r>
    </w:p>
    <w:p>
      <w:pPr>
        <w:spacing w:line="12165" w:lineRule="exact"/>
        <w:sectPr>
          <w:footerReference w:type="default" r:id="rId7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54" name="IM 54"/>
            <wp:cNvGraphicFramePr/>
            <a:graphic>
              <a:graphicData uri="http://schemas.openxmlformats.org/drawingml/2006/picture">
                <pic:pic>
                  <pic:nvPicPr>
                    <pic:cNvPr id="54" name="IM 54"/>
                    <pic:cNvPicPr/>
                  </pic:nvPicPr>
                  <pic:blipFill>
                    <a:blip r:embed="rId7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7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56" name="IM 56"/>
            <wp:cNvGraphicFramePr/>
            <a:graphic>
              <a:graphicData uri="http://schemas.openxmlformats.org/drawingml/2006/picture">
                <pic:pic>
                  <pic:nvPicPr>
                    <pic:cNvPr id="56" name="IM 56"/>
                    <pic:cNvPicPr/>
                  </pic:nvPicPr>
                  <pic:blipFill>
                    <a:blip r:embed="rId76"/>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7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58" name="IM 58"/>
            <wp:cNvGraphicFramePr/>
            <a:graphic>
              <a:graphicData uri="http://schemas.openxmlformats.org/drawingml/2006/picture">
                <pic:pic>
                  <pic:nvPicPr>
                    <pic:cNvPr id="58" name="IM 58"/>
                    <pic:cNvPicPr/>
                  </pic:nvPicPr>
                  <pic:blipFill>
                    <a:blip r:embed="rId78"/>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7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60" name="IM 60"/>
            <wp:cNvGraphicFramePr/>
            <a:graphic>
              <a:graphicData uri="http://schemas.openxmlformats.org/drawingml/2006/picture">
                <pic:pic>
                  <pic:nvPicPr>
                    <pic:cNvPr id="60" name="IM 60"/>
                    <pic:cNvPicPr/>
                  </pic:nvPicPr>
                  <pic:blipFill>
                    <a:blip r:embed="rId80"/>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7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62" name="IM 62"/>
            <wp:cNvGraphicFramePr/>
            <a:graphic>
              <a:graphicData uri="http://schemas.openxmlformats.org/drawingml/2006/picture">
                <pic:pic>
                  <pic:nvPicPr>
                    <pic:cNvPr id="62" name="IM 62"/>
                    <pic:cNvPicPr/>
                  </pic:nvPicPr>
                  <pic:blipFill>
                    <a:blip r:embed="rId82"/>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8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64" name="IM 64"/>
            <wp:cNvGraphicFramePr/>
            <a:graphic>
              <a:graphicData uri="http://schemas.openxmlformats.org/drawingml/2006/picture">
                <pic:pic>
                  <pic:nvPicPr>
                    <pic:cNvPr id="64" name="IM 64"/>
                    <pic:cNvPicPr/>
                  </pic:nvPicPr>
                  <pic:blipFill>
                    <a:blip r:embed="rId8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8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1955" w:lineRule="exact"/>
        <w:rPr/>
      </w:pPr>
      <w:r>
        <w:rPr>
          <w:position w:val="-239"/>
        </w:rPr>
        <w:drawing>
          <wp:inline distT="0" distB="0" distL="0" distR="0">
            <wp:extent cx="4695825" cy="7591425"/>
            <wp:effectExtent l="0" t="0" r="0" b="0"/>
            <wp:docPr id="66" name="IM 66"/>
            <wp:cNvGraphicFramePr/>
            <a:graphic>
              <a:graphicData uri="http://schemas.openxmlformats.org/drawingml/2006/picture">
                <pic:pic>
                  <pic:nvPicPr>
                    <pic:cNvPr id="66" name="IM 66"/>
                    <pic:cNvPicPr/>
                  </pic:nvPicPr>
                  <pic:blipFill>
                    <a:blip r:embed="rId86"/>
                    <a:stretch>
                      <a:fillRect/>
                    </a:stretch>
                  </pic:blipFill>
                  <pic:spPr>
                    <a:xfrm rot="0">
                      <a:off x="0" y="0"/>
                      <a:ext cx="4695825" cy="7591425"/>
                    </a:xfrm>
                    <a:prstGeom prst="rect">
                      <a:avLst/>
                    </a:prstGeom>
                  </pic:spPr>
                </pic:pic>
              </a:graphicData>
            </a:graphic>
          </wp:inline>
        </w:drawing>
      </w:r>
    </w:p>
    <w:p>
      <w:pPr>
        <w:spacing w:line="11955" w:lineRule="exact"/>
        <w:sectPr>
          <w:footerReference w:type="default" r:id="rId8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68" name="IM 68"/>
            <wp:cNvGraphicFramePr/>
            <a:graphic>
              <a:graphicData uri="http://schemas.openxmlformats.org/drawingml/2006/picture">
                <pic:pic>
                  <pic:nvPicPr>
                    <pic:cNvPr id="68" name="IM 68"/>
                    <pic:cNvPicPr/>
                  </pic:nvPicPr>
                  <pic:blipFill>
                    <a:blip r:embed="rId88"/>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8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70" name="IM 70"/>
            <wp:cNvGraphicFramePr/>
            <a:graphic>
              <a:graphicData uri="http://schemas.openxmlformats.org/drawingml/2006/picture">
                <pic:pic>
                  <pic:nvPicPr>
                    <pic:cNvPr id="70" name="IM 70"/>
                    <pic:cNvPicPr/>
                  </pic:nvPicPr>
                  <pic:blipFill>
                    <a:blip r:embed="rId90"/>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8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72" name="IM 72"/>
            <wp:cNvGraphicFramePr/>
            <a:graphic>
              <a:graphicData uri="http://schemas.openxmlformats.org/drawingml/2006/picture">
                <pic:pic>
                  <pic:nvPicPr>
                    <pic:cNvPr id="72" name="IM 72"/>
                    <pic:cNvPicPr/>
                  </pic:nvPicPr>
                  <pic:blipFill>
                    <a:blip r:embed="rId92"/>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9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74" name="IM 74"/>
            <wp:cNvGraphicFramePr/>
            <a:graphic>
              <a:graphicData uri="http://schemas.openxmlformats.org/drawingml/2006/picture">
                <pic:pic>
                  <pic:nvPicPr>
                    <pic:cNvPr id="74" name="IM 74"/>
                    <pic:cNvPicPr/>
                  </pic:nvPicPr>
                  <pic:blipFill>
                    <a:blip r:embed="rId9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9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76" name="IM 76"/>
            <wp:cNvGraphicFramePr/>
            <a:graphic>
              <a:graphicData uri="http://schemas.openxmlformats.org/drawingml/2006/picture">
                <pic:pic>
                  <pic:nvPicPr>
                    <pic:cNvPr id="76" name="IM 76"/>
                    <pic:cNvPicPr/>
                  </pic:nvPicPr>
                  <pic:blipFill>
                    <a:blip r:embed="rId96"/>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9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78" name="IM 78"/>
            <wp:cNvGraphicFramePr/>
            <a:graphic>
              <a:graphicData uri="http://schemas.openxmlformats.org/drawingml/2006/picture">
                <pic:pic>
                  <pic:nvPicPr>
                    <pic:cNvPr id="78" name="IM 78"/>
                    <pic:cNvPicPr/>
                  </pic:nvPicPr>
                  <pic:blipFill>
                    <a:blip r:embed="rId98"/>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9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80" name="IM 80"/>
            <wp:cNvGraphicFramePr/>
            <a:graphic>
              <a:graphicData uri="http://schemas.openxmlformats.org/drawingml/2006/picture">
                <pic:pic>
                  <pic:nvPicPr>
                    <pic:cNvPr id="80" name="IM 80"/>
                    <pic:cNvPicPr/>
                  </pic:nvPicPr>
                  <pic:blipFill>
                    <a:blip r:embed="rId100"/>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9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82" name="IM 82"/>
            <wp:cNvGraphicFramePr/>
            <a:graphic>
              <a:graphicData uri="http://schemas.openxmlformats.org/drawingml/2006/picture">
                <pic:pic>
                  <pic:nvPicPr>
                    <pic:cNvPr id="82" name="IM 82"/>
                    <pic:cNvPicPr/>
                  </pic:nvPicPr>
                  <pic:blipFill>
                    <a:blip r:embed="rId102"/>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0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84" name="IM 84"/>
            <wp:cNvGraphicFramePr/>
            <a:graphic>
              <a:graphicData uri="http://schemas.openxmlformats.org/drawingml/2006/picture">
                <pic:pic>
                  <pic:nvPicPr>
                    <pic:cNvPr id="84" name="IM 84"/>
                    <pic:cNvPicPr/>
                  </pic:nvPicPr>
                  <pic:blipFill>
                    <a:blip r:embed="rId10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0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1850" w:lineRule="exact"/>
        <w:rPr/>
      </w:pPr>
      <w:r>
        <w:rPr>
          <w:position w:val="-237"/>
        </w:rPr>
        <w:drawing>
          <wp:inline distT="0" distB="0" distL="0" distR="0">
            <wp:extent cx="4695825" cy="7524750"/>
            <wp:effectExtent l="0" t="0" r="0" b="0"/>
            <wp:docPr id="86" name="IM 86"/>
            <wp:cNvGraphicFramePr/>
            <a:graphic>
              <a:graphicData uri="http://schemas.openxmlformats.org/drawingml/2006/picture">
                <pic:pic>
                  <pic:nvPicPr>
                    <pic:cNvPr id="86" name="IM 86"/>
                    <pic:cNvPicPr/>
                  </pic:nvPicPr>
                  <pic:blipFill>
                    <a:blip r:embed="rId106"/>
                    <a:stretch>
                      <a:fillRect/>
                    </a:stretch>
                  </pic:blipFill>
                  <pic:spPr>
                    <a:xfrm rot="0">
                      <a:off x="0" y="0"/>
                      <a:ext cx="4695825" cy="7524750"/>
                    </a:xfrm>
                    <a:prstGeom prst="rect">
                      <a:avLst/>
                    </a:prstGeom>
                  </pic:spPr>
                </pic:pic>
              </a:graphicData>
            </a:graphic>
          </wp:inline>
        </w:drawing>
      </w:r>
    </w:p>
    <w:p>
      <w:pPr>
        <w:spacing w:line="11850" w:lineRule="exact"/>
        <w:sectPr>
          <w:footerReference w:type="default" r:id="rId10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88" name="IM 88"/>
            <wp:cNvGraphicFramePr/>
            <a:graphic>
              <a:graphicData uri="http://schemas.openxmlformats.org/drawingml/2006/picture">
                <pic:pic>
                  <pic:nvPicPr>
                    <pic:cNvPr id="88" name="IM 88"/>
                    <pic:cNvPicPr/>
                  </pic:nvPicPr>
                  <pic:blipFill>
                    <a:blip r:embed="rId108"/>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0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90" name="IM 90"/>
            <wp:cNvGraphicFramePr/>
            <a:graphic>
              <a:graphicData uri="http://schemas.openxmlformats.org/drawingml/2006/picture">
                <pic:pic>
                  <pic:nvPicPr>
                    <pic:cNvPr id="90" name="IM 90"/>
                    <pic:cNvPicPr/>
                  </pic:nvPicPr>
                  <pic:blipFill>
                    <a:blip r:embed="rId110"/>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0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92" name="IM 92"/>
            <wp:cNvGraphicFramePr/>
            <a:graphic>
              <a:graphicData uri="http://schemas.openxmlformats.org/drawingml/2006/picture">
                <pic:pic>
                  <pic:nvPicPr>
                    <pic:cNvPr id="92" name="IM 92"/>
                    <pic:cNvPicPr/>
                  </pic:nvPicPr>
                  <pic:blipFill>
                    <a:blip r:embed="rId112"/>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1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94" name="IM 94"/>
            <wp:cNvGraphicFramePr/>
            <a:graphic>
              <a:graphicData uri="http://schemas.openxmlformats.org/drawingml/2006/picture">
                <pic:pic>
                  <pic:nvPicPr>
                    <pic:cNvPr id="94" name="IM 94"/>
                    <pic:cNvPicPr/>
                  </pic:nvPicPr>
                  <pic:blipFill>
                    <a:blip r:embed="rId11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1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96" name="IM 96"/>
            <wp:cNvGraphicFramePr/>
            <a:graphic>
              <a:graphicData uri="http://schemas.openxmlformats.org/drawingml/2006/picture">
                <pic:pic>
                  <pic:nvPicPr>
                    <pic:cNvPr id="96" name="IM 96"/>
                    <pic:cNvPicPr/>
                  </pic:nvPicPr>
                  <pic:blipFill>
                    <a:blip r:embed="rId116"/>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1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98" name="IM 98"/>
            <wp:cNvGraphicFramePr/>
            <a:graphic>
              <a:graphicData uri="http://schemas.openxmlformats.org/drawingml/2006/picture">
                <pic:pic>
                  <pic:nvPicPr>
                    <pic:cNvPr id="98" name="IM 98"/>
                    <pic:cNvPicPr/>
                  </pic:nvPicPr>
                  <pic:blipFill>
                    <a:blip r:embed="rId118"/>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1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00" name="IM 100"/>
            <wp:cNvGraphicFramePr/>
            <a:graphic>
              <a:graphicData uri="http://schemas.openxmlformats.org/drawingml/2006/picture">
                <pic:pic>
                  <pic:nvPicPr>
                    <pic:cNvPr id="100" name="IM 100"/>
                    <pic:cNvPicPr/>
                  </pic:nvPicPr>
                  <pic:blipFill>
                    <a:blip r:embed="rId120"/>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1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02" name="IM 102"/>
            <wp:cNvGraphicFramePr/>
            <a:graphic>
              <a:graphicData uri="http://schemas.openxmlformats.org/drawingml/2006/picture">
                <pic:pic>
                  <pic:nvPicPr>
                    <pic:cNvPr id="102" name="IM 102"/>
                    <pic:cNvPicPr/>
                  </pic:nvPicPr>
                  <pic:blipFill>
                    <a:blip r:embed="rId122"/>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2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04" name="IM 104"/>
            <wp:cNvGraphicFramePr/>
            <a:graphic>
              <a:graphicData uri="http://schemas.openxmlformats.org/drawingml/2006/picture">
                <pic:pic>
                  <pic:nvPicPr>
                    <pic:cNvPr id="104" name="IM 104"/>
                    <pic:cNvPicPr/>
                  </pic:nvPicPr>
                  <pic:blipFill>
                    <a:blip r:embed="rId12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2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06" name="IM 106"/>
            <wp:cNvGraphicFramePr/>
            <a:graphic>
              <a:graphicData uri="http://schemas.openxmlformats.org/drawingml/2006/picture">
                <pic:pic>
                  <pic:nvPicPr>
                    <pic:cNvPr id="106" name="IM 106"/>
                    <pic:cNvPicPr/>
                  </pic:nvPicPr>
                  <pic:blipFill>
                    <a:blip r:embed="rId126"/>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25"/>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665"/>
        <w:spacing w:line="11535" w:lineRule="exact"/>
        <w:rPr/>
      </w:pPr>
      <w:r>
        <w:rPr>
          <w:position w:val="-230"/>
        </w:rPr>
        <w:drawing>
          <wp:inline distT="0" distB="0" distL="0" distR="0">
            <wp:extent cx="4695825" cy="7324725"/>
            <wp:effectExtent l="0" t="0" r="0" b="0"/>
            <wp:docPr id="108" name="IM 108"/>
            <wp:cNvGraphicFramePr/>
            <a:graphic>
              <a:graphicData uri="http://schemas.openxmlformats.org/drawingml/2006/picture">
                <pic:pic>
                  <pic:nvPicPr>
                    <pic:cNvPr id="108" name="IM 108"/>
                    <pic:cNvPicPr/>
                  </pic:nvPicPr>
                  <pic:blipFill>
                    <a:blip r:embed="rId128"/>
                    <a:stretch>
                      <a:fillRect/>
                    </a:stretch>
                  </pic:blipFill>
                  <pic:spPr>
                    <a:xfrm rot="0">
                      <a:off x="0" y="0"/>
                      <a:ext cx="4695825" cy="7324725"/>
                    </a:xfrm>
                    <a:prstGeom prst="rect">
                      <a:avLst/>
                    </a:prstGeom>
                  </pic:spPr>
                </pic:pic>
              </a:graphicData>
            </a:graphic>
          </wp:inline>
        </w:drawing>
      </w:r>
    </w:p>
    <w:p>
      <w:pPr>
        <w:spacing w:line="11535" w:lineRule="exact"/>
        <w:sectPr>
          <w:footerReference w:type="default" r:id="rId127"/>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10" name="IM 110"/>
            <wp:cNvGraphicFramePr/>
            <a:graphic>
              <a:graphicData uri="http://schemas.openxmlformats.org/drawingml/2006/picture">
                <pic:pic>
                  <pic:nvPicPr>
                    <pic:cNvPr id="110" name="IM 110"/>
                    <pic:cNvPicPr/>
                  </pic:nvPicPr>
                  <pic:blipFill>
                    <a:blip r:embed="rId130"/>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2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12" name="IM 112"/>
            <wp:cNvGraphicFramePr/>
            <a:graphic>
              <a:graphicData uri="http://schemas.openxmlformats.org/drawingml/2006/picture">
                <pic:pic>
                  <pic:nvPicPr>
                    <pic:cNvPr id="112" name="IM 112"/>
                    <pic:cNvPicPr/>
                  </pic:nvPicPr>
                  <pic:blipFill>
                    <a:blip r:embed="rId132"/>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3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14" name="IM 114"/>
            <wp:cNvGraphicFramePr/>
            <a:graphic>
              <a:graphicData uri="http://schemas.openxmlformats.org/drawingml/2006/picture">
                <pic:pic>
                  <pic:nvPicPr>
                    <pic:cNvPr id="114" name="IM 114"/>
                    <pic:cNvPicPr/>
                  </pic:nvPicPr>
                  <pic:blipFill>
                    <a:blip r:embed="rId134"/>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3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180" w:lineRule="exact"/>
        <w:rPr/>
      </w:pPr>
      <w:r>
        <w:rPr>
          <w:position w:val="-243"/>
        </w:rPr>
        <w:drawing>
          <wp:inline distT="0" distB="0" distL="0" distR="0">
            <wp:extent cx="4695825" cy="7734300"/>
            <wp:effectExtent l="0" t="0" r="0" b="0"/>
            <wp:docPr id="116" name="IM 116"/>
            <wp:cNvGraphicFramePr/>
            <a:graphic>
              <a:graphicData uri="http://schemas.openxmlformats.org/drawingml/2006/picture">
                <pic:pic>
                  <pic:nvPicPr>
                    <pic:cNvPr id="116" name="IM 116"/>
                    <pic:cNvPicPr/>
                  </pic:nvPicPr>
                  <pic:blipFill>
                    <a:blip r:embed="rId136"/>
                    <a:stretch>
                      <a:fillRect/>
                    </a:stretch>
                  </pic:blipFill>
                  <pic:spPr>
                    <a:xfrm rot="0">
                      <a:off x="0" y="0"/>
                      <a:ext cx="4695825" cy="7734300"/>
                    </a:xfrm>
                    <a:prstGeom prst="rect">
                      <a:avLst/>
                    </a:prstGeom>
                  </pic:spPr>
                </pic:pic>
              </a:graphicData>
            </a:graphic>
          </wp:inline>
        </w:drawing>
      </w:r>
    </w:p>
    <w:p>
      <w:pPr>
        <w:spacing w:line="12180" w:lineRule="exact"/>
        <w:sectPr>
          <w:footerReference w:type="default" r:id="rId13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665"/>
        <w:spacing w:line="12030" w:lineRule="exact"/>
        <w:rPr/>
      </w:pPr>
      <w:r>
        <w:rPr>
          <w:position w:val="-240"/>
        </w:rPr>
        <w:drawing>
          <wp:inline distT="0" distB="0" distL="0" distR="0">
            <wp:extent cx="4695825" cy="7639050"/>
            <wp:effectExtent l="0" t="0" r="0" b="0"/>
            <wp:docPr id="118" name="IM 118"/>
            <wp:cNvGraphicFramePr/>
            <a:graphic>
              <a:graphicData uri="http://schemas.openxmlformats.org/drawingml/2006/picture">
                <pic:pic>
                  <pic:nvPicPr>
                    <pic:cNvPr id="118" name="IM 118"/>
                    <pic:cNvPicPr/>
                  </pic:nvPicPr>
                  <pic:blipFill>
                    <a:blip r:embed="rId138"/>
                    <a:stretch>
                      <a:fillRect/>
                    </a:stretch>
                  </pic:blipFill>
                  <pic:spPr>
                    <a:xfrm rot="0">
                      <a:off x="0" y="0"/>
                      <a:ext cx="4695825" cy="7639050"/>
                    </a:xfrm>
                    <a:prstGeom prst="rect">
                      <a:avLst/>
                    </a:prstGeom>
                  </pic:spPr>
                </pic:pic>
              </a:graphicData>
            </a:graphic>
          </wp:inline>
        </w:drawing>
      </w:r>
    </w:p>
    <w:p>
      <w:pPr>
        <w:spacing w:line="12030" w:lineRule="exact"/>
        <w:sectPr>
          <w:footerReference w:type="default" r:id="rId137"/>
          <w:pgSz w:w="11900" w:h="16840"/>
          <w:pgMar w:top="642" w:right="600" w:bottom="340" w:left="600" w:header="326" w:footer="90" w:gutter="0"/>
        </w:sectPr>
        <w:rPr/>
      </w:pPr>
    </w:p>
    <w:p>
      <w:pPr>
        <w:pStyle w:val="BodyText"/>
        <w:spacing w:line="277" w:lineRule="auto"/>
        <w:rPr/>
      </w:pPr>
      <w:r/>
    </w:p>
    <w:p>
      <w:pPr>
        <w:pStyle w:val="BodyText"/>
        <w:spacing w:line="278" w:lineRule="auto"/>
        <w:rPr/>
      </w:pPr>
      <w:r/>
    </w:p>
    <w:p>
      <w:pPr>
        <w:ind w:firstLine="1665"/>
        <w:spacing w:line="5250" w:lineRule="exact"/>
        <w:rPr/>
      </w:pPr>
      <w:r>
        <w:rPr>
          <w:position w:val="-105"/>
        </w:rPr>
        <w:drawing>
          <wp:inline distT="0" distB="0" distL="0" distR="0">
            <wp:extent cx="4695825" cy="3333750"/>
            <wp:effectExtent l="0" t="0" r="0" b="0"/>
            <wp:docPr id="120" name="IM 120"/>
            <wp:cNvGraphicFramePr/>
            <a:graphic>
              <a:graphicData uri="http://schemas.openxmlformats.org/drawingml/2006/picture">
                <pic:pic>
                  <pic:nvPicPr>
                    <pic:cNvPr id="120" name="IM 120"/>
                    <pic:cNvPicPr/>
                  </pic:nvPicPr>
                  <pic:blipFill>
                    <a:blip r:embed="rId140"/>
                    <a:stretch>
                      <a:fillRect/>
                    </a:stretch>
                  </pic:blipFill>
                  <pic:spPr>
                    <a:xfrm rot="0">
                      <a:off x="0" y="0"/>
                      <a:ext cx="4695825" cy="3333750"/>
                    </a:xfrm>
                    <a:prstGeom prst="rect">
                      <a:avLst/>
                    </a:prstGeom>
                  </pic:spPr>
                </pic:pic>
              </a:graphicData>
            </a:graphic>
          </wp:inline>
        </w:drawing>
      </w:r>
    </w:p>
    <w:p>
      <w:pPr>
        <w:spacing w:line="5250" w:lineRule="exact"/>
        <w:sectPr>
          <w:footerReference w:type="default" r:id="rId139"/>
          <w:pgSz w:w="11900" w:h="16840"/>
          <w:pgMar w:top="642" w:right="600" w:bottom="340" w:left="600" w:header="326" w:footer="93" w:gutter="0"/>
        </w:sectPr>
        <w:rPr/>
      </w:pPr>
    </w:p>
    <w:p>
      <w:pPr>
        <w:pStyle w:val="BodyText"/>
        <w:spacing w:line="274" w:lineRule="auto"/>
        <w:rPr/>
      </w:pPr>
      <w:r/>
    </w:p>
    <w:p>
      <w:pPr>
        <w:pStyle w:val="BodyText"/>
        <w:spacing w:line="274" w:lineRule="auto"/>
        <w:rPr/>
      </w:pPr>
      <w:r/>
    </w:p>
    <w:p>
      <w:pPr>
        <w:ind w:left="912"/>
        <w:spacing w:before="99" w:line="235" w:lineRule="exact"/>
        <w:outlineLvl w:val="1"/>
        <w:rPr>
          <w:rFonts w:ascii="Microsoft YaHei" w:hAnsi="Microsoft YaHei" w:eastAsia="Microsoft YaHei" w:cs="Microsoft YaHei"/>
          <w:sz w:val="23"/>
          <w:szCs w:val="23"/>
        </w:rPr>
      </w:pPr>
      <w:bookmarkStart w:name="bookmark31" w:id="47"/>
      <w:bookmarkEnd w:id="47"/>
      <w:r>
        <w:rPr>
          <w:rFonts w:ascii="Microsoft YaHei" w:hAnsi="Microsoft YaHei" w:eastAsia="Microsoft YaHei" w:cs="Microsoft YaHei"/>
          <w:sz w:val="23"/>
          <w:szCs w:val="23"/>
          <w:spacing w:val="9"/>
          <w:position w:val="-1"/>
        </w:rPr>
        <w:t>十一、国有资产占有使用情况</w:t>
      </w:r>
    </w:p>
    <w:p>
      <w:pPr>
        <w:ind w:left="1406"/>
        <w:spacing w:before="232" w:line="219" w:lineRule="auto"/>
        <w:rPr>
          <w:rFonts w:ascii="FangSong" w:hAnsi="FangSong" w:eastAsia="FangSong" w:cs="FangSong"/>
          <w:sz w:val="24"/>
          <w:szCs w:val="24"/>
        </w:rPr>
      </w:pPr>
      <w:r>
        <w:rPr>
          <w:rFonts w:ascii="FangSong" w:hAnsi="FangSong" w:eastAsia="FangSong" w:cs="FangSong"/>
          <w:sz w:val="24"/>
          <w:szCs w:val="24"/>
          <w:spacing w:val="-10"/>
        </w:rPr>
        <w:t>1、车辆情况：</w:t>
      </w:r>
    </w:p>
    <w:p>
      <w:pPr>
        <w:ind w:left="915" w:right="874" w:firstLine="480"/>
        <w:spacing w:before="164" w:line="354" w:lineRule="auto"/>
        <w:rPr>
          <w:rFonts w:ascii="FangSong" w:hAnsi="FangSong" w:eastAsia="FangSong" w:cs="FangSong"/>
          <w:sz w:val="24"/>
          <w:szCs w:val="24"/>
        </w:rPr>
      </w:pPr>
      <w:r>
        <w:rPr>
          <w:rFonts w:ascii="FangSong" w:hAnsi="FangSong" w:eastAsia="FangSong" w:cs="FangSong"/>
          <w:sz w:val="24"/>
          <w:szCs w:val="24"/>
          <w:spacing w:val="5"/>
        </w:rPr>
        <w:t>截至2026年2月25</w:t>
      </w:r>
      <w:r>
        <w:rPr>
          <w:rFonts w:ascii="FangSong" w:hAnsi="FangSong" w:eastAsia="FangSong" w:cs="FangSong"/>
          <w:sz w:val="24"/>
          <w:szCs w:val="24"/>
          <w:spacing w:val="-42"/>
        </w:rPr>
        <w:t xml:space="preserve"> </w:t>
      </w:r>
      <w:r>
        <w:rPr>
          <w:rFonts w:ascii="FangSong" w:hAnsi="FangSong" w:eastAsia="FangSong" w:cs="FangSong"/>
          <w:sz w:val="24"/>
          <w:szCs w:val="24"/>
          <w:spacing w:val="5"/>
        </w:rPr>
        <w:t>日，长治市规划和自然资源局开发区分局共有公务用车编制0</w:t>
      </w:r>
      <w:r>
        <w:rPr>
          <w:rFonts w:ascii="FangSong" w:hAnsi="FangSong" w:eastAsia="FangSong" w:cs="FangSong"/>
          <w:sz w:val="24"/>
          <w:szCs w:val="24"/>
          <w:spacing w:val="1"/>
        </w:rPr>
        <w:t>辆，实有0辆，其中：领导用车0辆，机要通信用车0辆，应急保</w:t>
      </w:r>
      <w:r>
        <w:rPr>
          <w:rFonts w:ascii="FangSong" w:hAnsi="FangSong" w:eastAsia="FangSong" w:cs="FangSong"/>
          <w:sz w:val="24"/>
          <w:szCs w:val="24"/>
        </w:rPr>
        <w:t>障用车0辆，执法执勤</w:t>
      </w:r>
      <w:r>
        <w:rPr>
          <w:rFonts w:ascii="FangSong" w:hAnsi="FangSong" w:eastAsia="FangSong" w:cs="FangSong"/>
          <w:sz w:val="24"/>
          <w:szCs w:val="24"/>
          <w:spacing w:val="-1"/>
        </w:rPr>
        <w:t>用车0辆，特种专业技术用车0辆，事业单位业务用车0辆，其他公务用车0辆。</w:t>
      </w:r>
    </w:p>
    <w:p>
      <w:pPr>
        <w:ind w:left="1391"/>
        <w:spacing w:line="222" w:lineRule="auto"/>
        <w:rPr>
          <w:rFonts w:ascii="FangSong" w:hAnsi="FangSong" w:eastAsia="FangSong" w:cs="FangSong"/>
          <w:sz w:val="24"/>
          <w:szCs w:val="24"/>
        </w:rPr>
      </w:pPr>
      <w:r>
        <w:rPr>
          <w:rFonts w:ascii="FangSong" w:hAnsi="FangSong" w:eastAsia="FangSong" w:cs="FangSong"/>
          <w:sz w:val="24"/>
          <w:szCs w:val="24"/>
          <w:spacing w:val="-8"/>
        </w:rPr>
        <w:t>2、房屋情况：</w:t>
      </w:r>
    </w:p>
    <w:p>
      <w:pPr>
        <w:ind w:left="926" w:right="874" w:firstLine="469"/>
        <w:spacing w:before="175" w:line="352" w:lineRule="auto"/>
        <w:rPr>
          <w:rFonts w:ascii="FangSong" w:hAnsi="FangSong" w:eastAsia="FangSong" w:cs="FangSong"/>
          <w:sz w:val="24"/>
          <w:szCs w:val="24"/>
        </w:rPr>
      </w:pPr>
      <w:r>
        <w:rPr>
          <w:rFonts w:ascii="FangSong" w:hAnsi="FangSong" w:eastAsia="FangSong" w:cs="FangSong"/>
          <w:sz w:val="24"/>
          <w:szCs w:val="24"/>
          <w:spacing w:val="2"/>
        </w:rPr>
        <w:t>截至2026年2月25</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日，长治市规划和自然资源局开发区分局使用的办公用房建筑</w:t>
      </w:r>
      <w:r>
        <w:rPr>
          <w:rFonts w:ascii="FangSong" w:hAnsi="FangSong" w:eastAsia="FangSong" w:cs="FangSong"/>
          <w:sz w:val="24"/>
          <w:szCs w:val="24"/>
          <w:spacing w:val="-4"/>
        </w:rPr>
        <w:t>总面积696.73平方米。</w:t>
      </w:r>
    </w:p>
    <w:p>
      <w:pPr>
        <w:ind w:left="1393"/>
        <w:spacing w:before="1" w:line="221" w:lineRule="auto"/>
        <w:rPr>
          <w:rFonts w:ascii="FangSong" w:hAnsi="FangSong" w:eastAsia="FangSong" w:cs="FangSong"/>
          <w:sz w:val="24"/>
          <w:szCs w:val="24"/>
        </w:rPr>
      </w:pPr>
      <w:r>
        <w:rPr>
          <w:rFonts w:ascii="FangSong" w:hAnsi="FangSong" w:eastAsia="FangSong" w:cs="FangSong"/>
          <w:sz w:val="24"/>
          <w:szCs w:val="24"/>
          <w:spacing w:val="-5"/>
        </w:rPr>
        <w:t>3、其他国有资产占有使用情况：</w:t>
      </w:r>
    </w:p>
    <w:p>
      <w:pPr>
        <w:ind w:left="915" w:right="874" w:firstLine="480"/>
        <w:spacing w:before="177" w:line="352" w:lineRule="auto"/>
        <w:rPr>
          <w:rFonts w:ascii="FangSong" w:hAnsi="FangSong" w:eastAsia="FangSong" w:cs="FangSong"/>
          <w:sz w:val="24"/>
          <w:szCs w:val="24"/>
        </w:rPr>
      </w:pPr>
      <w:r>
        <w:rPr>
          <w:rFonts w:ascii="FangSong" w:hAnsi="FangSong" w:eastAsia="FangSong" w:cs="FangSong"/>
          <w:sz w:val="24"/>
          <w:szCs w:val="24"/>
          <w:spacing w:val="2"/>
        </w:rPr>
        <w:t>截至2026年2月25</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日，长治市规划和自然资源局开发区分局占有使用价值50</w:t>
      </w:r>
      <w:r>
        <w:rPr>
          <w:rFonts w:ascii="FangSong" w:hAnsi="FangSong" w:eastAsia="FangSong" w:cs="FangSong"/>
          <w:sz w:val="24"/>
          <w:szCs w:val="24"/>
          <w:spacing w:val="1"/>
        </w:rPr>
        <w:t>万元</w:t>
      </w:r>
      <w:r>
        <w:rPr>
          <w:rFonts w:ascii="FangSong" w:hAnsi="FangSong" w:eastAsia="FangSong" w:cs="FangSong"/>
          <w:sz w:val="24"/>
          <w:szCs w:val="24"/>
          <w:spacing w:val="2"/>
        </w:rPr>
        <w:t>（原值）</w:t>
      </w:r>
      <w:r>
        <w:rPr>
          <w:rFonts w:ascii="FangSong" w:hAnsi="FangSong" w:eastAsia="FangSong" w:cs="FangSong"/>
          <w:sz w:val="24"/>
          <w:szCs w:val="24"/>
          <w:spacing w:val="-70"/>
        </w:rPr>
        <w:t xml:space="preserve"> </w:t>
      </w:r>
      <w:r>
        <w:rPr>
          <w:rFonts w:ascii="FangSong" w:hAnsi="FangSong" w:eastAsia="FangSong" w:cs="FangSong"/>
          <w:sz w:val="24"/>
          <w:szCs w:val="24"/>
          <w:spacing w:val="2"/>
        </w:rPr>
        <w:t>以上的通用设备0台（套</w:t>
      </w:r>
      <w:r>
        <w:rPr>
          <w:rFonts w:ascii="FangSong" w:hAnsi="FangSong" w:eastAsia="FangSong" w:cs="FangSong"/>
          <w:sz w:val="24"/>
          <w:szCs w:val="24"/>
          <w:spacing w:val="14"/>
        </w:rPr>
        <w:t>）；</w:t>
      </w:r>
      <w:r>
        <w:rPr>
          <w:rFonts w:ascii="FangSong" w:hAnsi="FangSong" w:eastAsia="FangSong" w:cs="FangSong"/>
          <w:sz w:val="24"/>
          <w:szCs w:val="24"/>
          <w:spacing w:val="2"/>
        </w:rPr>
        <w:t>长治市规划和自然资源局开发区分局占有使用</w:t>
      </w:r>
      <w:r>
        <w:rPr>
          <w:rFonts w:ascii="FangSong" w:hAnsi="FangSong" w:eastAsia="FangSong" w:cs="FangSong"/>
          <w:sz w:val="24"/>
          <w:szCs w:val="24"/>
          <w:spacing w:val="-2"/>
        </w:rPr>
        <w:t>价值100万元（原值）以上的通用设备0台（套）。</w:t>
      </w:r>
    </w:p>
    <w:p>
      <w:pPr>
        <w:ind w:left="912"/>
        <w:spacing w:before="5" w:line="237" w:lineRule="exact"/>
        <w:outlineLvl w:val="1"/>
        <w:rPr>
          <w:rFonts w:ascii="Microsoft YaHei" w:hAnsi="Microsoft YaHei" w:eastAsia="Microsoft YaHei" w:cs="Microsoft YaHei"/>
          <w:sz w:val="23"/>
          <w:szCs w:val="23"/>
        </w:rPr>
      </w:pPr>
      <w:bookmarkStart w:name="bookmark32" w:id="48"/>
      <w:bookmarkEnd w:id="48"/>
      <w:r>
        <w:rPr>
          <w:rFonts w:ascii="Microsoft YaHei" w:hAnsi="Microsoft YaHei" w:eastAsia="Microsoft YaHei" w:cs="Microsoft YaHei"/>
          <w:sz w:val="23"/>
          <w:szCs w:val="23"/>
          <w:spacing w:val="6"/>
          <w:position w:val="-1"/>
        </w:rPr>
        <w:t>十二、其他说明</w:t>
      </w:r>
    </w:p>
    <w:p>
      <w:pPr>
        <w:ind w:left="1395"/>
        <w:spacing w:before="230" w:line="220" w:lineRule="auto"/>
        <w:outlineLvl w:val="2"/>
        <w:rPr>
          <w:rFonts w:ascii="FangSong" w:hAnsi="FangSong" w:eastAsia="FangSong" w:cs="FangSong"/>
          <w:sz w:val="24"/>
          <w:szCs w:val="24"/>
        </w:rPr>
      </w:pPr>
      <w:bookmarkStart w:name="bookmark33" w:id="49"/>
      <w:bookmarkEnd w:id="49"/>
      <w:r>
        <w:rPr>
          <w:rFonts w:ascii="FangSong" w:hAnsi="FangSong" w:eastAsia="FangSong" w:cs="FangSong"/>
          <w:sz w:val="24"/>
          <w:szCs w:val="24"/>
          <w:spacing w:val="-3"/>
        </w:rPr>
        <w:t>（一）政府购买服务指导性目录</w:t>
      </w:r>
    </w:p>
    <w:p>
      <w:pPr>
        <w:ind w:left="1398"/>
        <w:spacing w:before="209" w:line="225" w:lineRule="auto"/>
        <w:rPr>
          <w:rFonts w:ascii="FangSong" w:hAnsi="FangSong" w:eastAsia="FangSong" w:cs="FangSong"/>
          <w:sz w:val="24"/>
          <w:szCs w:val="24"/>
        </w:rPr>
      </w:pPr>
      <w:r>
        <w:rPr>
          <w:rFonts w:ascii="FangSong" w:hAnsi="FangSong" w:eastAsia="FangSong" w:cs="FangSong"/>
          <w:sz w:val="24"/>
          <w:szCs w:val="24"/>
        </w:rPr>
        <w:t>无</w:t>
      </w:r>
    </w:p>
    <w:p>
      <w:pPr>
        <w:ind w:left="1395"/>
        <w:spacing w:before="217" w:line="222" w:lineRule="auto"/>
        <w:outlineLvl w:val="2"/>
        <w:rPr>
          <w:rFonts w:ascii="FangSong" w:hAnsi="FangSong" w:eastAsia="FangSong" w:cs="FangSong"/>
          <w:sz w:val="24"/>
          <w:szCs w:val="24"/>
        </w:rPr>
      </w:pPr>
      <w:bookmarkStart w:name="bookmark34" w:id="50"/>
      <w:bookmarkEnd w:id="50"/>
      <w:r>
        <w:rPr>
          <w:rFonts w:ascii="FangSong" w:hAnsi="FangSong" w:eastAsia="FangSong" w:cs="FangSong"/>
          <w:sz w:val="24"/>
          <w:szCs w:val="24"/>
          <w:spacing w:val="-6"/>
        </w:rPr>
        <w:t>（二）其他</w:t>
      </w:r>
    </w:p>
    <w:p>
      <w:pPr>
        <w:ind w:left="1398"/>
        <w:spacing w:before="222" w:line="225" w:lineRule="auto"/>
        <w:rPr>
          <w:rFonts w:ascii="FangSong" w:hAnsi="FangSong" w:eastAsia="FangSong" w:cs="FangSong"/>
          <w:sz w:val="24"/>
          <w:szCs w:val="24"/>
        </w:rPr>
      </w:pPr>
      <w:r>
        <w:rPr>
          <w:rFonts w:ascii="FangSong" w:hAnsi="FangSong" w:eastAsia="FangSong" w:cs="FangSong"/>
          <w:sz w:val="24"/>
          <w:szCs w:val="24"/>
        </w:rPr>
        <w:t>无</w:t>
      </w:r>
    </w:p>
    <w:p>
      <w:pPr>
        <w:spacing w:line="225" w:lineRule="auto"/>
        <w:sectPr>
          <w:footerReference w:type="default" r:id="rId141"/>
          <w:pgSz w:w="11900" w:h="16840"/>
          <w:pgMar w:top="642" w:right="600" w:bottom="340" w:left="600" w:header="326" w:footer="93" w:gutter="0"/>
        </w:sectPr>
        <w:rPr>
          <w:rFonts w:ascii="FangSong" w:hAnsi="FangSong" w:eastAsia="FangSong" w:cs="FangSong"/>
          <w:sz w:val="24"/>
          <w:szCs w:val="24"/>
        </w:rPr>
      </w:pPr>
    </w:p>
    <w:p>
      <w:pPr>
        <w:pStyle w:val="BodyText"/>
        <w:spacing w:line="277" w:lineRule="auto"/>
        <w:rPr/>
      </w:pPr>
      <w:r/>
    </w:p>
    <w:p>
      <w:pPr>
        <w:pStyle w:val="BodyText"/>
        <w:spacing w:line="278" w:lineRule="auto"/>
        <w:rPr/>
      </w:pPr>
      <w:r/>
    </w:p>
    <w:p>
      <w:pPr>
        <w:ind w:firstLine="1350"/>
        <w:spacing w:line="12540" w:lineRule="exact"/>
        <w:rPr/>
      </w:pPr>
      <w:r>
        <w:rPr>
          <w:position w:val="-250"/>
        </w:rPr>
        <w:drawing>
          <wp:inline distT="0" distB="0" distL="0" distR="0">
            <wp:extent cx="5095875" cy="7962900"/>
            <wp:effectExtent l="0" t="0" r="0" b="0"/>
            <wp:docPr id="122" name="IM 122"/>
            <wp:cNvGraphicFramePr/>
            <a:graphic>
              <a:graphicData uri="http://schemas.openxmlformats.org/drawingml/2006/picture">
                <pic:pic>
                  <pic:nvPicPr>
                    <pic:cNvPr id="122" name="IM 122"/>
                    <pic:cNvPicPr/>
                  </pic:nvPicPr>
                  <pic:blipFill>
                    <a:blip r:embed="rId143"/>
                    <a:stretch>
                      <a:fillRect/>
                    </a:stretch>
                  </pic:blipFill>
                  <pic:spPr>
                    <a:xfrm rot="0">
                      <a:off x="0" y="0"/>
                      <a:ext cx="5095875" cy="7962900"/>
                    </a:xfrm>
                    <a:prstGeom prst="rect">
                      <a:avLst/>
                    </a:prstGeom>
                  </pic:spPr>
                </pic:pic>
              </a:graphicData>
            </a:graphic>
          </wp:inline>
        </w:drawing>
      </w:r>
    </w:p>
    <w:p>
      <w:pPr>
        <w:spacing w:line="12540" w:lineRule="exact"/>
        <w:sectPr>
          <w:footerReference w:type="default" r:id="rId142"/>
          <w:pgSz w:w="11900" w:h="16840"/>
          <w:pgMar w:top="642" w:right="600" w:bottom="340" w:left="600" w:header="326" w:footer="93" w:gutter="0"/>
        </w:sectPr>
        <w:rPr/>
      </w:pPr>
    </w:p>
    <w:p>
      <w:pPr>
        <w:pStyle w:val="BodyText"/>
        <w:spacing w:line="280" w:lineRule="auto"/>
        <w:rPr/>
      </w:pPr>
      <w:r/>
    </w:p>
    <w:p>
      <w:pPr>
        <w:pStyle w:val="BodyText"/>
        <w:spacing w:line="280" w:lineRule="auto"/>
        <w:rPr/>
      </w:pPr>
      <w:r/>
    </w:p>
    <w:p>
      <w:pPr>
        <w:ind w:left="4347"/>
        <w:spacing w:before="99" w:line="237" w:lineRule="exact"/>
        <w:outlineLvl w:val="0"/>
        <w:rPr>
          <w:rFonts w:ascii="Microsoft YaHei" w:hAnsi="Microsoft YaHei" w:eastAsia="Microsoft YaHei" w:cs="Microsoft YaHei"/>
          <w:sz w:val="23"/>
          <w:szCs w:val="23"/>
        </w:rPr>
      </w:pPr>
      <w:bookmarkStart w:name="bookmark35" w:id="51"/>
      <w:bookmarkEnd w:id="51"/>
      <w:r>
        <w:rPr>
          <w:rFonts w:ascii="Microsoft YaHei" w:hAnsi="Microsoft YaHei" w:eastAsia="Microsoft YaHei" w:cs="Microsoft YaHei"/>
          <w:sz w:val="23"/>
          <w:szCs w:val="23"/>
          <w:spacing w:val="14"/>
          <w:position w:val="-1"/>
        </w:rPr>
        <w:t>第四部分</w:t>
      </w:r>
      <w:r>
        <w:rPr>
          <w:rFonts w:ascii="Microsoft YaHei" w:hAnsi="Microsoft YaHei" w:eastAsia="Microsoft YaHei" w:cs="Microsoft YaHei"/>
          <w:sz w:val="23"/>
          <w:szCs w:val="23"/>
          <w:spacing w:val="14"/>
          <w:position w:val="-1"/>
        </w:rPr>
        <w:t xml:space="preserve"> </w:t>
      </w:r>
      <w:r>
        <w:rPr>
          <w:rFonts w:ascii="Microsoft YaHei" w:hAnsi="Microsoft YaHei" w:eastAsia="Microsoft YaHei" w:cs="Microsoft YaHei"/>
          <w:sz w:val="23"/>
          <w:szCs w:val="23"/>
          <w:spacing w:val="14"/>
          <w:position w:val="-1"/>
        </w:rPr>
        <w:t>名词解释</w:t>
      </w:r>
    </w:p>
    <w:p>
      <w:pPr>
        <w:pStyle w:val="BodyText"/>
        <w:spacing w:line="317" w:lineRule="auto"/>
        <w:rPr/>
      </w:pPr>
      <w:r/>
    </w:p>
    <w:p>
      <w:pPr>
        <w:ind w:left="920" w:right="874" w:firstLine="472"/>
        <w:spacing w:before="78" w:line="348" w:lineRule="auto"/>
        <w:rPr>
          <w:rFonts w:ascii="FangSong" w:hAnsi="FangSong" w:eastAsia="FangSong" w:cs="FangSong"/>
          <w:sz w:val="24"/>
          <w:szCs w:val="24"/>
        </w:rPr>
      </w:pPr>
      <w:r>
        <w:rPr>
          <w:rFonts w:ascii="SimHei" w:hAnsi="SimHei" w:eastAsia="SimHei" w:cs="SimHei"/>
          <w:sz w:val="24"/>
          <w:szCs w:val="24"/>
          <w:spacing w:val="1"/>
        </w:rPr>
        <w:t>一、基本支出：</w:t>
      </w:r>
      <w:r>
        <w:rPr>
          <w:rFonts w:ascii="FangSong" w:hAnsi="FangSong" w:eastAsia="FangSong" w:cs="FangSong"/>
          <w:sz w:val="24"/>
          <w:szCs w:val="24"/>
          <w:spacing w:val="1"/>
        </w:rPr>
        <w:t>指为保障机构正常运转、完成日常工作任务而发生的</w:t>
      </w:r>
      <w:r>
        <w:rPr>
          <w:rFonts w:ascii="FangSong" w:hAnsi="FangSong" w:eastAsia="FangSong" w:cs="FangSong"/>
          <w:sz w:val="24"/>
          <w:szCs w:val="24"/>
        </w:rPr>
        <w:t>人员支出和</w:t>
      </w:r>
      <w:r>
        <w:rPr>
          <w:rFonts w:ascii="FangSong" w:hAnsi="FangSong" w:eastAsia="FangSong" w:cs="FangSong"/>
          <w:sz w:val="24"/>
          <w:szCs w:val="24"/>
          <w:spacing w:val="-9"/>
        </w:rPr>
        <w:t>公用支出。</w:t>
      </w:r>
    </w:p>
    <w:p>
      <w:pPr>
        <w:ind w:left="915" w:right="874" w:firstLine="477"/>
        <w:spacing w:before="9" w:line="291" w:lineRule="auto"/>
        <w:rPr>
          <w:rFonts w:ascii="FangSong" w:hAnsi="FangSong" w:eastAsia="FangSong" w:cs="FangSong"/>
          <w:sz w:val="24"/>
          <w:szCs w:val="24"/>
        </w:rPr>
      </w:pPr>
      <w:r>
        <w:rPr>
          <w:rFonts w:ascii="SimHei" w:hAnsi="SimHei" w:eastAsia="SimHei" w:cs="SimHei"/>
          <w:sz w:val="24"/>
          <w:szCs w:val="24"/>
          <w:spacing w:val="1"/>
        </w:rPr>
        <w:t>二、项目支出：</w:t>
      </w:r>
      <w:r>
        <w:rPr>
          <w:rFonts w:ascii="FangSong" w:hAnsi="FangSong" w:eastAsia="FangSong" w:cs="FangSong"/>
          <w:sz w:val="24"/>
          <w:szCs w:val="24"/>
          <w:spacing w:val="1"/>
        </w:rPr>
        <w:t>指在基本支出之外为完成特定行政任务和事业发展目</w:t>
      </w:r>
      <w:r>
        <w:rPr>
          <w:rFonts w:ascii="FangSong" w:hAnsi="FangSong" w:eastAsia="FangSong" w:cs="FangSong"/>
          <w:sz w:val="24"/>
          <w:szCs w:val="24"/>
        </w:rPr>
        <w:t>标所发生的</w:t>
      </w:r>
      <w:r>
        <w:rPr>
          <w:rFonts w:ascii="FangSong" w:hAnsi="FangSong" w:eastAsia="FangSong" w:cs="FangSong"/>
          <w:sz w:val="24"/>
          <w:szCs w:val="24"/>
          <w:spacing w:val="-11"/>
        </w:rPr>
        <w:t>支出。</w:t>
      </w:r>
    </w:p>
    <w:p>
      <w:pPr>
        <w:ind w:left="916" w:right="874" w:firstLine="477"/>
        <w:spacing w:before="158" w:line="335" w:lineRule="auto"/>
        <w:rPr>
          <w:rFonts w:ascii="FangSong" w:hAnsi="FangSong" w:eastAsia="FangSong" w:cs="FangSong"/>
          <w:sz w:val="24"/>
          <w:szCs w:val="24"/>
        </w:rPr>
      </w:pPr>
      <w:r>
        <w:rPr>
          <w:rFonts w:ascii="SimHei" w:hAnsi="SimHei" w:eastAsia="SimHei" w:cs="SimHei"/>
          <w:sz w:val="24"/>
          <w:szCs w:val="24"/>
          <w:spacing w:val="1"/>
        </w:rPr>
        <w:t>三、“三公”经费：</w:t>
      </w:r>
      <w:r>
        <w:rPr>
          <w:rFonts w:ascii="FangSong" w:hAnsi="FangSong" w:eastAsia="FangSong" w:cs="FangSong"/>
          <w:sz w:val="24"/>
          <w:szCs w:val="24"/>
          <w:spacing w:val="1"/>
        </w:rPr>
        <w:t>指省直部门用财政拨款安排的因公出国（境）</w:t>
      </w:r>
      <w:r>
        <w:rPr>
          <w:rFonts w:ascii="FangSong" w:hAnsi="FangSong" w:eastAsia="FangSong" w:cs="FangSong"/>
          <w:sz w:val="24"/>
          <w:szCs w:val="24"/>
        </w:rPr>
        <w:t>费用、公务用</w:t>
      </w:r>
      <w:r>
        <w:rPr>
          <w:rFonts w:ascii="FangSong" w:hAnsi="FangSong" w:eastAsia="FangSong" w:cs="FangSong"/>
          <w:sz w:val="24"/>
          <w:szCs w:val="24"/>
        </w:rPr>
        <w:t>车购置及运行费和公务接待费。其中：因公出国（境）费用反映单位公务出国（境）</w:t>
      </w:r>
      <w:r>
        <w:rPr>
          <w:rFonts w:ascii="FangSong" w:hAnsi="FangSong" w:eastAsia="FangSong" w:cs="FangSong"/>
          <w:sz w:val="24"/>
          <w:szCs w:val="24"/>
          <w:spacing w:val="1"/>
        </w:rPr>
        <w:t>的国际旅费、国外城市间交通费、住宿费、伙食费、培训费、</w:t>
      </w:r>
      <w:r>
        <w:rPr>
          <w:rFonts w:ascii="FangSong" w:hAnsi="FangSong" w:eastAsia="FangSong" w:cs="FangSong"/>
          <w:sz w:val="24"/>
          <w:szCs w:val="24"/>
        </w:rPr>
        <w:t>公杂费等支出；公务用</w:t>
      </w:r>
      <w:r>
        <w:rPr>
          <w:rFonts w:ascii="FangSong" w:hAnsi="FangSong" w:eastAsia="FangSong" w:cs="FangSong"/>
          <w:sz w:val="24"/>
          <w:szCs w:val="24"/>
        </w:rPr>
        <w:t>车购置费反映公务用车购置支出（含车辆购置税、牌照费</w:t>
      </w:r>
      <w:r>
        <w:rPr>
          <w:rFonts w:ascii="FangSong" w:hAnsi="FangSong" w:eastAsia="FangSong" w:cs="FangSong"/>
          <w:sz w:val="24"/>
          <w:szCs w:val="24"/>
          <w:spacing w:val="13"/>
        </w:rPr>
        <w:t>）；</w:t>
      </w:r>
      <w:r>
        <w:rPr>
          <w:rFonts w:ascii="FangSong" w:hAnsi="FangSong" w:eastAsia="FangSong" w:cs="FangSong"/>
          <w:sz w:val="24"/>
          <w:szCs w:val="24"/>
        </w:rPr>
        <w:t>公务用车运行维护费反</w:t>
      </w:r>
      <w:r>
        <w:rPr>
          <w:rFonts w:ascii="FangSong" w:hAnsi="FangSong" w:eastAsia="FangSong" w:cs="FangSong"/>
          <w:sz w:val="24"/>
          <w:szCs w:val="24"/>
          <w:spacing w:val="1"/>
        </w:rPr>
        <w:t>映单位按规定保留的公务用车燃料费、维修费、过路过桥费、</w:t>
      </w:r>
      <w:r>
        <w:rPr>
          <w:rFonts w:ascii="FangSong" w:hAnsi="FangSong" w:eastAsia="FangSong" w:cs="FangSong"/>
          <w:sz w:val="24"/>
          <w:szCs w:val="24"/>
        </w:rPr>
        <w:t>保险费、安全奖励费用</w:t>
      </w:r>
      <w:r>
        <w:rPr>
          <w:rFonts w:ascii="FangSong" w:hAnsi="FangSong" w:eastAsia="FangSong" w:cs="FangSong"/>
          <w:sz w:val="24"/>
          <w:szCs w:val="24"/>
          <w:spacing w:val="1"/>
        </w:rPr>
        <w:t>等支出；公务接待费反映机关和参公事业单位按规定开支的各</w:t>
      </w:r>
      <w:r>
        <w:rPr>
          <w:rFonts w:ascii="FangSong" w:hAnsi="FangSong" w:eastAsia="FangSong" w:cs="FangSong"/>
          <w:sz w:val="24"/>
          <w:szCs w:val="24"/>
        </w:rPr>
        <w:t>类公务接待（含外宾接</w:t>
      </w:r>
      <w:r>
        <w:rPr>
          <w:rFonts w:ascii="FangSong" w:hAnsi="FangSong" w:eastAsia="FangSong" w:cs="FangSong"/>
          <w:sz w:val="24"/>
          <w:szCs w:val="24"/>
          <w:spacing w:val="-8"/>
        </w:rPr>
        <w:t>待）支出。</w:t>
      </w:r>
    </w:p>
    <w:p>
      <w:pPr>
        <w:ind w:left="913" w:right="874" w:firstLine="490"/>
        <w:spacing w:before="177" w:line="290" w:lineRule="auto"/>
        <w:rPr>
          <w:rFonts w:ascii="FangSong" w:hAnsi="FangSong" w:eastAsia="FangSong" w:cs="FangSong"/>
          <w:sz w:val="24"/>
          <w:szCs w:val="24"/>
        </w:rPr>
      </w:pPr>
      <w:r>
        <w:rPr>
          <w:rFonts w:ascii="SimHei" w:hAnsi="SimHei" w:eastAsia="SimHei" w:cs="SimHei"/>
          <w:sz w:val="24"/>
          <w:szCs w:val="24"/>
          <w:spacing w:val="1"/>
        </w:rPr>
        <w:t>四、机关运行经费：</w:t>
      </w:r>
      <w:r>
        <w:rPr>
          <w:rFonts w:ascii="FangSong" w:hAnsi="FangSong" w:eastAsia="FangSong" w:cs="FangSong"/>
          <w:sz w:val="24"/>
          <w:szCs w:val="24"/>
          <w:spacing w:val="1"/>
        </w:rPr>
        <w:t>指行政单位和参照公务员</w:t>
      </w:r>
      <w:r>
        <w:rPr>
          <w:rFonts w:ascii="FangSong" w:hAnsi="FangSong" w:eastAsia="FangSong" w:cs="FangSong"/>
          <w:sz w:val="24"/>
          <w:szCs w:val="24"/>
        </w:rPr>
        <w:t>法管理的事业单位使用财政拨款安</w:t>
      </w:r>
      <w:r>
        <w:rPr>
          <w:rFonts w:ascii="FangSong" w:hAnsi="FangSong" w:eastAsia="FangSong" w:cs="FangSong"/>
          <w:sz w:val="24"/>
          <w:szCs w:val="24"/>
          <w:spacing w:val="-3"/>
        </w:rPr>
        <w:t>排的基本支出中的公用经费支出。</w:t>
      </w:r>
    </w:p>
    <w:p>
      <w:pPr>
        <w:ind w:left="915" w:right="874" w:firstLine="480"/>
        <w:spacing w:before="159" w:line="321" w:lineRule="auto"/>
        <w:rPr>
          <w:rFonts w:ascii="FangSong" w:hAnsi="FangSong" w:eastAsia="FangSong" w:cs="FangSong"/>
          <w:sz w:val="24"/>
          <w:szCs w:val="24"/>
        </w:rPr>
      </w:pPr>
      <w:r>
        <w:rPr>
          <w:rFonts w:ascii="SimHei" w:hAnsi="SimHei" w:eastAsia="SimHei" w:cs="SimHei"/>
          <w:sz w:val="24"/>
          <w:szCs w:val="24"/>
          <w:spacing w:val="1"/>
        </w:rPr>
        <w:t>五、政府购买服务：</w:t>
      </w:r>
      <w:r>
        <w:rPr>
          <w:rFonts w:ascii="FangSong" w:hAnsi="FangSong" w:eastAsia="FangSong" w:cs="FangSong"/>
          <w:sz w:val="24"/>
          <w:szCs w:val="24"/>
          <w:spacing w:val="1"/>
        </w:rPr>
        <w:t>根据我国现行政策规定，政府购买服务，是</w:t>
      </w:r>
      <w:r>
        <w:rPr>
          <w:rFonts w:ascii="FangSong" w:hAnsi="FangSong" w:eastAsia="FangSong" w:cs="FangSong"/>
          <w:sz w:val="24"/>
          <w:szCs w:val="24"/>
        </w:rPr>
        <w:t>指充分发挥市场</w:t>
      </w:r>
      <w:r>
        <w:rPr>
          <w:rFonts w:ascii="FangSong" w:hAnsi="FangSong" w:eastAsia="FangSong" w:cs="FangSong"/>
          <w:sz w:val="24"/>
          <w:szCs w:val="24"/>
          <w:spacing w:val="1"/>
        </w:rPr>
        <w:t>机制作用，将国家机关属于自身职责范围且适合通过市场化方式</w:t>
      </w:r>
      <w:r>
        <w:rPr>
          <w:rFonts w:ascii="FangSong" w:hAnsi="FangSong" w:eastAsia="FangSong" w:cs="FangSong"/>
          <w:sz w:val="24"/>
          <w:szCs w:val="24"/>
        </w:rPr>
        <w:t>提供的服务事项，按</w:t>
      </w:r>
      <w:r>
        <w:rPr>
          <w:rFonts w:ascii="FangSong" w:hAnsi="FangSong" w:eastAsia="FangSong" w:cs="FangSong"/>
          <w:sz w:val="24"/>
          <w:szCs w:val="24"/>
          <w:spacing w:val="1"/>
        </w:rPr>
        <w:t>照政府采购方式和程序，交由符合条件的服务供应商承担，并根</w:t>
      </w:r>
      <w:r>
        <w:rPr>
          <w:rFonts w:ascii="FangSong" w:hAnsi="FangSong" w:eastAsia="FangSong" w:cs="FangSong"/>
          <w:sz w:val="24"/>
          <w:szCs w:val="24"/>
        </w:rPr>
        <w:t>据服务数量和质量等</w:t>
      </w:r>
      <w:r>
        <w:rPr>
          <w:rFonts w:ascii="FangSong" w:hAnsi="FangSong" w:eastAsia="FangSong" w:cs="FangSong"/>
          <w:sz w:val="24"/>
          <w:szCs w:val="24"/>
          <w:spacing w:val="-4"/>
        </w:rPr>
        <w:t>情况向其支付费用的行为。</w:t>
      </w:r>
    </w:p>
    <w:p>
      <w:pPr>
        <w:ind w:left="1396"/>
        <w:spacing w:before="178" w:line="222" w:lineRule="auto"/>
        <w:rPr>
          <w:rFonts w:ascii="SimHei" w:hAnsi="SimHei" w:eastAsia="SimHei" w:cs="SimHei"/>
          <w:sz w:val="24"/>
          <w:szCs w:val="24"/>
        </w:rPr>
      </w:pPr>
      <w:r>
        <w:rPr>
          <w:rFonts w:ascii="SimHei" w:hAnsi="SimHei" w:eastAsia="SimHei" w:cs="SimHei"/>
          <w:sz w:val="24"/>
          <w:szCs w:val="24"/>
          <w:spacing w:val="-6"/>
        </w:rPr>
        <w:t>六、财政专户管理资金：</w:t>
      </w:r>
    </w:p>
    <w:p>
      <w:pPr>
        <w:ind w:left="915" w:right="875" w:firstLine="482"/>
        <w:spacing w:before="206" w:line="358" w:lineRule="auto"/>
        <w:rPr>
          <w:rFonts w:ascii="FangSong" w:hAnsi="FangSong" w:eastAsia="FangSong" w:cs="FangSong"/>
          <w:sz w:val="24"/>
          <w:szCs w:val="24"/>
        </w:rPr>
      </w:pPr>
      <w:r>
        <w:rPr>
          <w:rFonts w:ascii="FangSong" w:hAnsi="FangSong" w:eastAsia="FangSong" w:cs="FangSong"/>
          <w:sz w:val="24"/>
          <w:szCs w:val="24"/>
          <w:spacing w:val="1"/>
        </w:rPr>
        <w:t>专指教育收费，包括目前在财政专户管理的高中以上学费</w:t>
      </w:r>
      <w:r>
        <w:rPr>
          <w:rFonts w:ascii="FangSong" w:hAnsi="FangSong" w:eastAsia="FangSong" w:cs="FangSong"/>
          <w:sz w:val="24"/>
          <w:szCs w:val="24"/>
        </w:rPr>
        <w:t>、住宿费，高校委托培</w:t>
      </w:r>
      <w:r>
        <w:rPr>
          <w:rFonts w:ascii="FangSong" w:hAnsi="FangSong" w:eastAsia="FangSong" w:cs="FangSong"/>
          <w:sz w:val="24"/>
          <w:szCs w:val="24"/>
          <w:spacing w:val="-2"/>
        </w:rPr>
        <w:t>养费，党校收费，教育考试考务费，函大、电大、夜大及短训班培训费等。</w:t>
      </w:r>
    </w:p>
    <w:p>
      <w:pPr>
        <w:ind w:left="929" w:right="874" w:firstLine="459"/>
        <w:spacing w:before="43" w:line="284" w:lineRule="auto"/>
        <w:rPr>
          <w:rFonts w:ascii="FangSong" w:hAnsi="FangSong" w:eastAsia="FangSong" w:cs="FangSong"/>
          <w:sz w:val="24"/>
          <w:szCs w:val="24"/>
        </w:rPr>
      </w:pPr>
      <w:r>
        <w:rPr>
          <w:rFonts w:ascii="SimHei" w:hAnsi="SimHei" w:eastAsia="SimHei" w:cs="SimHei"/>
          <w:sz w:val="24"/>
          <w:szCs w:val="24"/>
          <w:spacing w:val="1"/>
        </w:rPr>
        <w:t>七、单位资金：</w:t>
      </w:r>
      <w:r>
        <w:rPr>
          <w:rFonts w:ascii="FangSong" w:hAnsi="FangSong" w:eastAsia="FangSong" w:cs="FangSong"/>
          <w:sz w:val="24"/>
          <w:szCs w:val="24"/>
          <w:spacing w:val="1"/>
        </w:rPr>
        <w:t>是指除政府预算资金和财政专户管理资金以外的资金，包括事业</w:t>
      </w:r>
      <w:r>
        <w:rPr>
          <w:rFonts w:ascii="FangSong" w:hAnsi="FangSong" w:eastAsia="FangSong" w:cs="FangSong"/>
          <w:sz w:val="24"/>
          <w:szCs w:val="24"/>
          <w:spacing w:val="-2"/>
        </w:rPr>
        <w:t>收入、事业单位经营收入、上级补助收入、附属单位上缴收入、其他收入。</w:t>
      </w:r>
    </w:p>
    <w:p>
      <w:pPr>
        <w:ind w:left="915" w:right="874" w:firstLine="473"/>
        <w:spacing w:before="178" w:line="293" w:lineRule="auto"/>
        <w:rPr>
          <w:rFonts w:ascii="FangSong" w:hAnsi="FangSong" w:eastAsia="FangSong" w:cs="FangSong"/>
          <w:sz w:val="24"/>
          <w:szCs w:val="24"/>
        </w:rPr>
      </w:pPr>
      <w:r>
        <w:rPr>
          <w:rFonts w:ascii="SimHei" w:hAnsi="SimHei" w:eastAsia="SimHei" w:cs="SimHei"/>
          <w:sz w:val="24"/>
          <w:szCs w:val="24"/>
          <w:spacing w:val="1"/>
        </w:rPr>
        <w:t>八、上年结转：</w:t>
      </w:r>
      <w:r>
        <w:rPr>
          <w:rFonts w:ascii="FangSong" w:hAnsi="FangSong" w:eastAsia="FangSong" w:cs="FangSong"/>
          <w:sz w:val="24"/>
          <w:szCs w:val="24"/>
          <w:spacing w:val="1"/>
        </w:rPr>
        <w:t>指以前年度预算安排、结转到本年仍按原规定用途继续使用的资</w:t>
      </w:r>
      <w:r>
        <w:rPr>
          <w:rFonts w:ascii="FangSong" w:hAnsi="FangSong" w:eastAsia="FangSong" w:cs="FangSong"/>
          <w:sz w:val="24"/>
          <w:szCs w:val="24"/>
          <w:spacing w:val="-12"/>
        </w:rPr>
        <w:t>金。</w:t>
      </w:r>
    </w:p>
    <w:p>
      <w:pPr>
        <w:ind w:left="917" w:right="913" w:firstLine="477"/>
        <w:spacing w:before="154" w:line="288" w:lineRule="auto"/>
        <w:rPr>
          <w:rFonts w:ascii="FangSong" w:hAnsi="FangSong" w:eastAsia="FangSong" w:cs="FangSong"/>
          <w:sz w:val="24"/>
          <w:szCs w:val="24"/>
        </w:rPr>
      </w:pPr>
      <w:r>
        <w:rPr>
          <w:rFonts w:ascii="SimHei" w:hAnsi="SimHei" w:eastAsia="SimHei" w:cs="SimHei"/>
          <w:sz w:val="24"/>
          <w:szCs w:val="24"/>
        </w:rPr>
        <w:t>九、一般公共预算：</w:t>
      </w:r>
      <w:r>
        <w:rPr>
          <w:rFonts w:ascii="FangSong" w:hAnsi="FangSong" w:eastAsia="FangSong" w:cs="FangSong"/>
          <w:sz w:val="24"/>
          <w:szCs w:val="24"/>
        </w:rPr>
        <w:t>是指以税收为主体的财政收入，安排</w:t>
      </w:r>
      <w:r>
        <w:rPr>
          <w:rFonts w:ascii="FangSong" w:hAnsi="FangSong" w:eastAsia="FangSong" w:cs="FangSong"/>
          <w:sz w:val="24"/>
          <w:szCs w:val="24"/>
          <w:spacing w:val="-1"/>
        </w:rPr>
        <w:t>用于保障和改善民生、</w:t>
      </w:r>
      <w:r>
        <w:rPr>
          <w:rFonts w:ascii="FangSong" w:hAnsi="FangSong" w:eastAsia="FangSong" w:cs="FangSong"/>
          <w:sz w:val="24"/>
          <w:szCs w:val="24"/>
          <w:spacing w:val="-1"/>
        </w:rPr>
        <w:t>推动经济社会发展、维护国家安全、维持国家</w:t>
      </w:r>
      <w:r>
        <w:rPr>
          <w:rFonts w:ascii="FangSong" w:hAnsi="FangSong" w:eastAsia="FangSong" w:cs="FangSong"/>
          <w:sz w:val="24"/>
          <w:szCs w:val="24"/>
          <w:spacing w:val="-2"/>
        </w:rPr>
        <w:t>机构正常运转等方面的收支预算。</w:t>
      </w:r>
    </w:p>
    <w:p>
      <w:pPr>
        <w:ind w:left="916" w:right="874" w:firstLine="475"/>
        <w:spacing w:before="180" w:line="284" w:lineRule="auto"/>
        <w:rPr>
          <w:rFonts w:ascii="FangSong" w:hAnsi="FangSong" w:eastAsia="FangSong" w:cs="FangSong"/>
          <w:sz w:val="24"/>
          <w:szCs w:val="24"/>
        </w:rPr>
      </w:pPr>
      <w:r>
        <w:rPr>
          <w:rFonts w:ascii="SimHei" w:hAnsi="SimHei" w:eastAsia="SimHei" w:cs="SimHei"/>
          <w:sz w:val="24"/>
          <w:szCs w:val="24"/>
          <w:spacing w:val="1"/>
        </w:rPr>
        <w:t>十、政府性基金预算：</w:t>
      </w:r>
      <w:r>
        <w:rPr>
          <w:rFonts w:ascii="FangSong" w:hAnsi="FangSong" w:eastAsia="FangSong" w:cs="FangSong"/>
          <w:sz w:val="24"/>
          <w:szCs w:val="24"/>
          <w:spacing w:val="1"/>
        </w:rPr>
        <w:t>是对依照法律、行政法规的规定在一定期限内向</w:t>
      </w:r>
      <w:r>
        <w:rPr>
          <w:rFonts w:ascii="FangSong" w:hAnsi="FangSong" w:eastAsia="FangSong" w:cs="FangSong"/>
          <w:sz w:val="24"/>
          <w:szCs w:val="24"/>
        </w:rPr>
        <w:t>特定对象</w:t>
      </w:r>
      <w:r>
        <w:rPr>
          <w:rFonts w:ascii="FangSong" w:hAnsi="FangSong" w:eastAsia="FangSong" w:cs="FangSong"/>
          <w:sz w:val="24"/>
          <w:szCs w:val="24"/>
          <w:spacing w:val="-1"/>
        </w:rPr>
        <w:t>征收、收取或者以其他方式筹集的资金，专项用于特</w:t>
      </w:r>
      <w:r>
        <w:rPr>
          <w:rFonts w:ascii="FangSong" w:hAnsi="FangSong" w:eastAsia="FangSong" w:cs="FangSong"/>
          <w:sz w:val="24"/>
          <w:szCs w:val="24"/>
          <w:spacing w:val="-2"/>
        </w:rPr>
        <w:t>定公共事业发展的收支预算。</w:t>
      </w:r>
    </w:p>
    <w:p>
      <w:pPr>
        <w:ind w:left="1392"/>
        <w:spacing w:before="177" w:line="220" w:lineRule="auto"/>
        <w:rPr>
          <w:rFonts w:ascii="FangSong" w:hAnsi="FangSong" w:eastAsia="FangSong" w:cs="FangSong"/>
          <w:sz w:val="24"/>
          <w:szCs w:val="24"/>
        </w:rPr>
      </w:pPr>
      <w:r>
        <w:rPr>
          <w:rFonts w:ascii="SimHei" w:hAnsi="SimHei" w:eastAsia="SimHei" w:cs="SimHei"/>
          <w:sz w:val="24"/>
          <w:szCs w:val="24"/>
          <w:spacing w:val="-1"/>
        </w:rPr>
        <w:t>十一、国有资本经营预算：</w:t>
      </w:r>
      <w:r>
        <w:rPr>
          <w:rFonts w:ascii="FangSong" w:hAnsi="FangSong" w:eastAsia="FangSong" w:cs="FangSong"/>
          <w:sz w:val="24"/>
          <w:szCs w:val="24"/>
          <w:spacing w:val="-1"/>
        </w:rPr>
        <w:t>是对国有资本收益作</w:t>
      </w:r>
      <w:r>
        <w:rPr>
          <w:rFonts w:ascii="FangSong" w:hAnsi="FangSong" w:eastAsia="FangSong" w:cs="FangSong"/>
          <w:sz w:val="24"/>
          <w:szCs w:val="24"/>
          <w:spacing w:val="-2"/>
        </w:rPr>
        <w:t>出支出安排的收支预算。</w:t>
      </w:r>
    </w:p>
    <w:p>
      <w:pPr>
        <w:ind w:left="1392"/>
        <w:spacing w:before="179" w:line="220" w:lineRule="auto"/>
        <w:rPr>
          <w:rFonts w:ascii="FangSong" w:hAnsi="FangSong" w:eastAsia="FangSong" w:cs="FangSong"/>
          <w:sz w:val="24"/>
          <w:szCs w:val="24"/>
        </w:rPr>
      </w:pPr>
      <w:r>
        <w:rPr>
          <w:rFonts w:ascii="SimHei" w:hAnsi="SimHei" w:eastAsia="SimHei" w:cs="SimHei"/>
          <w:sz w:val="24"/>
          <w:szCs w:val="24"/>
          <w:spacing w:val="-1"/>
        </w:rPr>
        <w:t>十二、财政拨款：</w:t>
      </w:r>
      <w:r>
        <w:rPr>
          <w:rFonts w:ascii="FangSong" w:hAnsi="FangSong" w:eastAsia="FangSong" w:cs="FangSong"/>
          <w:sz w:val="24"/>
          <w:szCs w:val="24"/>
          <w:spacing w:val="-1"/>
        </w:rPr>
        <w:t>包含一般公共预算、政府性基金预算</w:t>
      </w:r>
      <w:r>
        <w:rPr>
          <w:rFonts w:ascii="FangSong" w:hAnsi="FangSong" w:eastAsia="FangSong" w:cs="FangSong"/>
          <w:sz w:val="24"/>
          <w:szCs w:val="24"/>
          <w:spacing w:val="-2"/>
        </w:rPr>
        <w:t>、国有资本经营预算。</w:t>
      </w:r>
    </w:p>
    <w:sectPr>
      <w:footerReference w:type="default" r:id="rId144"/>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50" w:id="45"/>
    <w:bookmarkEnd w:id="45"/>
    <w:r>
      <w:rPr>
        <w:rFonts w:ascii="STSong" w:hAnsi="STSong" w:eastAsia="STSong" w:cs="STSong"/>
        <w:sz w:val="16"/>
        <w:szCs w:val="16"/>
        <w:spacing w:val="5"/>
        <w:position w:val="2"/>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51" w:id="46"/>
    <w:bookmarkEnd w:id="46"/>
    <w:r>
      <w:rPr>
        <w:rFonts w:ascii="STSong" w:hAnsi="STSong" w:eastAsia="STSong" w:cs="STSong"/>
        <w:sz w:val="16"/>
        <w:szCs w:val="16"/>
        <w:spacing w:val="5"/>
        <w:position w:val="2"/>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-81-</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长治市规划和自然资源局开发区分局2026年部门预算公开报告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长治市规划和自然资源局开发区分局2026年部门预算公开报告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8.xml"/><Relationship Id="rId98" Type="http://schemas.openxmlformats.org/officeDocument/2006/relationships/image" Target="media/image39.png"/><Relationship Id="rId97" Type="http://schemas.openxmlformats.org/officeDocument/2006/relationships/footer" Target="footer57.xml"/><Relationship Id="rId96" Type="http://schemas.openxmlformats.org/officeDocument/2006/relationships/image" Target="media/image38.png"/><Relationship Id="rId95" Type="http://schemas.openxmlformats.org/officeDocument/2006/relationships/footer" Target="footer56.xml"/><Relationship Id="rId94" Type="http://schemas.openxmlformats.org/officeDocument/2006/relationships/image" Target="media/image37.png"/><Relationship Id="rId93" Type="http://schemas.openxmlformats.org/officeDocument/2006/relationships/footer" Target="footer55.xml"/><Relationship Id="rId92" Type="http://schemas.openxmlformats.org/officeDocument/2006/relationships/image" Target="media/image36.png"/><Relationship Id="rId91" Type="http://schemas.openxmlformats.org/officeDocument/2006/relationships/footer" Target="footer54.xml"/><Relationship Id="rId90" Type="http://schemas.openxmlformats.org/officeDocument/2006/relationships/image" Target="media/image35.png"/><Relationship Id="rId9" Type="http://schemas.openxmlformats.org/officeDocument/2006/relationships/footer" Target="footer7.xml"/><Relationship Id="rId89" Type="http://schemas.openxmlformats.org/officeDocument/2006/relationships/footer" Target="footer53.xml"/><Relationship Id="rId88" Type="http://schemas.openxmlformats.org/officeDocument/2006/relationships/image" Target="media/image34.png"/><Relationship Id="rId87" Type="http://schemas.openxmlformats.org/officeDocument/2006/relationships/footer" Target="footer52.xml"/><Relationship Id="rId86" Type="http://schemas.openxmlformats.org/officeDocument/2006/relationships/image" Target="media/image33.png"/><Relationship Id="rId85" Type="http://schemas.openxmlformats.org/officeDocument/2006/relationships/footer" Target="footer51.xml"/><Relationship Id="rId84" Type="http://schemas.openxmlformats.org/officeDocument/2006/relationships/image" Target="media/image32.png"/><Relationship Id="rId83" Type="http://schemas.openxmlformats.org/officeDocument/2006/relationships/footer" Target="footer50.xml"/><Relationship Id="rId82" Type="http://schemas.openxmlformats.org/officeDocument/2006/relationships/image" Target="media/image31.png"/><Relationship Id="rId81" Type="http://schemas.openxmlformats.org/officeDocument/2006/relationships/footer" Target="footer49.xml"/><Relationship Id="rId80" Type="http://schemas.openxmlformats.org/officeDocument/2006/relationships/image" Target="media/image30.png"/><Relationship Id="rId8" Type="http://schemas.openxmlformats.org/officeDocument/2006/relationships/footer" Target="footer6.xml"/><Relationship Id="rId79" Type="http://schemas.openxmlformats.org/officeDocument/2006/relationships/footer" Target="footer48.xml"/><Relationship Id="rId78" Type="http://schemas.openxmlformats.org/officeDocument/2006/relationships/image" Target="media/image29.png"/><Relationship Id="rId77" Type="http://schemas.openxmlformats.org/officeDocument/2006/relationships/footer" Target="footer47.xml"/><Relationship Id="rId76" Type="http://schemas.openxmlformats.org/officeDocument/2006/relationships/image" Target="media/image28.png"/><Relationship Id="rId75" Type="http://schemas.openxmlformats.org/officeDocument/2006/relationships/footer" Target="footer46.xml"/><Relationship Id="rId74" Type="http://schemas.openxmlformats.org/officeDocument/2006/relationships/image" Target="media/image27.png"/><Relationship Id="rId73" Type="http://schemas.openxmlformats.org/officeDocument/2006/relationships/footer" Target="footer45.xml"/><Relationship Id="rId72" Type="http://schemas.openxmlformats.org/officeDocument/2006/relationships/image" Target="media/image26.png"/><Relationship Id="rId71" Type="http://schemas.openxmlformats.org/officeDocument/2006/relationships/footer" Target="footer44.xml"/><Relationship Id="rId70" Type="http://schemas.openxmlformats.org/officeDocument/2006/relationships/image" Target="media/image25.png"/><Relationship Id="rId7" Type="http://schemas.openxmlformats.org/officeDocument/2006/relationships/footer" Target="footer5.xml"/><Relationship Id="rId69" Type="http://schemas.openxmlformats.org/officeDocument/2006/relationships/footer" Target="footer43.xml"/><Relationship Id="rId68" Type="http://schemas.openxmlformats.org/officeDocument/2006/relationships/image" Target="media/image24.png"/><Relationship Id="rId67" Type="http://schemas.openxmlformats.org/officeDocument/2006/relationships/footer" Target="footer42.xml"/><Relationship Id="rId66" Type="http://schemas.openxmlformats.org/officeDocument/2006/relationships/image" Target="media/image23.png"/><Relationship Id="rId65" Type="http://schemas.openxmlformats.org/officeDocument/2006/relationships/footer" Target="footer41.xml"/><Relationship Id="rId64" Type="http://schemas.openxmlformats.org/officeDocument/2006/relationships/image" Target="media/image22.png"/><Relationship Id="rId63" Type="http://schemas.openxmlformats.org/officeDocument/2006/relationships/footer" Target="footer40.xml"/><Relationship Id="rId62" Type="http://schemas.openxmlformats.org/officeDocument/2006/relationships/image" Target="media/image21.png"/><Relationship Id="rId61" Type="http://schemas.openxmlformats.org/officeDocument/2006/relationships/footer" Target="footer39.xml"/><Relationship Id="rId60" Type="http://schemas.openxmlformats.org/officeDocument/2006/relationships/image" Target="media/image20.png"/><Relationship Id="rId6" Type="http://schemas.openxmlformats.org/officeDocument/2006/relationships/footer" Target="footer4.xml"/><Relationship Id="rId59" Type="http://schemas.openxmlformats.org/officeDocument/2006/relationships/footer" Target="footer38.xml"/><Relationship Id="rId58" Type="http://schemas.openxmlformats.org/officeDocument/2006/relationships/image" Target="media/image19.png"/><Relationship Id="rId57" Type="http://schemas.openxmlformats.org/officeDocument/2006/relationships/footer" Target="footer37.xml"/><Relationship Id="rId56" Type="http://schemas.openxmlformats.org/officeDocument/2006/relationships/image" Target="media/image18.png"/><Relationship Id="rId55" Type="http://schemas.openxmlformats.org/officeDocument/2006/relationships/footer" Target="footer36.xml"/><Relationship Id="rId54" Type="http://schemas.openxmlformats.org/officeDocument/2006/relationships/image" Target="media/image17.png"/><Relationship Id="rId53" Type="http://schemas.openxmlformats.org/officeDocument/2006/relationships/footer" Target="footer35.xml"/><Relationship Id="rId52" Type="http://schemas.openxmlformats.org/officeDocument/2006/relationships/image" Target="media/image16.png"/><Relationship Id="rId51" Type="http://schemas.openxmlformats.org/officeDocument/2006/relationships/footer" Target="footer34.xml"/><Relationship Id="rId50" Type="http://schemas.openxmlformats.org/officeDocument/2006/relationships/image" Target="media/image15.png"/><Relationship Id="rId5" Type="http://schemas.openxmlformats.org/officeDocument/2006/relationships/header" Target="header2.xml"/><Relationship Id="rId49" Type="http://schemas.openxmlformats.org/officeDocument/2006/relationships/footer" Target="footer33.xml"/><Relationship Id="rId48" Type="http://schemas.openxmlformats.org/officeDocument/2006/relationships/image" Target="media/image14.png"/><Relationship Id="rId47" Type="http://schemas.openxmlformats.org/officeDocument/2006/relationships/footer" Target="footer32.xml"/><Relationship Id="rId46" Type="http://schemas.openxmlformats.org/officeDocument/2006/relationships/image" Target="media/image13.png"/><Relationship Id="rId45" Type="http://schemas.openxmlformats.org/officeDocument/2006/relationships/footer" Target="footer31.xml"/><Relationship Id="rId44" Type="http://schemas.openxmlformats.org/officeDocument/2006/relationships/image" Target="media/image12.png"/><Relationship Id="rId43" Type="http://schemas.openxmlformats.org/officeDocument/2006/relationships/footer" Target="footer30.xml"/><Relationship Id="rId42" Type="http://schemas.openxmlformats.org/officeDocument/2006/relationships/image" Target="media/image11.png"/><Relationship Id="rId41" Type="http://schemas.openxmlformats.org/officeDocument/2006/relationships/footer" Target="footer29.xml"/><Relationship Id="rId40" Type="http://schemas.openxmlformats.org/officeDocument/2006/relationships/image" Target="media/image10.png"/><Relationship Id="rId4" Type="http://schemas.openxmlformats.org/officeDocument/2006/relationships/footer" Target="footer3.xml"/><Relationship Id="rId39" Type="http://schemas.openxmlformats.org/officeDocument/2006/relationships/footer" Target="footer28.xml"/><Relationship Id="rId38" Type="http://schemas.openxmlformats.org/officeDocument/2006/relationships/image" Target="media/image9.png"/><Relationship Id="rId37" Type="http://schemas.openxmlformats.org/officeDocument/2006/relationships/footer" Target="footer27.xml"/><Relationship Id="rId36" Type="http://schemas.openxmlformats.org/officeDocument/2006/relationships/image" Target="media/image8.png"/><Relationship Id="rId35" Type="http://schemas.openxmlformats.org/officeDocument/2006/relationships/footer" Target="footer26.xml"/><Relationship Id="rId34" Type="http://schemas.openxmlformats.org/officeDocument/2006/relationships/image" Target="media/image7.png"/><Relationship Id="rId33" Type="http://schemas.openxmlformats.org/officeDocument/2006/relationships/footer" Target="footer25.xml"/><Relationship Id="rId32" Type="http://schemas.openxmlformats.org/officeDocument/2006/relationships/image" Target="media/image6.png"/><Relationship Id="rId31" Type="http://schemas.openxmlformats.org/officeDocument/2006/relationships/footer" Target="footer24.xml"/><Relationship Id="rId30" Type="http://schemas.openxmlformats.org/officeDocument/2006/relationships/image" Target="media/image5.png"/><Relationship Id="rId3" Type="http://schemas.openxmlformats.org/officeDocument/2006/relationships/footer" Target="footer2.xml"/><Relationship Id="rId29" Type="http://schemas.openxmlformats.org/officeDocument/2006/relationships/footer" Target="footer23.xml"/><Relationship Id="rId28" Type="http://schemas.openxmlformats.org/officeDocument/2006/relationships/image" Target="media/image4.png"/><Relationship Id="rId27" Type="http://schemas.openxmlformats.org/officeDocument/2006/relationships/footer" Target="footer22.xml"/><Relationship Id="rId26" Type="http://schemas.openxmlformats.org/officeDocument/2006/relationships/image" Target="media/image3.png"/><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image" Target="media/image2.png"/><Relationship Id="rId22" Type="http://schemas.openxmlformats.org/officeDocument/2006/relationships/footer" Target="footer19.xml"/><Relationship Id="rId21" Type="http://schemas.openxmlformats.org/officeDocument/2006/relationships/image" Target="media/image1.png"/><Relationship Id="rId20" Type="http://schemas.openxmlformats.org/officeDocument/2006/relationships/footer" Target="footer18.xml"/><Relationship Id="rId2" Type="http://schemas.openxmlformats.org/officeDocument/2006/relationships/footer" Target="footer1.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7" Type="http://schemas.openxmlformats.org/officeDocument/2006/relationships/fontTable" Target="fontTable.xml"/><Relationship Id="rId146" Type="http://schemas.openxmlformats.org/officeDocument/2006/relationships/styles" Target="styles.xml"/><Relationship Id="rId145" Type="http://schemas.openxmlformats.org/officeDocument/2006/relationships/settings" Target="settings.xml"/><Relationship Id="rId144" Type="http://schemas.openxmlformats.org/officeDocument/2006/relationships/footer" Target="footer81.xml"/><Relationship Id="rId143" Type="http://schemas.openxmlformats.org/officeDocument/2006/relationships/image" Target="media/image61.png"/><Relationship Id="rId142" Type="http://schemas.openxmlformats.org/officeDocument/2006/relationships/footer" Target="footer80.xml"/><Relationship Id="rId141" Type="http://schemas.openxmlformats.org/officeDocument/2006/relationships/footer" Target="footer79.xml"/><Relationship Id="rId140" Type="http://schemas.openxmlformats.org/officeDocument/2006/relationships/image" Target="media/image60.png"/><Relationship Id="rId14" Type="http://schemas.openxmlformats.org/officeDocument/2006/relationships/footer" Target="footer12.xml"/><Relationship Id="rId139" Type="http://schemas.openxmlformats.org/officeDocument/2006/relationships/footer" Target="footer78.xml"/><Relationship Id="rId138" Type="http://schemas.openxmlformats.org/officeDocument/2006/relationships/image" Target="media/image59.png"/><Relationship Id="rId137" Type="http://schemas.openxmlformats.org/officeDocument/2006/relationships/footer" Target="footer77.xml"/><Relationship Id="rId136" Type="http://schemas.openxmlformats.org/officeDocument/2006/relationships/image" Target="media/image58.png"/><Relationship Id="rId135" Type="http://schemas.openxmlformats.org/officeDocument/2006/relationships/footer" Target="footer76.xml"/><Relationship Id="rId134" Type="http://schemas.openxmlformats.org/officeDocument/2006/relationships/image" Target="media/image57.png"/><Relationship Id="rId133" Type="http://schemas.openxmlformats.org/officeDocument/2006/relationships/footer" Target="footer75.xml"/><Relationship Id="rId132" Type="http://schemas.openxmlformats.org/officeDocument/2006/relationships/image" Target="media/image56.png"/><Relationship Id="rId131" Type="http://schemas.openxmlformats.org/officeDocument/2006/relationships/footer" Target="footer74.xml"/><Relationship Id="rId130" Type="http://schemas.openxmlformats.org/officeDocument/2006/relationships/image" Target="media/image55.png"/><Relationship Id="rId13" Type="http://schemas.openxmlformats.org/officeDocument/2006/relationships/footer" Target="footer11.xml"/><Relationship Id="rId129" Type="http://schemas.openxmlformats.org/officeDocument/2006/relationships/footer" Target="footer73.xml"/><Relationship Id="rId128" Type="http://schemas.openxmlformats.org/officeDocument/2006/relationships/image" Target="media/image54.png"/><Relationship Id="rId127" Type="http://schemas.openxmlformats.org/officeDocument/2006/relationships/footer" Target="footer72.xml"/><Relationship Id="rId126" Type="http://schemas.openxmlformats.org/officeDocument/2006/relationships/image" Target="media/image53.png"/><Relationship Id="rId125" Type="http://schemas.openxmlformats.org/officeDocument/2006/relationships/footer" Target="footer71.xml"/><Relationship Id="rId124" Type="http://schemas.openxmlformats.org/officeDocument/2006/relationships/image" Target="media/image52.png"/><Relationship Id="rId123" Type="http://schemas.openxmlformats.org/officeDocument/2006/relationships/footer" Target="footer70.xml"/><Relationship Id="rId122" Type="http://schemas.openxmlformats.org/officeDocument/2006/relationships/image" Target="media/image51.png"/><Relationship Id="rId121" Type="http://schemas.openxmlformats.org/officeDocument/2006/relationships/footer" Target="footer69.xml"/><Relationship Id="rId120" Type="http://schemas.openxmlformats.org/officeDocument/2006/relationships/image" Target="media/image50.png"/><Relationship Id="rId12" Type="http://schemas.openxmlformats.org/officeDocument/2006/relationships/footer" Target="footer10.xml"/><Relationship Id="rId119" Type="http://schemas.openxmlformats.org/officeDocument/2006/relationships/footer" Target="footer68.xml"/><Relationship Id="rId118" Type="http://schemas.openxmlformats.org/officeDocument/2006/relationships/image" Target="media/image49.png"/><Relationship Id="rId117" Type="http://schemas.openxmlformats.org/officeDocument/2006/relationships/footer" Target="footer67.xml"/><Relationship Id="rId116" Type="http://schemas.openxmlformats.org/officeDocument/2006/relationships/image" Target="media/image48.png"/><Relationship Id="rId115" Type="http://schemas.openxmlformats.org/officeDocument/2006/relationships/footer" Target="footer66.xml"/><Relationship Id="rId114" Type="http://schemas.openxmlformats.org/officeDocument/2006/relationships/image" Target="media/image47.png"/><Relationship Id="rId113" Type="http://schemas.openxmlformats.org/officeDocument/2006/relationships/footer" Target="footer65.xml"/><Relationship Id="rId112" Type="http://schemas.openxmlformats.org/officeDocument/2006/relationships/image" Target="media/image46.png"/><Relationship Id="rId111" Type="http://schemas.openxmlformats.org/officeDocument/2006/relationships/footer" Target="footer64.xml"/><Relationship Id="rId110" Type="http://schemas.openxmlformats.org/officeDocument/2006/relationships/image" Target="media/image45.png"/><Relationship Id="rId11" Type="http://schemas.openxmlformats.org/officeDocument/2006/relationships/footer" Target="footer9.xml"/><Relationship Id="rId109" Type="http://schemas.openxmlformats.org/officeDocument/2006/relationships/footer" Target="footer63.xml"/><Relationship Id="rId108" Type="http://schemas.openxmlformats.org/officeDocument/2006/relationships/image" Target="media/image44.png"/><Relationship Id="rId107" Type="http://schemas.openxmlformats.org/officeDocument/2006/relationships/footer" Target="footer62.xml"/><Relationship Id="rId106" Type="http://schemas.openxmlformats.org/officeDocument/2006/relationships/image" Target="media/image43.png"/><Relationship Id="rId105" Type="http://schemas.openxmlformats.org/officeDocument/2006/relationships/footer" Target="footer61.xml"/><Relationship Id="rId104" Type="http://schemas.openxmlformats.org/officeDocument/2006/relationships/image" Target="media/image42.png"/><Relationship Id="rId103" Type="http://schemas.openxmlformats.org/officeDocument/2006/relationships/footer" Target="footer60.xml"/><Relationship Id="rId102" Type="http://schemas.openxmlformats.org/officeDocument/2006/relationships/image" Target="media/image41.png"/><Relationship Id="rId101" Type="http://schemas.openxmlformats.org/officeDocument/2006/relationships/footer" Target="footer59.xml"/><Relationship Id="rId100" Type="http://schemas.openxmlformats.org/officeDocument/2006/relationships/image" Target="media/image40.png"/><Relationship Id="rId10" Type="http://schemas.openxmlformats.org/officeDocument/2006/relationships/footer" Target="footer8.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2026-02-25T16:34:05Z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2026-02-25T17:39:52</vt:filetime>
  </property>
</Properties>
</file>