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078" w:right="1631" w:hanging="1419"/>
        <w:spacing w:before="140" w:line="350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spacing w:val="102"/>
        </w:rPr>
        <w:t>长治高新技术产业开发区科技创新部</w:t>
      </w:r>
      <w:r>
        <w:rPr>
          <w:rFonts w:ascii="SimSun" w:hAnsi="SimSun" w:eastAsia="SimSun" w:cs="SimSun"/>
          <w:sz w:val="43"/>
          <w:szCs w:val="43"/>
          <w:spacing w:val="9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2</w:t>
      </w:r>
      <w:r>
        <w:rPr>
          <w:rFonts w:ascii="SimSun" w:hAnsi="SimSun" w:eastAsia="SimSun" w:cs="SimSun"/>
          <w:sz w:val="43"/>
          <w:szCs w:val="43"/>
          <w:spacing w:val="-90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0</w:t>
      </w:r>
      <w:r>
        <w:rPr>
          <w:rFonts w:ascii="SimSun" w:hAnsi="SimSun" w:eastAsia="SimSun" w:cs="SimSun"/>
          <w:sz w:val="43"/>
          <w:szCs w:val="43"/>
          <w:spacing w:val="-93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2</w:t>
      </w:r>
      <w:r>
        <w:rPr>
          <w:rFonts w:ascii="SimSun" w:hAnsi="SimSun" w:eastAsia="SimSun" w:cs="SimSun"/>
          <w:sz w:val="43"/>
          <w:szCs w:val="43"/>
          <w:spacing w:val="-87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6</w:t>
      </w:r>
      <w:r>
        <w:rPr>
          <w:rFonts w:ascii="SimSun" w:hAnsi="SimSun" w:eastAsia="SimSun" w:cs="SimSun"/>
          <w:sz w:val="43"/>
          <w:szCs w:val="43"/>
          <w:spacing w:val="-98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年</w:t>
      </w:r>
      <w:r>
        <w:rPr>
          <w:rFonts w:ascii="SimSun" w:hAnsi="SimSun" w:eastAsia="SimSun" w:cs="SimSun"/>
          <w:sz w:val="43"/>
          <w:szCs w:val="43"/>
          <w:spacing w:val="-96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度</w:t>
      </w:r>
      <w:r>
        <w:rPr>
          <w:rFonts w:ascii="SimSun" w:hAnsi="SimSun" w:eastAsia="SimSun" w:cs="SimSun"/>
          <w:sz w:val="43"/>
          <w:szCs w:val="43"/>
          <w:spacing w:val="-95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单</w:t>
      </w:r>
      <w:r>
        <w:rPr>
          <w:rFonts w:ascii="SimSun" w:hAnsi="SimSun" w:eastAsia="SimSun" w:cs="SimSun"/>
          <w:sz w:val="43"/>
          <w:szCs w:val="43"/>
          <w:spacing w:val="-104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位</w:t>
      </w:r>
      <w:r>
        <w:rPr>
          <w:rFonts w:ascii="SimSun" w:hAnsi="SimSun" w:eastAsia="SimSun" w:cs="SimSun"/>
          <w:sz w:val="43"/>
          <w:szCs w:val="43"/>
          <w:spacing w:val="-108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预</w:t>
      </w:r>
      <w:r>
        <w:rPr>
          <w:rFonts w:ascii="SimSun" w:hAnsi="SimSun" w:eastAsia="SimSun" w:cs="SimSun"/>
          <w:sz w:val="43"/>
          <w:szCs w:val="43"/>
          <w:spacing w:val="-94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算</w:t>
      </w:r>
      <w:r>
        <w:rPr>
          <w:rFonts w:ascii="SimSun" w:hAnsi="SimSun" w:eastAsia="SimSun" w:cs="SimSun"/>
          <w:sz w:val="43"/>
          <w:szCs w:val="43"/>
          <w:spacing w:val="-104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公</w:t>
      </w:r>
      <w:r>
        <w:rPr>
          <w:rFonts w:ascii="SimSun" w:hAnsi="SimSun" w:eastAsia="SimSun" w:cs="SimSun"/>
          <w:sz w:val="43"/>
          <w:szCs w:val="43"/>
          <w:spacing w:val="-98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</w:rPr>
        <w:t>开</w:t>
      </w:r>
    </w:p>
    <w:p>
      <w:pPr>
        <w:spacing w:line="350" w:lineRule="auto"/>
        <w:sectPr>
          <w:headerReference w:type="default" r:id="rId1"/>
          <w:pgSz w:w="11900" w:h="16840"/>
          <w:pgMar w:top="400" w:right="86" w:bottom="0" w:left="0" w:header="0" w:footer="0" w:gutter="0"/>
        </w:sectPr>
        <w:rPr>
          <w:rFonts w:ascii="SimSun" w:hAnsi="SimSun" w:eastAsia="SimSun" w:cs="SimSun"/>
          <w:sz w:val="43"/>
          <w:szCs w:val="43"/>
        </w:rPr>
      </w:pPr>
    </w:p>
    <w:p>
      <w:pPr>
        <w:pStyle w:val="BodyText"/>
        <w:spacing w:line="475" w:lineRule="auto"/>
        <w:rPr/>
      </w:pPr>
      <w:r/>
    </w:p>
    <w:p>
      <w:pPr>
        <w:ind w:left="5320"/>
        <w:spacing w:before="16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录</w:t>
      </w:r>
    </w:p>
    <w:p>
      <w:pPr>
        <w:pStyle w:val="BodyText"/>
        <w:spacing w:line="444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54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第一部分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概况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1</w:t>
            </w:r>
          </w:hyperlink>
        </w:p>
        <w:p>
          <w:pPr>
            <w:ind w:left="1986"/>
            <w:spacing w:before="114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一、本单位职责</w:t>
            </w:r>
            <w:r>
              <w:rPr>
                <w:rFonts w:ascii="FangSong" w:hAnsi="FangSong" w:eastAsia="FangSong" w:cs="FangSong"/>
                <w:sz w:val="32"/>
                <w:szCs w:val="32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991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354"/>
            <w:spacing w:before="114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第二部分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2026年单位预算报表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2</w:t>
            </w:r>
          </w:hyperlink>
        </w:p>
        <w:p>
          <w:pPr>
            <w:ind w:left="1983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表一2026年预算收支总表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表二2026年预算收入总表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4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表三2026年预算支出总表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6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表四2026年财政拨款收支总表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7</w:t>
            </w:r>
          </w:hyperlink>
        </w:p>
        <w:p>
          <w:pPr>
            <w:ind w:left="1983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表五2026年一般公共预算支出预算表（不含上年结转）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</w:rPr>
              <w:t>9</w:t>
            </w:r>
          </w:hyperlink>
        </w:p>
        <w:p>
          <w:pPr>
            <w:ind w:left="1983"/>
            <w:spacing w:before="120" w:line="221" w:lineRule="auto"/>
            <w:rPr>
              <w:rFonts w:ascii="FangSong" w:hAnsi="FangSong" w:eastAsia="FangSong" w:cs="FangSong"/>
              <w:sz w:val="32"/>
              <w:szCs w:val="32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表六2026年一般公共预算安排基本支出分经济科目表（不含</w:t>
            </w:r>
          </w:hyperlink>
        </w:p>
        <w:p>
          <w:pPr>
            <w:ind w:left="1343"/>
            <w:spacing w:before="117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10</w:t>
            </w:r>
          </w:hyperlink>
        </w:p>
        <w:p>
          <w:pPr>
            <w:ind w:left="1983"/>
            <w:spacing w:before="120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表七2026年政府性基金预算收入表（不含上年结转）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11</w:t>
            </w:r>
          </w:hyperlink>
        </w:p>
        <w:p>
          <w:pPr>
            <w:ind w:left="1983"/>
            <w:spacing w:before="121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表八2026年政府性基金预算支出表（不含上年结转）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12</w:t>
            </w:r>
          </w:hyperlink>
        </w:p>
      </w:sdtContent>
    </w:sdt>
    <w:p>
      <w:pPr>
        <w:ind w:left="1983"/>
        <w:spacing w:before="120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表九2026年国有资本经营预算收支预算表（不含上年结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44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13"/>
              </w:rPr>
              <w:t>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21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表十2026年财政拨款安排“三公”经费支出预算表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15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表十一2026年财政拨款安排机关运行经费预</w:t>
            </w:r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14</w:t>
            </w:r>
          </w:hyperlink>
        </w:p>
        <w:p>
          <w:pPr>
            <w:ind w:left="1983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表十二2026年项目支出预算表（本年预算）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0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15</w:t>
            </w:r>
          </w:hyperlink>
        </w:p>
        <w:p>
          <w:pPr>
            <w:ind w:left="1983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表十三2026年项目支出预算表（上年结转）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16</w:t>
            </w:r>
          </w:hyperlink>
        </w:p>
        <w:p>
          <w:pPr>
            <w:ind w:left="1354"/>
            <w:spacing w:before="121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第三部分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2026年度单位预算情况说明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17</w:t>
            </w:r>
          </w:hyperlink>
        </w:p>
        <w:p>
          <w:pPr>
            <w:ind w:left="1986"/>
            <w:spacing w:before="117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32"/>
                <w:szCs w:val="32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1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二、收入预算情况说明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三、支出预算情况说明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2018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7"/>
            <w:spacing w:before="116" w:line="223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0"/>
            <w:spacing w:before="113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</w:sdtContent>
    </w:sdt>
    <w:p>
      <w:pPr>
        <w:spacing w:line="221" w:lineRule="auto"/>
        <w:sectPr>
          <w:headerReference w:type="default" r:id="rId2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438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2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9" w:id="29"/>
          <w:bookmarkEnd w:id="29"/>
          <w:hyperlink w:history="true" w:anchor="bookmark29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九、政府采购情况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0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0" w:id="30"/>
          <w:bookmarkEnd w:id="30"/>
          <w:hyperlink w:history="true" w:anchor="bookmark30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1" w:id="31"/>
          <w:bookmarkEnd w:id="31"/>
          <w:hyperlink w:history="true" w:anchor="bookmark3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3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990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2" w:id="32"/>
          <w:bookmarkEnd w:id="32"/>
          <w:hyperlink w:history="true" w:anchor="bookmark3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十二、其他说明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6" w:line="220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3" w:id="33"/>
          <w:bookmarkEnd w:id="33"/>
          <w:hyperlink w:history="true" w:anchor="bookmark3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8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4" w:id="34"/>
          <w:bookmarkEnd w:id="34"/>
          <w:hyperlink w:history="true" w:anchor="bookmark34"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（二）其他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354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5" w:id="35"/>
          <w:bookmarkEnd w:id="35"/>
          <w:hyperlink w:history="true" w:anchor="bookmark3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第四部分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名词解释</w:t>
            </w:r>
            <w:r>
              <w:rPr>
                <w:rFonts w:ascii="FangSong" w:hAnsi="FangSong" w:eastAsia="FangSong" w:cs="FangSong"/>
                <w:sz w:val="32"/>
                <w:szCs w:val="32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8"/>
              </w:rPr>
              <w:t>33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86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5187"/>
        <w:spacing w:before="99" w:line="239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6" w:id="36"/>
      <w:bookmarkEnd w:id="36"/>
      <w:bookmarkStart w:name="bookmark2" w:id="37"/>
      <w:bookmarkEnd w:id="37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第一部分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概况</w:t>
      </w:r>
    </w:p>
    <w:p>
      <w:pPr>
        <w:pStyle w:val="BodyText"/>
        <w:spacing w:line="261" w:lineRule="auto"/>
        <w:rPr/>
      </w:pPr>
      <w:r/>
    </w:p>
    <w:p>
      <w:pPr>
        <w:ind w:left="1513"/>
        <w:spacing w:before="99" w:line="237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" w:id="38"/>
      <w:bookmarkEnd w:id="38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一、本单位职责</w:t>
      </w:r>
    </w:p>
    <w:p>
      <w:pPr>
        <w:ind w:left="1515" w:right="1388" w:firstLine="4"/>
        <w:spacing w:before="261" w:line="347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2"/>
        </w:rPr>
        <w:t>统筹科技发展和创新体系建设工作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2"/>
        </w:rPr>
        <w:t>；负责战略</w:t>
      </w:r>
      <w:r>
        <w:rPr>
          <w:rFonts w:ascii="FangSong" w:hAnsi="FangSong" w:eastAsia="FangSong" w:cs="FangSong"/>
          <w:sz w:val="24"/>
          <w:szCs w:val="24"/>
          <w:spacing w:val="11"/>
        </w:rPr>
        <w:t>性新兴产业发展规划编制</w:t>
      </w:r>
      <w:r>
        <w:rPr>
          <w:rFonts w:ascii="FangSong" w:hAnsi="FangSong" w:eastAsia="FangSong" w:cs="FangSong"/>
          <w:sz w:val="24"/>
          <w:szCs w:val="24"/>
          <w:spacing w:val="-7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1"/>
        </w:rPr>
        <w:t>、执行工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作；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负责高新区内高新技术企业、专利、知识产权管理工作；负责各类科技项目申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报、扶</w:t>
      </w:r>
      <w:r>
        <w:rPr>
          <w:rFonts w:ascii="FangSong" w:hAnsi="FangSong" w:eastAsia="FangSong" w:cs="FangSong"/>
          <w:sz w:val="24"/>
          <w:szCs w:val="24"/>
          <w:spacing w:val="-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持、落实工作；负责创新创业基地、平台和孵化器管理工作。</w:t>
      </w:r>
    </w:p>
    <w:p>
      <w:pPr>
        <w:ind w:left="1513"/>
        <w:spacing w:before="68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4" w:id="39"/>
      <w:bookmarkEnd w:id="39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二、机构设置情况</w:t>
      </w:r>
    </w:p>
    <w:p>
      <w:pPr>
        <w:ind w:left="1516" w:right="1388" w:firstLine="5"/>
        <w:spacing w:before="232" w:line="34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副处级建制，编制9人。副处级1人，正科2人</w:t>
      </w:r>
      <w:r>
        <w:rPr>
          <w:rFonts w:ascii="FangSong" w:hAnsi="FangSong" w:eastAsia="FangSong" w:cs="FangSong"/>
          <w:sz w:val="24"/>
          <w:szCs w:val="24"/>
        </w:rPr>
        <w:t>，副科3人，下设三个科，分别是高新技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术企业服务科、科技成果转化科、科技项目管理</w:t>
      </w:r>
      <w:r>
        <w:rPr>
          <w:rFonts w:ascii="FangSong" w:hAnsi="FangSong" w:eastAsia="FangSong" w:cs="FangSong"/>
          <w:sz w:val="24"/>
          <w:szCs w:val="24"/>
          <w:spacing w:val="-3"/>
        </w:rPr>
        <w:t>科。</w:t>
      </w:r>
    </w:p>
    <w:p>
      <w:pPr>
        <w:spacing w:line="341" w:lineRule="auto"/>
        <w:sectPr>
          <w:headerReference w:type="default" r:id="rId4"/>
          <w:footerReference w:type="default" r:id="rId5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43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r>
        <w:pict>
          <v:shape id="_x0000_s82" style="position:absolute;margin-left:83.486pt;margin-top:29.8962pt;mso-position-vertical-relative:text;mso-position-horizontal-relative:text;width:177.4pt;height:14.3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FFFF"/>
                      <w:spacing w:val="-1"/>
                      <w:position w:val="3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bookmarkStart w:name="bookmark5" w:id="40"/>
      <w:bookmarkEnd w:id="40"/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第二部分</w:t>
      </w:r>
      <w:r>
        <w:rPr>
          <w:rFonts w:ascii="Microsoft YaHei" w:hAnsi="Microsoft YaHei" w:eastAsia="Microsoft YaHei" w:cs="Microsoft YaHei"/>
          <w:sz w:val="23"/>
          <w:szCs w:val="23"/>
          <w:spacing w:val="5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2026年单位预算报表</w:t>
      </w:r>
    </w:p>
    <w:p>
      <w:pPr>
        <w:rPr/>
      </w:pPr>
      <w:r/>
    </w:p>
    <w:p>
      <w:pPr>
        <w:rPr/>
      </w:pPr>
      <w:r/>
    </w:p>
    <w:tbl>
      <w:tblPr>
        <w:tblStyle w:val="TableNormal"/>
        <w:tblW w:w="8549" w:type="dxa"/>
        <w:tblInd w:w="1687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5308"/>
        <w:gridCol w:w="3241"/>
      </w:tblGrid>
      <w:tr>
        <w:trPr>
          <w:trHeight w:val="535" w:hRule="atLeast"/>
        </w:trPr>
        <w:tc>
          <w:tcPr>
            <w:tcW w:w="854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right="28"/>
              <w:spacing w:before="165" w:line="21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7" w:hRule="atLeast"/>
        </w:trPr>
        <w:tc>
          <w:tcPr>
            <w:tcW w:w="854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3184"/>
              <w:spacing w:before="132" w:line="238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6" w:id="41"/>
            <w:bookmarkEnd w:id="41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2026年预算收支总表</w:t>
            </w:r>
          </w:p>
        </w:tc>
      </w:tr>
      <w:tr>
        <w:trPr>
          <w:trHeight w:val="535" w:hRule="atLeast"/>
        </w:trPr>
        <w:tc>
          <w:tcPr>
            <w:tcW w:w="5308" w:type="dxa"/>
            <w:vAlign w:val="top"/>
            <w:tcBorders>
              <w:top w:val="single" w:color="FFFFFF" w:sz="4" w:space="0"/>
              <w:bottom w:val="nil"/>
            </w:tcBorders>
          </w:tcPr>
          <w:p>
            <w:pPr>
              <w:ind w:left="8"/>
              <w:spacing w:before="15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单位名称：长治高新技术产业开发区科技创新部</w:t>
            </w:r>
          </w:p>
        </w:tc>
        <w:tc>
          <w:tcPr>
            <w:tcW w:w="3241" w:type="dxa"/>
            <w:vAlign w:val="top"/>
            <w:tcBorders>
              <w:top w:val="single" w:color="FFFFFF" w:sz="4" w:space="0"/>
              <w:bottom w:val="nil"/>
            </w:tcBorders>
          </w:tcPr>
          <w:p>
            <w:pPr>
              <w:ind w:right="27"/>
              <w:spacing w:before="158" w:line="21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</w:tbl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1" w:hRule="atLeast"/>
        </w:trPr>
        <w:tc>
          <w:tcPr>
            <w:tcW w:w="3227" w:type="dxa"/>
            <w:vAlign w:val="top"/>
            <w:gridSpan w:val="2"/>
          </w:tcPr>
          <w:p>
            <w:pPr>
              <w:ind w:left="1418"/>
              <w:spacing w:before="150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4"/>
                <w:position w:val="-1"/>
              </w:rPr>
              <w:t>收入</w:t>
            </w:r>
          </w:p>
        </w:tc>
        <w:tc>
          <w:tcPr>
            <w:tcW w:w="5323" w:type="dxa"/>
            <w:vAlign w:val="top"/>
            <w:gridSpan w:val="4"/>
          </w:tcPr>
          <w:p>
            <w:pPr>
              <w:ind w:left="2461"/>
              <w:spacing w:before="151" w:line="174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  <w:position w:val="-1"/>
              </w:rPr>
              <w:t>支出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809"/>
              <w:spacing w:before="14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13" w:type="dxa"/>
            <w:vAlign w:val="top"/>
          </w:tcPr>
          <w:p>
            <w:pPr>
              <w:ind w:left="320"/>
              <w:spacing w:before="145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5"/>
                <w:position w:val="-1"/>
              </w:rPr>
              <w:t>2026年</w:t>
            </w:r>
          </w:p>
        </w:tc>
        <w:tc>
          <w:tcPr>
            <w:tcW w:w="2081" w:type="dxa"/>
            <w:vAlign w:val="top"/>
          </w:tcPr>
          <w:p>
            <w:pPr>
              <w:ind w:left="839"/>
              <w:spacing w:before="14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228" w:type="dxa"/>
            <w:vAlign w:val="top"/>
          </w:tcPr>
          <w:p>
            <w:pPr>
              <w:ind w:left="150"/>
              <w:spacing w:before="145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2"/>
                <w:position w:val="-1"/>
              </w:rPr>
              <w:t>2026年合计</w:t>
            </w:r>
          </w:p>
        </w:tc>
        <w:tc>
          <w:tcPr>
            <w:tcW w:w="1198" w:type="dxa"/>
            <w:vAlign w:val="top"/>
          </w:tcPr>
          <w:p>
            <w:pPr>
              <w:ind w:left="52"/>
              <w:spacing w:before="14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当年预算安排</w:t>
            </w:r>
          </w:p>
        </w:tc>
        <w:tc>
          <w:tcPr>
            <w:tcW w:w="816" w:type="dxa"/>
            <w:vAlign w:val="top"/>
          </w:tcPr>
          <w:p>
            <w:pPr>
              <w:ind w:left="214" w:right="46" w:hanging="182"/>
              <w:spacing w:before="39" w:line="159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</w:rPr>
              <w:t>上年结转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</w:rPr>
              <w:t>安排</w:t>
            </w:r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4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3" w:type="dxa"/>
            <w:vAlign w:val="top"/>
          </w:tcPr>
          <w:p>
            <w:pPr>
              <w:ind w:left="551"/>
              <w:spacing w:before="17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ind w:left="2"/>
              <w:spacing w:before="14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4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4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6"/>
              <w:spacing w:before="150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5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23"/>
              <w:spacing w:before="1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6"/>
              <w:spacing w:before="15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9"/>
              <w:spacing w:before="1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28" w:type="dxa"/>
            <w:vAlign w:val="top"/>
          </w:tcPr>
          <w:p>
            <w:pPr>
              <w:ind w:left="840"/>
              <w:spacing w:before="17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198" w:type="dxa"/>
            <w:vAlign w:val="top"/>
          </w:tcPr>
          <w:p>
            <w:pPr>
              <w:ind w:right="16"/>
              <w:spacing w:before="17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5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228" w:type="dxa"/>
            <w:vAlign w:val="top"/>
          </w:tcPr>
          <w:p>
            <w:pPr>
              <w:ind w:left="570"/>
              <w:spacing w:before="1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198" w:type="dxa"/>
            <w:vAlign w:val="top"/>
          </w:tcPr>
          <w:p>
            <w:pPr>
              <w:ind w:right="18"/>
              <w:spacing w:before="18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50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28" w:type="dxa"/>
            <w:vAlign w:val="top"/>
          </w:tcPr>
          <w:p>
            <w:pPr>
              <w:ind w:left="739"/>
              <w:spacing w:before="1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8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228" w:type="dxa"/>
            <w:vAlign w:val="top"/>
          </w:tcPr>
          <w:p>
            <w:pPr>
              <w:ind w:left="827"/>
              <w:spacing w:before="1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198" w:type="dxa"/>
            <w:vAlign w:val="top"/>
          </w:tcPr>
          <w:p>
            <w:pPr>
              <w:ind w:right="19"/>
              <w:spacing w:before="18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57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spacing w:before="1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/>
              <w:spacing w:before="61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228" w:type="dxa"/>
            <w:vAlign w:val="top"/>
          </w:tcPr>
          <w:p>
            <w:pPr>
              <w:ind w:left="750"/>
              <w:spacing w:before="1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198" w:type="dxa"/>
            <w:vAlign w:val="top"/>
          </w:tcPr>
          <w:p>
            <w:pPr>
              <w:ind w:right="17"/>
              <w:spacing w:before="1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102" w:hanging="12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10" w:right="86" w:bottom="312" w:left="0" w:header="357" w:footer="153" w:gutter="0"/>
        </w:sectPr>
        <w:rPr/>
      </w:pPr>
    </w:p>
    <w:p>
      <w:pPr>
        <w:spacing w:before="54"/>
        <w:rPr/>
      </w:pPr>
      <w:r/>
    </w:p>
    <w:p>
      <w:pPr>
        <w:spacing w:before="54"/>
        <w:rPr/>
      </w:pPr>
      <w:r/>
    </w:p>
    <w:tbl>
      <w:tblPr>
        <w:tblStyle w:val="TableNormal"/>
        <w:tblW w:w="8550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014"/>
        <w:gridCol w:w="1213"/>
        <w:gridCol w:w="2081"/>
        <w:gridCol w:w="1228"/>
        <w:gridCol w:w="1198"/>
        <w:gridCol w:w="816"/>
      </w:tblGrid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right="93" w:firstLine="2"/>
              <w:spacing w:before="56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42"/>
            <w:bookmarkEnd w:id="4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 w:right="93"/>
              <w:spacing w:before="50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2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4" w:right="93" w:hanging="12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5" w:right="93" w:hanging="15"/>
              <w:spacing w:before="5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7"/>
              <w:spacing w:before="161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本年收入合计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51"/>
              <w:spacing w:before="186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本年支出合计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70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52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014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1" w:type="dxa"/>
            <w:vAlign w:val="top"/>
          </w:tcPr>
          <w:p>
            <w:pPr>
              <w:ind w:left="188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2014" w:type="dxa"/>
            <w:vAlign w:val="top"/>
          </w:tcPr>
          <w:p>
            <w:pPr>
              <w:ind w:left="11"/>
              <w:spacing w:before="16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收入总计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551"/>
              <w:spacing w:before="188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2081" w:type="dxa"/>
            <w:vAlign w:val="top"/>
          </w:tcPr>
          <w:p>
            <w:pPr>
              <w:spacing w:before="164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支出总计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570"/>
              <w:spacing w:before="188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52"/>
              <w:spacing w:before="188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1449.</w:t>
            </w:r>
            <w:r>
              <w:rPr>
                <w:sz w:val="15"/>
                <w:szCs w:val="15"/>
                <w:color w:val="212529"/>
                <w:spacing w:val="9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20</w:t>
            </w:r>
          </w:p>
        </w:tc>
        <w:tc>
          <w:tcPr>
            <w:tcW w:w="81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ind w:left="1694"/>
        <w:spacing w:before="152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注: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本套报表因取数时四舍五入,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部分金额可能存在尾差</w:t>
      </w:r>
    </w:p>
    <w:p>
      <w:pPr>
        <w:spacing w:line="220" w:lineRule="exact"/>
        <w:sectPr>
          <w:headerReference w:type="default" r:id="rId8"/>
          <w:footerReference w:type="default" r:id="rId9"/>
          <w:pgSz w:w="11900" w:h="16840"/>
          <w:pgMar w:top="610" w:right="86" w:bottom="312" w:left="0" w:header="357" w:footer="153" w:gutter="0"/>
        </w:sectPr>
        <w:rPr>
          <w:rFonts w:ascii="Microsoft YaHei" w:hAnsi="Microsoft YaHei" w:eastAsia="Microsoft YaHei" w:cs="Microsoft YaHei"/>
          <w:sz w:val="21"/>
          <w:szCs w:val="21"/>
        </w:rPr>
      </w:pPr>
    </w:p>
    <w:p>
      <w:pPr>
        <w:spacing w:before="9"/>
        <w:rPr/>
      </w:pPr>
      <w:r>
        <w:pict>
          <v:shape id="_x0000_s114" style="position:absolute;margin-left:83.486pt;margin-top:56.979pt;mso-position-vertical-relative:page;mso-position-horizontal-relative:page;width:177.4pt;height:14.3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45" w:lineRule="exact"/>
                    <w:rPr>
                      <w:sz w:val="18"/>
                      <w:szCs w:val="18"/>
                    </w:rPr>
                  </w:pPr>
                  <w:bookmarkStart w:name="bookmark38" w:id="43"/>
                  <w:bookmarkEnd w:id="43"/>
                  <w:r>
                    <w:rPr>
                      <w:sz w:val="18"/>
                      <w:szCs w:val="18"/>
                      <w:color w:val="FFFFFF"/>
                      <w:spacing w:val="-1"/>
                      <w:position w:val="3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9"/>
        <w:rPr/>
      </w:pPr>
      <w:r/>
    </w:p>
    <w:p>
      <w:pPr>
        <w:spacing w:before="9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2" w:hRule="atLeast"/>
        </w:trPr>
        <w:tc>
          <w:tcPr>
            <w:tcW w:w="14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963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5644"/>
              <w:spacing w:before="97" w:line="239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7" w:id="44"/>
            <w:bookmarkEnd w:id="44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2026年预算收入总表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3"/>
              <w:spacing w:before="12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单位名称：长治高新技术产业开发区科技创新部</w:t>
            </w:r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8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05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3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8045" w:type="dxa"/>
            <w:vAlign w:val="top"/>
            <w:gridSpan w:val="6"/>
          </w:tcPr>
          <w:p>
            <w:pPr>
              <w:ind w:left="3642"/>
              <w:spacing w:before="122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本年收入</w:t>
            </w:r>
          </w:p>
        </w:tc>
        <w:tc>
          <w:tcPr>
            <w:tcW w:w="10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3" w:lineRule="auto"/>
              <w:rPr/>
            </w:pPr>
            <w:r/>
          </w:p>
          <w:p>
            <w:pPr>
              <w:ind w:left="126"/>
              <w:spacing w:before="7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上年结转</w:t>
            </w:r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33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科目编码</w:t>
            </w:r>
          </w:p>
        </w:tc>
        <w:tc>
          <w:tcPr>
            <w:tcW w:w="2982" w:type="dxa"/>
            <w:vAlign w:val="top"/>
          </w:tcPr>
          <w:p>
            <w:pPr>
              <w:ind w:left="110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科目名称</w:t>
            </w:r>
          </w:p>
        </w:tc>
        <w:tc>
          <w:tcPr>
            <w:tcW w:w="1453" w:type="dxa"/>
            <w:vAlign w:val="top"/>
          </w:tcPr>
          <w:p>
            <w:pPr>
              <w:ind w:left="528"/>
              <w:spacing w:before="125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304" w:type="dxa"/>
            <w:vAlign w:val="top"/>
          </w:tcPr>
          <w:p>
            <w:pPr>
              <w:ind w:left="96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一般公共预算</w:t>
            </w:r>
          </w:p>
        </w:tc>
        <w:tc>
          <w:tcPr>
            <w:tcW w:w="1318" w:type="dxa"/>
            <w:vAlign w:val="top"/>
          </w:tcPr>
          <w:p>
            <w:pPr>
              <w:ind w:left="192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政府性基金</w:t>
            </w:r>
          </w:p>
        </w:tc>
        <w:tc>
          <w:tcPr>
            <w:tcW w:w="1498" w:type="dxa"/>
            <w:vAlign w:val="top"/>
          </w:tcPr>
          <w:p>
            <w:pPr>
              <w:ind w:left="32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  <w:position w:val="-1"/>
              </w:rPr>
              <w:t>国有资本经营预算</w:t>
            </w:r>
          </w:p>
        </w:tc>
        <w:tc>
          <w:tcPr>
            <w:tcW w:w="1498" w:type="dxa"/>
            <w:vAlign w:val="top"/>
          </w:tcPr>
          <w:p>
            <w:pPr>
              <w:ind w:left="17"/>
              <w:spacing w:before="12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财政专户管理资金</w:t>
            </w:r>
          </w:p>
        </w:tc>
        <w:tc>
          <w:tcPr>
            <w:tcW w:w="974" w:type="dxa"/>
            <w:vAlign w:val="top"/>
          </w:tcPr>
          <w:p>
            <w:pPr>
              <w:ind w:left="109"/>
              <w:spacing w:before="12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单位资金</w:t>
            </w:r>
          </w:p>
        </w:tc>
        <w:tc>
          <w:tcPr>
            <w:tcW w:w="10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413" w:type="dxa"/>
            <w:vAlign w:val="top"/>
            <w:gridSpan w:val="2"/>
          </w:tcPr>
          <w:p>
            <w:pPr>
              <w:ind w:left="2005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453" w:type="dxa"/>
            <w:vAlign w:val="top"/>
          </w:tcPr>
          <w:p>
            <w:pPr>
              <w:pStyle w:val="TableText"/>
              <w:ind w:left="803"/>
              <w:spacing w:before="149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651"/>
              <w:spacing w:before="149" w:line="17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12529"/>
                <w:spacing w:val="4"/>
              </w:rPr>
              <w:t>1449.20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5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205</w:t>
            </w:r>
          </w:p>
        </w:tc>
        <w:tc>
          <w:tcPr>
            <w:tcW w:w="2982" w:type="dxa"/>
            <w:vAlign w:val="top"/>
          </w:tcPr>
          <w:p>
            <w:pPr>
              <w:ind w:left="1"/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教育支出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5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5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5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82" w:type="dxa"/>
            <w:vAlign w:val="top"/>
          </w:tcPr>
          <w:p>
            <w:pPr>
              <w:spacing w:before="12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5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5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5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2050201</w:t>
            </w:r>
          </w:p>
        </w:tc>
        <w:tc>
          <w:tcPr>
            <w:tcW w:w="2982" w:type="dxa"/>
            <w:vAlign w:val="top"/>
          </w:tcPr>
          <w:p>
            <w:pPr>
              <w:ind w:left="2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学前教育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5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5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5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206</w:t>
            </w:r>
          </w:p>
        </w:tc>
        <w:tc>
          <w:tcPr>
            <w:tcW w:w="2982" w:type="dxa"/>
            <w:vAlign w:val="top"/>
          </w:tcPr>
          <w:p>
            <w:pPr>
              <w:spacing w:before="13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科学技术支出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5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5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20601</w:t>
            </w:r>
          </w:p>
        </w:tc>
        <w:tc>
          <w:tcPr>
            <w:tcW w:w="2982" w:type="dxa"/>
            <w:vAlign w:val="top"/>
          </w:tcPr>
          <w:p>
            <w:pPr>
              <w:spacing w:before="13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科学技术管理事务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5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5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2060199</w:t>
            </w:r>
          </w:p>
        </w:tc>
        <w:tc>
          <w:tcPr>
            <w:tcW w:w="2982" w:type="dxa"/>
            <w:vAlign w:val="top"/>
          </w:tcPr>
          <w:p>
            <w:pPr>
              <w:spacing w:before="13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其他科学技术管理事务支出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6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6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196.51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20604</w:t>
            </w:r>
          </w:p>
        </w:tc>
        <w:tc>
          <w:tcPr>
            <w:tcW w:w="2982" w:type="dxa"/>
            <w:vAlign w:val="top"/>
          </w:tcPr>
          <w:p>
            <w:pPr>
              <w:spacing w:before="13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技术研究与开发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6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6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2060499</w:t>
            </w:r>
          </w:p>
        </w:tc>
        <w:tc>
          <w:tcPr>
            <w:tcW w:w="2982" w:type="dxa"/>
            <w:vAlign w:val="top"/>
          </w:tcPr>
          <w:p>
            <w:pPr>
              <w:spacing w:before="13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其他技术研究与开发支出</w:t>
            </w:r>
          </w:p>
        </w:tc>
        <w:tc>
          <w:tcPr>
            <w:tcW w:w="1453" w:type="dxa"/>
            <w:vAlign w:val="top"/>
          </w:tcPr>
          <w:p>
            <w:pPr>
              <w:ind w:right="21"/>
              <w:spacing w:before="16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04" w:type="dxa"/>
            <w:vAlign w:val="top"/>
          </w:tcPr>
          <w:p>
            <w:pPr>
              <w:ind w:right="25"/>
              <w:spacing w:before="16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1200.00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82" w:type="dxa"/>
            <w:vAlign w:val="top"/>
          </w:tcPr>
          <w:p>
            <w:pPr>
              <w:spacing w:before="13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6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6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28.83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2" w:type="dxa"/>
            <w:vAlign w:val="top"/>
          </w:tcPr>
          <w:p>
            <w:pPr>
              <w:spacing w:before="13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6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6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17.92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17.92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</w:t>
            </w:r>
          </w:p>
        </w:tc>
        <w:tc>
          <w:tcPr>
            <w:tcW w:w="298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残疾人事业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2081105</w:t>
            </w:r>
          </w:p>
        </w:tc>
        <w:tc>
          <w:tcPr>
            <w:tcW w:w="298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残疾人就业</w:t>
            </w:r>
          </w:p>
        </w:tc>
        <w:tc>
          <w:tcPr>
            <w:tcW w:w="1453" w:type="dxa"/>
            <w:vAlign w:val="top"/>
          </w:tcPr>
          <w:p>
            <w:pPr>
              <w:ind w:right="19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04" w:type="dxa"/>
            <w:vAlign w:val="top"/>
          </w:tcPr>
          <w:p>
            <w:pPr>
              <w:ind w:right="23"/>
              <w:spacing w:before="16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1.69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982" w:type="dxa"/>
            <w:vAlign w:val="top"/>
          </w:tcPr>
          <w:p>
            <w:pPr>
              <w:spacing w:before="13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6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0.26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10" w:right="86" w:bottom="312" w:left="0" w:header="357" w:footer="153" w:gutter="0"/>
        </w:sectPr>
        <w:rPr/>
      </w:pPr>
    </w:p>
    <w:p>
      <w:pPr>
        <w:spacing w:before="44"/>
        <w:rPr/>
      </w:pPr>
      <w:r/>
    </w:p>
    <w:p>
      <w:pPr>
        <w:spacing w:before="44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82"/>
        <w:gridCol w:w="1453"/>
        <w:gridCol w:w="1304"/>
        <w:gridCol w:w="1318"/>
        <w:gridCol w:w="1498"/>
        <w:gridCol w:w="1498"/>
        <w:gridCol w:w="974"/>
        <w:gridCol w:w="1011"/>
      </w:tblGrid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82" w:type="dxa"/>
            <w:vAlign w:val="top"/>
          </w:tcPr>
          <w:p>
            <w:pPr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9.10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</w:t>
            </w:r>
          </w:p>
        </w:tc>
        <w:tc>
          <w:tcPr>
            <w:tcW w:w="2982" w:type="dxa"/>
            <w:vAlign w:val="top"/>
          </w:tcPr>
          <w:p>
            <w:pPr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计划生育事务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2100799</w:t>
            </w:r>
          </w:p>
        </w:tc>
        <w:tc>
          <w:tcPr>
            <w:tcW w:w="2982" w:type="dxa"/>
            <w:vAlign w:val="top"/>
          </w:tcPr>
          <w:p>
            <w:pPr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其他计划生育事务支出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0.12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2" w:type="dxa"/>
            <w:vAlign w:val="top"/>
          </w:tcPr>
          <w:p>
            <w:pPr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8.98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2" w:type="dxa"/>
            <w:vAlign w:val="top"/>
          </w:tcPr>
          <w:p>
            <w:pPr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6.18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6.18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3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82" w:type="dxa"/>
            <w:vAlign w:val="top"/>
          </w:tcPr>
          <w:p>
            <w:pPr>
              <w:ind w:left="4"/>
              <w:spacing w:before="11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53" w:type="dxa"/>
            <w:vAlign w:val="top"/>
          </w:tcPr>
          <w:p>
            <w:pPr>
              <w:ind w:right="22"/>
              <w:spacing w:before="14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2.80</w:t>
            </w:r>
          </w:p>
        </w:tc>
        <w:tc>
          <w:tcPr>
            <w:tcW w:w="1304" w:type="dxa"/>
            <w:vAlign w:val="top"/>
          </w:tcPr>
          <w:p>
            <w:pPr>
              <w:ind w:right="26"/>
              <w:spacing w:before="14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2.80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82" w:type="dxa"/>
            <w:vAlign w:val="top"/>
          </w:tcPr>
          <w:p>
            <w:pPr>
              <w:spacing w:before="1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4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4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2" w:type="dxa"/>
            <w:vAlign w:val="top"/>
          </w:tcPr>
          <w:p>
            <w:pPr>
              <w:spacing w:before="12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4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4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4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2" w:type="dxa"/>
            <w:vAlign w:val="top"/>
          </w:tcPr>
          <w:p>
            <w:pPr>
              <w:spacing w:before="12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3" w:type="dxa"/>
            <w:vAlign w:val="top"/>
          </w:tcPr>
          <w:p>
            <w:pPr>
              <w:ind w:right="20"/>
              <w:spacing w:before="14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04" w:type="dxa"/>
            <w:vAlign w:val="top"/>
          </w:tcPr>
          <w:p>
            <w:pPr>
              <w:ind w:right="24"/>
              <w:spacing w:before="14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13.76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10" w:right="86" w:bottom="311" w:left="0" w:header="357" w:footer="153" w:gutter="0"/>
        </w:sectPr>
        <w:rPr/>
      </w:pPr>
    </w:p>
    <w:p>
      <w:pPr>
        <w:spacing w:before="119"/>
        <w:rPr/>
      </w:pPr>
      <w:r>
        <w:pict>
          <v:shape id="_x0000_s146" style="position:absolute;margin-left:68.2717pt;margin-top:58.2865pt;mso-position-vertical-relative:page;mso-position-horizontal-relative:page;width:128.4pt;height:10.85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39" w:id="45"/>
                  <w:bookmarkEnd w:id="45"/>
                  <w:r>
                    <w:rPr>
                      <w:sz w:val="12"/>
                      <w:szCs w:val="12"/>
                      <w:color w:val="FFFFFF"/>
                      <w:spacing w:val="3"/>
                      <w:position w:val="2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3"/>
        <w:gridCol w:w="3229"/>
        <w:gridCol w:w="1458"/>
        <w:gridCol w:w="1329"/>
        <w:gridCol w:w="1409"/>
      </w:tblGrid>
      <w:tr>
        <w:trPr>
          <w:trHeight w:val="320" w:hRule="atLeast"/>
        </w:trPr>
        <w:tc>
          <w:tcPr>
            <w:tcW w:w="173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70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665"/>
              <w:spacing w:before="45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8" w:id="46"/>
            <w:bookmarkEnd w:id="46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"/>
                <w:position w:val="-1"/>
              </w:rPr>
              <w:t>2026年预算支出总表</w:t>
            </w:r>
          </w:p>
        </w:tc>
      </w:tr>
      <w:tr>
        <w:trPr>
          <w:trHeight w:val="314" w:hRule="atLeast"/>
        </w:trPr>
        <w:tc>
          <w:tcPr>
            <w:tcW w:w="6420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89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32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36"/>
              <w:spacing w:before="9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09"/>
              <w:spacing w:before="7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6" w:type="dxa"/>
            <w:vAlign w:val="top"/>
            <w:gridSpan w:val="3"/>
          </w:tcPr>
          <w:p>
            <w:pPr>
              <w:ind w:left="1605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527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29" w:type="dxa"/>
            <w:vAlign w:val="top"/>
          </w:tcPr>
          <w:p>
            <w:pPr>
              <w:ind w:left="1277"/>
              <w:spacing w:before="7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458" w:type="dxa"/>
            <w:vAlign w:val="top"/>
          </w:tcPr>
          <w:p>
            <w:pPr>
              <w:ind w:left="560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29" w:type="dxa"/>
            <w:vAlign w:val="top"/>
          </w:tcPr>
          <w:p>
            <w:pPr>
              <w:ind w:left="327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68"/>
              <w:spacing w:before="7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11"/>
              <w:spacing w:before="7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879"/>
              <w:spacing w:before="9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829"/>
              <w:spacing w:before="9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1330.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205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070"/>
              <w:spacing w:before="96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1"/>
              </w:rPr>
              <w:t>1.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1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7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1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070"/>
              <w:spacing w:before="9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1"/>
              </w:rPr>
              <w:t>1.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1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2050201</w:t>
            </w:r>
          </w:p>
        </w:tc>
        <w:tc>
          <w:tcPr>
            <w:tcW w:w="3229" w:type="dxa"/>
            <w:vAlign w:val="top"/>
          </w:tcPr>
          <w:p>
            <w:pPr>
              <w:ind w:left="6"/>
              <w:spacing w:before="7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学前教育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left="1070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206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1396.51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67.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1329.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科学技术管理事务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196.51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67.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08"/>
              <w:spacing w:before="9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129.</w:t>
            </w:r>
            <w:r>
              <w:rPr>
                <w:sz w:val="13"/>
                <w:szCs w:val="13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2060199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其他科学技术管理事务支出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196.51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67.51</w:t>
            </w:r>
          </w:p>
        </w:tc>
        <w:tc>
          <w:tcPr>
            <w:tcW w:w="1409" w:type="dxa"/>
            <w:vAlign w:val="top"/>
          </w:tcPr>
          <w:p>
            <w:pPr>
              <w:ind w:left="908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129.00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20604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7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技术研究与开发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27"/>
              <w:spacing w:before="98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1200.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2060499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其他技术研究与开发支出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left="827"/>
              <w:spacing w:before="10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28.83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28.</w:t>
            </w:r>
            <w:r>
              <w:rPr>
                <w:sz w:val="13"/>
                <w:szCs w:val="13"/>
                <w:color w:val="212529"/>
                <w:spacing w:val="9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83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26.88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00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26.</w:t>
            </w:r>
            <w:r>
              <w:rPr>
                <w:sz w:val="13"/>
                <w:szCs w:val="13"/>
                <w:color w:val="212529"/>
                <w:spacing w:val="10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88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2080506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91"/>
              <w:spacing w:before="100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1.</w:t>
            </w:r>
            <w:r>
              <w:rPr>
                <w:sz w:val="13"/>
                <w:szCs w:val="13"/>
                <w:color w:val="212529"/>
                <w:spacing w:val="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69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2081105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1"/>
              <w:spacing w:before="101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0.</w:t>
            </w:r>
            <w:r>
              <w:rPr>
                <w:sz w:val="13"/>
                <w:szCs w:val="13"/>
                <w:color w:val="212529"/>
                <w:spacing w:val="11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9.10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0"/>
              <w:spacing w:before="102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9.</w:t>
            </w:r>
            <w:r>
              <w:rPr>
                <w:sz w:val="13"/>
                <w:szCs w:val="13"/>
                <w:color w:val="212529"/>
                <w:spacing w:val="1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10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1"/>
              <w:spacing w:before="101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0.</w:t>
            </w:r>
            <w:r>
              <w:rPr>
                <w:sz w:val="13"/>
                <w:szCs w:val="13"/>
                <w:color w:val="212529"/>
                <w:spacing w:val="14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12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8.98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80"/>
              <w:spacing w:before="103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8.</w:t>
            </w:r>
            <w:r>
              <w:rPr>
                <w:sz w:val="13"/>
                <w:szCs w:val="13"/>
                <w:color w:val="212529"/>
                <w:spacing w:val="10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98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6.18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2101103</w:t>
            </w:r>
          </w:p>
        </w:tc>
        <w:tc>
          <w:tcPr>
            <w:tcW w:w="3229" w:type="dxa"/>
            <w:vAlign w:val="top"/>
          </w:tcPr>
          <w:p>
            <w:pPr>
              <w:ind w:left="8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10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13.</w:t>
            </w:r>
            <w:r>
              <w:rPr>
                <w:sz w:val="13"/>
                <w:szCs w:val="13"/>
                <w:color w:val="212529"/>
                <w:spacing w:val="3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pStyle w:val="TableText"/>
              <w:ind w:left="910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13.</w:t>
            </w:r>
            <w:r>
              <w:rPr>
                <w:sz w:val="13"/>
                <w:szCs w:val="13"/>
                <w:color w:val="212529"/>
                <w:spacing w:val="3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9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29" w:type="dxa"/>
            <w:vAlign w:val="top"/>
          </w:tcPr>
          <w:p>
            <w:pPr>
              <w:ind w:right="22"/>
              <w:spacing w:before="10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164" style="position:absolute;margin-left:68.2717pt;margin-top:58.2865pt;mso-position-vertical-relative:page;mso-position-horizontal-relative:page;width:141.4pt;height:10.85pt;z-index:2516633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0" w:id="47"/>
                  <w:bookmarkEnd w:id="47"/>
                  <w:r>
                    <w:rPr>
                      <w:sz w:val="12"/>
                      <w:szCs w:val="12"/>
                      <w:color w:val="FFFFFF"/>
                      <w:spacing w:val="3"/>
                      <w:position w:val="2"/>
                    </w:rPr>
                    <w:t>@#@#@       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4" w:hRule="atLeast"/>
        </w:trPr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24"/>
              <w:spacing w:before="114" w:line="225" w:lineRule="auto"/>
              <w:jc w:val="righ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预算公开表4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464"/>
              <w:spacing w:before="78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9" w:id="48"/>
            <w:bookmarkEnd w:id="48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5"/>
                <w:position w:val="-1"/>
              </w:rPr>
              <w:t>2026年财政拨款收支总表</w:t>
            </w:r>
          </w:p>
        </w:tc>
      </w:tr>
      <w:tr>
        <w:trPr>
          <w:trHeight w:val="379" w:hRule="atLeast"/>
        </w:trPr>
        <w:tc>
          <w:tcPr>
            <w:tcW w:w="8116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6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left="1331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收入</w:t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left="2908"/>
              <w:spacing w:before="10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支出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77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102" w:type="dxa"/>
            <w:vAlign w:val="top"/>
            <w:vMerge w:val="restart"/>
            <w:tcBorders>
              <w:bottom w:val="nil"/>
            </w:tcBorders>
          </w:tcPr>
          <w:p>
            <w:pPr>
              <w:ind w:left="375"/>
              <w:spacing w:before="30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  <w:tc>
          <w:tcPr>
            <w:tcW w:w="1966" w:type="dxa"/>
            <w:vAlign w:val="top"/>
            <w:vMerge w:val="restart"/>
            <w:tcBorders>
              <w:bottom w:val="nil"/>
            </w:tcBorders>
          </w:tcPr>
          <w:p>
            <w:pPr>
              <w:ind w:left="81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5" w:type="dxa"/>
            <w:vAlign w:val="top"/>
            <w:gridSpan w:val="4"/>
          </w:tcPr>
          <w:p>
            <w:pPr>
              <w:ind w:left="1923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ind w:left="387"/>
              <w:spacing w:before="10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  <w:position w:val="-1"/>
              </w:rPr>
              <w:t>小计</w:t>
            </w:r>
          </w:p>
        </w:tc>
        <w:tc>
          <w:tcPr>
            <w:tcW w:w="1123" w:type="dxa"/>
            <w:vAlign w:val="top"/>
          </w:tcPr>
          <w:p>
            <w:pPr>
              <w:ind w:left="65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918" w:type="dxa"/>
            <w:vAlign w:val="top"/>
          </w:tcPr>
          <w:p>
            <w:pPr>
              <w:ind w:left="286" w:right="56" w:hanging="240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042" w:type="dxa"/>
            <w:vAlign w:val="top"/>
          </w:tcPr>
          <w:p>
            <w:pPr>
              <w:ind w:left="344" w:right="43" w:hanging="304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国有资本经营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8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4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112" w:type="dxa"/>
            <w:vAlign w:val="top"/>
          </w:tcPr>
          <w:p>
            <w:pPr>
              <w:ind w:left="771"/>
              <w:spacing w:before="13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112" w:type="dxa"/>
            <w:vAlign w:val="top"/>
          </w:tcPr>
          <w:p>
            <w:pPr>
              <w:ind w:left="528"/>
              <w:spacing w:before="13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1396.51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1396.51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112" w:type="dxa"/>
            <w:vAlign w:val="top"/>
          </w:tcPr>
          <w:p>
            <w:pPr>
              <w:ind w:left="681"/>
              <w:spacing w:before="13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28.83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28.83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112" w:type="dxa"/>
            <w:vAlign w:val="top"/>
          </w:tcPr>
          <w:p>
            <w:pPr>
              <w:ind w:left="760"/>
              <w:spacing w:before="13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9.10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9.10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112" w:type="dxa"/>
            <w:vAlign w:val="top"/>
          </w:tcPr>
          <w:p>
            <w:pPr>
              <w:ind w:left="690"/>
              <w:spacing w:before="14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 w:firstLine="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算支出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 w:right="17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管理支出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1" w:right="172" w:hanging="13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的支出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895" w:type="dxa"/>
            <w:vAlign w:val="top"/>
          </w:tcPr>
          <w:p>
            <w:pPr>
              <w:ind w:left="449"/>
              <w:spacing w:before="11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本年收入合计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68"/>
              <w:spacing w:before="137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488"/>
              <w:spacing w:before="11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本年支出合计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74"/>
              <w:spacing w:before="13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82"/>
              <w:spacing w:before="13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10" w:right="86" w:bottom="311" w:left="0" w:header="357" w:footer="153" w:gutter="0"/>
        </w:sectPr>
        <w:rPr/>
      </w:pPr>
    </w:p>
    <w:p>
      <w:pPr>
        <w:spacing w:before="54"/>
        <w:rPr/>
      </w:pPr>
      <w:r/>
    </w:p>
    <w:p>
      <w:pPr>
        <w:spacing w:before="54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bookmarkStart w:name="bookmark41" w:id="49"/>
            <w:bookmarkEnd w:id="49"/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上年财政拨款结转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614"/>
              <w:spacing w:before="11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收入总计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68"/>
              <w:spacing w:before="135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966" w:type="dxa"/>
            <w:vAlign w:val="top"/>
          </w:tcPr>
          <w:p>
            <w:pPr>
              <w:ind w:left="649"/>
              <w:spacing w:before="114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支出总计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74"/>
              <w:spacing w:before="135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82"/>
              <w:spacing w:before="135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1449.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20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182" style="position:absolute;margin-left:68.2717pt;margin-top:58.2865pt;mso-position-vertical-relative:page;mso-position-horizontal-relative:page;width:212.75pt;height:10.85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2" w:id="50"/>
                  <w:bookmarkEnd w:id="50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6"/>
        <w:gridCol w:w="3045"/>
        <w:gridCol w:w="1588"/>
        <w:gridCol w:w="1382"/>
        <w:gridCol w:w="1507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419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预算公开表5</w:t>
            </w:r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354"/>
              <w:spacing w:before="34" w:line="200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0" w:id="51"/>
            <w:bookmarkEnd w:id="51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2026年一般公共预算支出预算表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292" w:hRule="atLeast"/>
        </w:trPr>
        <w:tc>
          <w:tcPr>
            <w:tcW w:w="7651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50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69"/>
              <w:spacing w:before="67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477" w:type="dxa"/>
            <w:vAlign w:val="top"/>
            <w:gridSpan w:val="3"/>
          </w:tcPr>
          <w:p>
            <w:pPr>
              <w:ind w:left="174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479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045" w:type="dxa"/>
            <w:vAlign w:val="top"/>
          </w:tcPr>
          <w:p>
            <w:pPr>
              <w:ind w:left="1187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588" w:type="dxa"/>
            <w:vAlign w:val="top"/>
          </w:tcPr>
          <w:p>
            <w:pPr>
              <w:ind w:left="626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82" w:type="dxa"/>
            <w:vAlign w:val="top"/>
          </w:tcPr>
          <w:p>
            <w:pPr>
              <w:ind w:left="355"/>
              <w:spacing w:before="64" w:line="157" w:lineRule="exact"/>
              <w:outlineLvl w:val="1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bookmarkStart w:name="bookmark11" w:id="52"/>
            <w:bookmarkEnd w:id="52"/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507" w:type="dxa"/>
            <w:vAlign w:val="top"/>
          </w:tcPr>
          <w:p>
            <w:pPr>
              <w:ind w:left="418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71"/>
              <w:spacing w:before="66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1009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1449.20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ind w:left="884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ind w:left="925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1330.</w:t>
            </w:r>
            <w:r>
              <w:rPr>
                <w:sz w:val="13"/>
                <w:szCs w:val="13"/>
                <w:color w:val="212529"/>
                <w:spacing w:val="18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205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left="1168"/>
              <w:spacing w:before="9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left="1168"/>
              <w:spacing w:before="93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2050201</w:t>
            </w:r>
          </w:p>
        </w:tc>
        <w:tc>
          <w:tcPr>
            <w:tcW w:w="3045" w:type="dxa"/>
            <w:vAlign w:val="top"/>
          </w:tcPr>
          <w:p>
            <w:pPr>
              <w:ind w:left="7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学前教育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left="1168"/>
              <w:spacing w:before="9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206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left="925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1329.00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科学技术管理事务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left="1006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129.00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2060199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其他科学技术管理事务支出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196.51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67.51</w:t>
            </w:r>
          </w:p>
        </w:tc>
        <w:tc>
          <w:tcPr>
            <w:tcW w:w="1507" w:type="dxa"/>
            <w:vAlign w:val="top"/>
          </w:tcPr>
          <w:p>
            <w:pPr>
              <w:ind w:left="1006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129.00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20604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技术研究与开发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left="925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2060499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其他技术研究与开发支出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  <w:tc>
          <w:tcPr>
            <w:tcW w:w="13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7" w:type="dxa"/>
            <w:vAlign w:val="top"/>
          </w:tcPr>
          <w:p>
            <w:pPr>
              <w:ind w:left="925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1200.00</w:t>
            </w:r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28.83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28.83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26.88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26.88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2080506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残疾人事业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2081105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残疾人就业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2089999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0.26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9.10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9.10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2100799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8.98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6.18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6.18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2101103</w:t>
            </w:r>
          </w:p>
        </w:tc>
        <w:tc>
          <w:tcPr>
            <w:tcW w:w="3045" w:type="dxa"/>
            <w:vAlign w:val="top"/>
          </w:tcPr>
          <w:p>
            <w:pPr>
              <w:ind w:left="9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382" w:type="dxa"/>
            <w:vAlign w:val="top"/>
          </w:tcPr>
          <w:p>
            <w:pPr>
              <w:ind w:right="20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50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9"/>
          <w:footerReference w:type="default" r:id="rId20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184" style="position:absolute;margin-left:68.2717pt;margin-top:58.2865pt;mso-position-vertical-relative:page;mso-position-horizontal-relative:page;width:258.15pt;height:10.85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3" w:id="53"/>
                  <w:bookmarkEnd w:id="53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    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082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42"/>
        <w:gridCol w:w="2300"/>
        <w:gridCol w:w="1199"/>
        <w:gridCol w:w="1199"/>
        <w:gridCol w:w="1042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5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预算公开表6</w:t>
            </w:r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1611"/>
              <w:spacing w:before="35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1" w:id="54"/>
            <w:bookmarkEnd w:id="54"/>
            <w:bookmarkStart w:name="bookmark12" w:id="55"/>
            <w:bookmarkEnd w:id="55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2026年一般公共预算安排基本支出分经济科目表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(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不含上年结转)</w:t>
            </w:r>
          </w:p>
        </w:tc>
      </w:tr>
      <w:tr>
        <w:trPr>
          <w:trHeight w:val="292" w:hRule="atLeast"/>
        </w:trPr>
        <w:tc>
          <w:tcPr>
            <w:tcW w:w="684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1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71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restart"/>
            <w:tcBorders>
              <w:bottom w:val="nil"/>
            </w:tcBorders>
          </w:tcPr>
          <w:p>
            <w:pPr>
              <w:ind w:left="684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部门预算支出经济科目名称</w:t>
            </w:r>
          </w:p>
        </w:tc>
        <w:tc>
          <w:tcPr>
            <w:tcW w:w="2300" w:type="dxa"/>
            <w:vAlign w:val="top"/>
            <w:vMerge w:val="restart"/>
            <w:tcBorders>
              <w:bottom w:val="nil"/>
            </w:tcBorders>
          </w:tcPr>
          <w:p>
            <w:pPr>
              <w:ind w:left="165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政府预算支出经济科目名称</w:t>
            </w:r>
          </w:p>
        </w:tc>
        <w:tc>
          <w:tcPr>
            <w:tcW w:w="3440" w:type="dxa"/>
            <w:vAlign w:val="top"/>
            <w:gridSpan w:val="3"/>
          </w:tcPr>
          <w:p>
            <w:pPr>
              <w:ind w:left="122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0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429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ind w:left="266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人员经费</w:t>
            </w:r>
          </w:p>
        </w:tc>
        <w:tc>
          <w:tcPr>
            <w:tcW w:w="1042" w:type="dxa"/>
            <w:vAlign w:val="top"/>
          </w:tcPr>
          <w:p>
            <w:pPr>
              <w:ind w:left="192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公用经费</w:t>
            </w:r>
          </w:p>
        </w:tc>
      </w:tr>
      <w:tr>
        <w:trPr>
          <w:trHeight w:val="292" w:hRule="atLeast"/>
        </w:trPr>
        <w:tc>
          <w:tcPr>
            <w:tcW w:w="5642" w:type="dxa"/>
            <w:vAlign w:val="top"/>
            <w:gridSpan w:val="2"/>
          </w:tcPr>
          <w:p>
            <w:pPr>
              <w:ind w:left="2662"/>
              <w:spacing w:before="6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119.20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112.</w:t>
            </w:r>
            <w:r>
              <w:rPr>
                <w:sz w:val="13"/>
                <w:szCs w:val="13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ind w:left="694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6.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64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112.44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112.44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35.26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35.26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3.94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3.94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20.46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20.46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17.92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职业年金缴费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8.96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6.09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6.09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2.80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0.34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0.34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1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13.76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2.90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2.90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9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6.64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6.64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4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办公费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1.20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1.20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44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印刷费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0.30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43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邮电费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2.60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2.60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其他交通费用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0.75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0.75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其他商品和服务支出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1.69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6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对个人和家庭的补助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3342" w:type="dxa"/>
            <w:vAlign w:val="top"/>
          </w:tcPr>
          <w:p>
            <w:pPr>
              <w:ind w:left="332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奖励金</w:t>
            </w:r>
          </w:p>
        </w:tc>
        <w:tc>
          <w:tcPr>
            <w:tcW w:w="2300" w:type="dxa"/>
            <w:vAlign w:val="top"/>
          </w:tcPr>
          <w:p>
            <w:pPr>
              <w:ind w:left="328"/>
              <w:spacing w:before="7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社会福利和救助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9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0.12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02" style="position:absolute;margin-left:68.2717pt;margin-top:58.2865pt;mso-position-vertical-relative:page;mso-position-horizontal-relative:page;width:206.25pt;height:10.85pt;z-index:25166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4" w:id="56"/>
                  <w:bookmarkEnd w:id="56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68"/>
        <w:gridCol w:w="4795"/>
        <w:gridCol w:w="1895"/>
      </w:tblGrid>
      <w:tr>
        <w:trPr>
          <w:trHeight w:val="383" w:hRule="atLeast"/>
        </w:trPr>
        <w:tc>
          <w:tcPr>
            <w:tcW w:w="24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57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预算公开表7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3" w:id="57"/>
            <w:bookmarkEnd w:id="5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2026年政府性基金预算收入表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89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87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5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207"/>
              <w:spacing w:before="30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政府性基金收入预算</w:t>
            </w:r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ind w:left="742"/>
              <w:spacing w:before="111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4795" w:type="dxa"/>
            <w:vAlign w:val="top"/>
          </w:tcPr>
          <w:p>
            <w:pPr>
              <w:ind w:left="206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60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04" style="position:absolute;margin-left:68.2717pt;margin-top:58.2865pt;mso-position-vertical-relative:page;mso-position-horizontal-relative:page;width:206.25pt;height:10.85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5" w:id="58"/>
                  <w:bookmarkEnd w:id="58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08"/>
        <w:gridCol w:w="3521"/>
        <w:gridCol w:w="1134"/>
        <w:gridCol w:w="1145"/>
        <w:gridCol w:w="1150"/>
      </w:tblGrid>
      <w:tr>
        <w:trPr>
          <w:trHeight w:val="383" w:hRule="atLeast"/>
        </w:trPr>
        <w:tc>
          <w:tcPr>
            <w:tcW w:w="22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11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预算公开表8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4" w:id="59"/>
            <w:bookmarkEnd w:id="59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2026年政府性基金预算支出表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1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42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ind w:left="767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521" w:type="dxa"/>
            <w:vAlign w:val="top"/>
          </w:tcPr>
          <w:p>
            <w:pPr>
              <w:ind w:left="142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134" w:type="dxa"/>
            <w:vAlign w:val="top"/>
          </w:tcPr>
          <w:p>
            <w:pPr>
              <w:ind w:left="39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45" w:type="dxa"/>
            <w:vAlign w:val="top"/>
          </w:tcPr>
          <w:p>
            <w:pPr>
              <w:ind w:left="240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150" w:type="dxa"/>
            <w:vAlign w:val="top"/>
          </w:tcPr>
          <w:p>
            <w:pPr>
              <w:ind w:left="241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</w:tcPr>
          <w:p>
            <w:pPr>
              <w:ind w:left="2692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22" style="position:absolute;margin-left:68.2717pt;margin-top:58.2865pt;mso-position-vertical-relative:page;mso-position-horizontal-relative:page;width:225.75pt;height:10.8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6" w:id="60"/>
                  <w:bookmarkEnd w:id="60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24" style="position:absolute;margin-left:68.2717pt;margin-top:246.947pt;mso-position-vertical-relative:page;mso-position-horizontal-relative:page;width:191.15pt;height:10.85pt;z-index:25166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3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ind w:left="194"/>
              <w:spacing w:before="234" w:line="21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部门公开表9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8"/>
          </w:tcPr>
          <w:p>
            <w:pPr>
              <w:ind w:left="2153"/>
              <w:spacing w:before="78" w:line="200" w:lineRule="exact"/>
              <w:outlineLvl w:val="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5" w:id="61"/>
            <w:bookmarkEnd w:id="61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2026年国有资本经营预算收支预算表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1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83" w:hRule="atLeast"/>
        </w:trPr>
        <w:tc>
          <w:tcPr>
            <w:tcW w:w="8224" w:type="dxa"/>
            <w:vAlign w:val="top"/>
            <w:gridSpan w:val="7"/>
            <w:tcBorders>
              <w:bottom w:val="nil"/>
            </w:tcBorders>
          </w:tcPr>
          <w:p>
            <w:pPr>
              <w:ind w:left="6"/>
              <w:spacing w:before="121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934" w:type="dxa"/>
            <w:vAlign w:val="top"/>
            <w:tcBorders>
              <w:bottom w:val="nil"/>
            </w:tcBorders>
          </w:tcPr>
          <w:p>
            <w:pPr>
              <w:ind w:right="22"/>
              <w:spacing w:before="121" w:line="234" w:lineRule="auto"/>
              <w:jc w:val="right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</w:tbl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1" w:hRule="atLeast"/>
        </w:trPr>
        <w:tc>
          <w:tcPr>
            <w:tcW w:w="3850" w:type="dxa"/>
            <w:vAlign w:val="top"/>
            <w:gridSpan w:val="3"/>
          </w:tcPr>
          <w:p>
            <w:pPr>
              <w:ind w:left="1118"/>
              <w:spacing w:before="10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国有资本经营预算收入</w:t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left="1847"/>
              <w:spacing w:before="10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国有资本经营预算支出</w:t>
            </w:r>
          </w:p>
        </w:tc>
      </w:tr>
      <w:tr>
        <w:trPr>
          <w:trHeight w:val="376" w:hRule="atLeast"/>
        </w:trPr>
        <w:tc>
          <w:tcPr>
            <w:tcW w:w="2867" w:type="dxa"/>
            <w:vAlign w:val="top"/>
            <w:gridSpan w:val="2"/>
          </w:tcPr>
          <w:p>
            <w:pPr>
              <w:ind w:left="1259"/>
              <w:spacing w:before="10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75" w:right="93" w:firstLine="14"/>
              <w:spacing w:before="212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营收入预算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ind w:left="149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ind w:left="382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005" w:type="dxa"/>
            <w:vAlign w:val="top"/>
            <w:vMerge w:val="restart"/>
            <w:tcBorders>
              <w:bottom w:val="nil"/>
            </w:tcBorders>
          </w:tcPr>
          <w:p>
            <w:pPr>
              <w:ind w:left="331"/>
              <w:spacing w:before="299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ind w:left="142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934" w:type="dxa"/>
            <w:vAlign w:val="top"/>
            <w:vMerge w:val="restart"/>
            <w:tcBorders>
              <w:bottom w:val="nil"/>
            </w:tcBorders>
          </w:tcPr>
          <w:p>
            <w:pPr>
              <w:ind w:left="130"/>
              <w:spacing w:before="299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6" w:hRule="atLeast"/>
        </w:trPr>
        <w:tc>
          <w:tcPr>
            <w:tcW w:w="1150" w:type="dxa"/>
            <w:vAlign w:val="top"/>
          </w:tcPr>
          <w:p>
            <w:pPr>
              <w:ind w:left="78"/>
              <w:spacing w:before="107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1717" w:type="dxa"/>
            <w:vAlign w:val="top"/>
          </w:tcPr>
          <w:p>
            <w:pPr>
              <w:ind w:left="517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6" w:hRule="atLeast"/>
        </w:trPr>
        <w:tc>
          <w:tcPr>
            <w:tcW w:w="2867" w:type="dxa"/>
            <w:vAlign w:val="top"/>
            <w:gridSpan w:val="2"/>
          </w:tcPr>
          <w:p>
            <w:pPr>
              <w:ind w:left="1262"/>
              <w:spacing w:before="111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2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158" w:type="dxa"/>
        <w:tblInd w:w="1383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</w:tblBorders>
      </w:tblPr>
      <w:tblGrid>
        <w:gridCol w:w="9158"/>
      </w:tblGrid>
      <w:tr>
        <w:trPr>
          <w:trHeight w:val="379" w:hRule="atLeast"/>
        </w:trPr>
        <w:tc>
          <w:tcPr>
            <w:tcW w:w="9158" w:type="dxa"/>
            <w:vAlign w:val="top"/>
          </w:tcPr>
          <w:p>
            <w:pPr>
              <w:ind w:left="6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69"/>
        <w:gridCol w:w="1404"/>
        <w:gridCol w:w="1328"/>
        <w:gridCol w:w="1415"/>
        <w:gridCol w:w="1442"/>
      </w:tblGrid>
      <w:tr>
        <w:trPr>
          <w:trHeight w:val="384" w:hRule="atLeast"/>
        </w:trPr>
        <w:tc>
          <w:tcPr>
            <w:tcW w:w="356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38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预算公开表10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556"/>
              <w:spacing w:before="78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16" w:id="62"/>
            <w:bookmarkEnd w:id="62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2026年财政拨款安排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3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"三公"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39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经费支出预算表</w:t>
            </w:r>
          </w:p>
        </w:tc>
      </w:tr>
      <w:tr>
        <w:trPr>
          <w:trHeight w:val="378" w:hRule="atLeast"/>
        </w:trPr>
        <w:tc>
          <w:tcPr>
            <w:tcW w:w="630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41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9" w:hRule="atLeast"/>
        </w:trPr>
        <w:tc>
          <w:tcPr>
            <w:tcW w:w="35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607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5589" w:type="dxa"/>
            <w:vAlign w:val="top"/>
            <w:gridSpan w:val="4"/>
          </w:tcPr>
          <w:p>
            <w:pPr>
              <w:ind w:left="2297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</w:tcPr>
          <w:p>
            <w:pPr>
              <w:ind w:left="528"/>
              <w:spacing w:before="110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28" w:type="dxa"/>
            <w:vAlign w:val="top"/>
          </w:tcPr>
          <w:p>
            <w:pPr>
              <w:ind w:left="16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415" w:type="dxa"/>
            <w:vAlign w:val="top"/>
          </w:tcPr>
          <w:p>
            <w:pPr>
              <w:ind w:left="130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442" w:type="dxa"/>
            <w:vAlign w:val="top"/>
          </w:tcPr>
          <w:p>
            <w:pPr>
              <w:ind w:left="7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136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3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966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163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569" w:type="dxa"/>
            <w:vAlign w:val="top"/>
          </w:tcPr>
          <w:p>
            <w:pPr>
              <w:ind w:left="1000"/>
              <w:spacing w:before="11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569" w:type="dxa"/>
            <w:vAlign w:val="top"/>
          </w:tcPr>
          <w:p>
            <w:pPr>
              <w:ind w:left="1610"/>
              <w:spacing w:before="11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158" w:type="dxa"/>
        <w:tblInd w:w="138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69"/>
        <w:gridCol w:w="1404"/>
        <w:gridCol w:w="1328"/>
        <w:gridCol w:w="1415"/>
        <w:gridCol w:w="1442"/>
      </w:tblGrid>
      <w:tr>
        <w:trPr>
          <w:trHeight w:val="379" w:hRule="atLeast"/>
        </w:trPr>
        <w:tc>
          <w:tcPr>
            <w:tcW w:w="3569" w:type="dxa"/>
            <w:vAlign w:val="top"/>
            <w:tcBorders>
              <w:top w:val="nil"/>
            </w:tcBorders>
          </w:tcPr>
          <w:p>
            <w:pPr>
              <w:ind w:left="5"/>
              <w:spacing w:before="1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404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5"/>
          <w:footerReference w:type="default" r:id="rId26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26" style="position:absolute;margin-left:68.2717pt;margin-top:58.2865pt;mso-position-vertical-relative:page;mso-position-horizontal-relative:page;width:28.65pt;height:10.85pt;z-index:2516715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7" w:id="63"/>
                  <w:bookmarkEnd w:id="63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8"/>
        <w:gridCol w:w="1285"/>
        <w:gridCol w:w="1512"/>
        <w:gridCol w:w="1620"/>
        <w:gridCol w:w="1593"/>
      </w:tblGrid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790"/>
              <w:spacing w:before="8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预算公开表11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758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7" w:id="64"/>
            <w:bookmarkEnd w:id="6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3"/>
                <w:position w:val="-1"/>
              </w:rPr>
              <w:t>2026年财政拨款安排机关运行经费预算表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5" w:line="23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85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restart"/>
            <w:tcBorders>
              <w:bottom w:val="nil"/>
            </w:tcBorders>
          </w:tcPr>
          <w:p>
            <w:pPr>
              <w:ind w:left="1236"/>
              <w:spacing w:before="303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单位名称</w:t>
            </w:r>
          </w:p>
        </w:tc>
        <w:tc>
          <w:tcPr>
            <w:tcW w:w="6010" w:type="dxa"/>
            <w:vAlign w:val="top"/>
            <w:gridSpan w:val="4"/>
          </w:tcPr>
          <w:p>
            <w:pPr>
              <w:ind w:left="2591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>2026预算数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left="46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58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620" w:type="dxa"/>
            <w:vAlign w:val="top"/>
          </w:tcPr>
          <w:p>
            <w:pPr>
              <w:ind w:left="234"/>
              <w:spacing w:before="111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593" w:type="dxa"/>
            <w:vAlign w:val="top"/>
          </w:tcPr>
          <w:p>
            <w:pPr>
              <w:ind w:left="153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ind w:left="1237"/>
              <w:spacing w:before="113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部门合计</w:t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7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28" style="position:absolute;margin-left:68.2717pt;margin-top:58.2865pt;mso-position-vertical-relative:page;mso-position-horizontal-relative:page;width:180.3pt;height:10.85pt;z-index:2516736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8" w:id="65"/>
                  <w:bookmarkEnd w:id="65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92"/>
        <w:gridCol w:w="1220"/>
        <w:gridCol w:w="1231"/>
        <w:gridCol w:w="810"/>
        <w:gridCol w:w="1220"/>
        <w:gridCol w:w="1048"/>
        <w:gridCol w:w="837"/>
      </w:tblGrid>
      <w:tr>
        <w:trPr>
          <w:trHeight w:val="384" w:hRule="atLeast"/>
        </w:trPr>
        <w:tc>
          <w:tcPr>
            <w:tcW w:w="279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1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85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082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预算公开表12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8" w:id="66"/>
            <w:bookmarkEnd w:id="66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(本年预算)</w:t>
            </w:r>
          </w:p>
        </w:tc>
      </w:tr>
      <w:tr>
        <w:trPr>
          <w:trHeight w:val="378" w:hRule="atLeast"/>
        </w:trPr>
        <w:tc>
          <w:tcPr>
            <w:tcW w:w="7273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885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12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2792" w:type="dxa"/>
            <w:vAlign w:val="top"/>
            <w:vMerge w:val="restart"/>
            <w:tcBorders>
              <w:bottom w:val="nil"/>
            </w:tcBorders>
          </w:tcPr>
          <w:p>
            <w:pPr>
              <w:ind w:left="1061"/>
              <w:spacing w:before="30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20" w:type="dxa"/>
            <w:vAlign w:val="top"/>
            <w:vMerge w:val="restart"/>
            <w:tcBorders>
              <w:bottom w:val="nil"/>
            </w:tcBorders>
          </w:tcPr>
          <w:p>
            <w:pPr>
              <w:ind w:left="44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261" w:type="dxa"/>
            <w:vAlign w:val="top"/>
            <w:gridSpan w:val="3"/>
          </w:tcPr>
          <w:p>
            <w:pPr>
              <w:ind w:left="1058"/>
              <w:spacing w:before="10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  <w:tc>
          <w:tcPr>
            <w:tcW w:w="1048" w:type="dxa"/>
            <w:vAlign w:val="top"/>
            <w:vMerge w:val="restart"/>
            <w:tcBorders>
              <w:bottom w:val="nil"/>
            </w:tcBorders>
          </w:tcPr>
          <w:p>
            <w:pPr>
              <w:ind w:left="362" w:right="36" w:hanging="329"/>
              <w:spacing w:before="217" w:line="158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财政专户管理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资金</w:t>
            </w:r>
          </w:p>
        </w:tc>
        <w:tc>
          <w:tcPr>
            <w:tcW w:w="837" w:type="dxa"/>
            <w:vAlign w:val="top"/>
            <w:vMerge w:val="restart"/>
            <w:tcBorders>
              <w:bottom w:val="nil"/>
            </w:tcBorders>
          </w:tcPr>
          <w:p>
            <w:pPr>
              <w:ind w:left="84"/>
              <w:spacing w:before="30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单位资金</w:t>
            </w:r>
          </w:p>
        </w:tc>
      </w:tr>
      <w:tr>
        <w:trPr>
          <w:trHeight w:val="378" w:hRule="atLeast"/>
        </w:trPr>
        <w:tc>
          <w:tcPr>
            <w:tcW w:w="279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1" w:type="dxa"/>
            <w:vAlign w:val="top"/>
          </w:tcPr>
          <w:p>
            <w:pPr>
              <w:ind w:left="116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810" w:type="dxa"/>
            <w:vAlign w:val="top"/>
          </w:tcPr>
          <w:p>
            <w:pPr>
              <w:ind w:left="146" w:right="88" w:hanging="79"/>
              <w:spacing w:before="24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政府性基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金预算</w:t>
            </w:r>
          </w:p>
        </w:tc>
        <w:tc>
          <w:tcPr>
            <w:tcW w:w="1220" w:type="dxa"/>
            <w:vAlign w:val="top"/>
          </w:tcPr>
          <w:p>
            <w:pPr>
              <w:ind w:left="515" w:right="45" w:hanging="466"/>
              <w:spacing w:before="22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</w:rPr>
              <w:t>国有资本经营预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算</w:t>
            </w:r>
          </w:p>
        </w:tc>
        <w:tc>
          <w:tcPr>
            <w:tcW w:w="10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359"/>
              <w:spacing w:before="13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220" w:type="dxa"/>
            <w:vAlign w:val="top"/>
          </w:tcPr>
          <w:p>
            <w:pPr>
              <w:ind w:left="565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231" w:type="dxa"/>
            <w:vAlign w:val="top"/>
          </w:tcPr>
          <w:p>
            <w:pPr>
              <w:ind w:left="568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810" w:type="dxa"/>
            <w:vAlign w:val="top"/>
          </w:tcPr>
          <w:p>
            <w:pPr>
              <w:ind w:left="352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220" w:type="dxa"/>
            <w:vAlign w:val="top"/>
          </w:tcPr>
          <w:p>
            <w:pPr>
              <w:ind w:left="564"/>
              <w:spacing w:before="139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  <w:tc>
          <w:tcPr>
            <w:tcW w:w="1048" w:type="dxa"/>
            <w:vAlign w:val="top"/>
          </w:tcPr>
          <w:p>
            <w:pPr>
              <w:ind w:left="480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6</w:t>
            </w:r>
          </w:p>
        </w:tc>
        <w:tc>
          <w:tcPr>
            <w:tcW w:w="837" w:type="dxa"/>
            <w:vAlign w:val="top"/>
          </w:tcPr>
          <w:p>
            <w:pPr>
              <w:ind w:left="375"/>
              <w:spacing w:before="139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88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长治高新技术产业开发区科技创新部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1330.00</w:t>
            </w:r>
          </w:p>
        </w:tc>
        <w:tc>
          <w:tcPr>
            <w:tcW w:w="1231" w:type="dxa"/>
            <w:vAlign w:val="top"/>
          </w:tcPr>
          <w:p>
            <w:pPr>
              <w:ind w:left="644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1330.00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差旅、办公、印刷等工作经费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20.00</w:t>
            </w:r>
          </w:p>
        </w:tc>
        <w:tc>
          <w:tcPr>
            <w:tcW w:w="1231" w:type="dxa"/>
            <w:vAlign w:val="top"/>
          </w:tcPr>
          <w:p>
            <w:pPr>
              <w:ind w:left="797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6" w:right="27" w:firstLine="162"/>
              <w:spacing w:before="27" w:line="21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长治高新区科技创新服务平台运营费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用（2023-2024年）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29.50</w:t>
            </w:r>
          </w:p>
        </w:tc>
        <w:tc>
          <w:tcPr>
            <w:tcW w:w="1231" w:type="dxa"/>
            <w:vAlign w:val="top"/>
          </w:tcPr>
          <w:p>
            <w:pPr>
              <w:ind w:left="797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29.50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69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科技企业孵化器运营及奖励经费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130.00</w:t>
            </w:r>
          </w:p>
        </w:tc>
        <w:tc>
          <w:tcPr>
            <w:tcW w:w="1231" w:type="dxa"/>
            <w:vAlign w:val="top"/>
          </w:tcPr>
          <w:p>
            <w:pPr>
              <w:ind w:left="725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130.00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69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科技创新活动工作经费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left="807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7" w:right="27" w:firstLine="164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京长对口合作工作经费（开展产学研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合作对接）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left="807"/>
              <w:spacing w:before="13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92" w:type="dxa"/>
            <w:vAlign w:val="top"/>
          </w:tcPr>
          <w:p>
            <w:pPr>
              <w:ind w:left="168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信创专业镇工作经费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3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1231" w:type="dxa"/>
            <w:vAlign w:val="top"/>
          </w:tcPr>
          <w:p>
            <w:pPr>
              <w:ind w:left="807"/>
              <w:spacing w:before="13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2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办公设备购置费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1231" w:type="dxa"/>
            <w:vAlign w:val="top"/>
          </w:tcPr>
          <w:p>
            <w:pPr>
              <w:ind w:left="879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2024年度绩效工资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45.00</w:t>
            </w:r>
          </w:p>
        </w:tc>
        <w:tc>
          <w:tcPr>
            <w:tcW w:w="1231" w:type="dxa"/>
            <w:vAlign w:val="top"/>
          </w:tcPr>
          <w:p>
            <w:pPr>
              <w:ind w:left="794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45.00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92" w:type="dxa"/>
            <w:vAlign w:val="top"/>
          </w:tcPr>
          <w:p>
            <w:pPr>
              <w:ind w:left="8" w:right="27" w:firstLine="160"/>
              <w:spacing w:before="31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保育费（幼儿保育教育费、婴幼儿保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教费）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2.50</w:t>
            </w:r>
          </w:p>
        </w:tc>
        <w:tc>
          <w:tcPr>
            <w:tcW w:w="1231" w:type="dxa"/>
            <w:vAlign w:val="top"/>
          </w:tcPr>
          <w:p>
            <w:pPr>
              <w:ind w:left="878"/>
              <w:spacing w:before="141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2.50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92" w:type="dxa"/>
            <w:vAlign w:val="top"/>
          </w:tcPr>
          <w:p>
            <w:pPr>
              <w:ind w:left="17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2025年度卓怡恒通研发补贴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500.00</w:t>
            </w:r>
          </w:p>
        </w:tc>
        <w:tc>
          <w:tcPr>
            <w:tcW w:w="1231" w:type="dxa"/>
            <w:vAlign w:val="top"/>
          </w:tcPr>
          <w:p>
            <w:pPr>
              <w:ind w:left="717"/>
              <w:spacing w:before="142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500.00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2792" w:type="dxa"/>
            <w:vAlign w:val="top"/>
          </w:tcPr>
          <w:p>
            <w:pPr>
              <w:ind w:left="169"/>
              <w:spacing w:before="11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政策兑现资金</w:t>
            </w:r>
          </w:p>
        </w:tc>
        <w:tc>
          <w:tcPr>
            <w:tcW w:w="1220" w:type="dxa"/>
            <w:vAlign w:val="top"/>
          </w:tcPr>
          <w:p>
            <w:pPr>
              <w:ind w:right="19"/>
              <w:spacing w:before="14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570.00</w:t>
            </w:r>
          </w:p>
        </w:tc>
        <w:tc>
          <w:tcPr>
            <w:tcW w:w="1231" w:type="dxa"/>
            <w:vAlign w:val="top"/>
          </w:tcPr>
          <w:p>
            <w:pPr>
              <w:ind w:left="717"/>
              <w:spacing w:before="14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570.00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8"/>
          <w:pgSz w:w="11900" w:h="16840"/>
          <w:pgMar w:top="610" w:right="86" w:bottom="312" w:left="0" w:header="357" w:footer="153" w:gutter="0"/>
        </w:sectPr>
        <w:rPr/>
      </w:pPr>
    </w:p>
    <w:p>
      <w:pPr>
        <w:spacing w:before="119"/>
        <w:rPr/>
      </w:pPr>
      <w:r>
        <w:pict>
          <v:shape id="_x0000_s230" style="position:absolute;margin-left:68.2717pt;margin-top:58.2865pt;mso-position-vertical-relative:page;mso-position-horizontal-relative:page;width:180.3pt;height:10.85pt;z-index:2516756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6" w:lineRule="exact"/>
                    <w:rPr>
                      <w:sz w:val="12"/>
                      <w:szCs w:val="12"/>
                    </w:rPr>
                  </w:pPr>
                  <w:bookmarkStart w:name="bookmark49" w:id="67"/>
                  <w:bookmarkEnd w:id="67"/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</w:t>
                  </w:r>
                  <w:r>
                    <w:rPr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28"/>
        <w:gridCol w:w="1296"/>
        <w:gridCol w:w="1415"/>
        <w:gridCol w:w="1372"/>
        <w:gridCol w:w="1247"/>
      </w:tblGrid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444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预算公开表13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9" w:id="68"/>
            <w:bookmarkEnd w:id="68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(上年结转)</w:t>
            </w:r>
          </w:p>
        </w:tc>
      </w:tr>
      <w:tr>
        <w:trPr>
          <w:trHeight w:val="378" w:hRule="atLeast"/>
        </w:trPr>
        <w:tc>
          <w:tcPr>
            <w:tcW w:w="79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单位名称：长治高新技术产业开发区科技创新部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574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restart"/>
            <w:tcBorders>
              <w:bottom w:val="nil"/>
            </w:tcBorders>
          </w:tcPr>
          <w:p>
            <w:pPr>
              <w:ind w:left="1577"/>
              <w:spacing w:before="30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96" w:type="dxa"/>
            <w:vAlign w:val="top"/>
            <w:vMerge w:val="restart"/>
            <w:tcBorders>
              <w:bottom w:val="nil"/>
            </w:tcBorders>
          </w:tcPr>
          <w:p>
            <w:pPr>
              <w:ind w:left="477"/>
              <w:spacing w:before="30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4034" w:type="dxa"/>
            <w:vAlign w:val="top"/>
            <w:gridSpan w:val="3"/>
          </w:tcPr>
          <w:p>
            <w:pPr>
              <w:ind w:left="1442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ind w:left="209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72" w:type="dxa"/>
            <w:vAlign w:val="top"/>
          </w:tcPr>
          <w:p>
            <w:pPr>
              <w:ind w:left="509" w:right="286" w:hanging="240"/>
              <w:spacing w:before="2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247" w:type="dxa"/>
            <w:vAlign w:val="top"/>
          </w:tcPr>
          <w:p>
            <w:pPr>
              <w:ind w:left="288" w:right="304" w:firstLine="16"/>
              <w:spacing w:before="2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国有资本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经营预算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ind w:left="1875"/>
              <w:spacing w:before="13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296" w:type="dxa"/>
            <w:vAlign w:val="top"/>
          </w:tcPr>
          <w:p>
            <w:pPr>
              <w:ind w:left="600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61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1372" w:type="dxa"/>
            <w:vAlign w:val="top"/>
          </w:tcPr>
          <w:p>
            <w:pPr>
              <w:ind w:left="635"/>
              <w:spacing w:before="139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247" w:type="dxa"/>
            <w:vAlign w:val="top"/>
          </w:tcPr>
          <w:p>
            <w:pPr>
              <w:ind w:left="576"/>
              <w:spacing w:before="140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9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3987"/>
        <w:spacing w:before="99" w:line="239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20" w:id="69"/>
      <w:bookmarkEnd w:id="69"/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第三部分</w:t>
      </w:r>
      <w:r>
        <w:rPr>
          <w:rFonts w:ascii="Microsoft YaHei" w:hAnsi="Microsoft YaHei" w:eastAsia="Microsoft YaHei" w:cs="Microsoft YaHei"/>
          <w:sz w:val="23"/>
          <w:szCs w:val="23"/>
          <w:spacing w:val="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2026年度单位预算情况说明</w:t>
      </w:r>
    </w:p>
    <w:p>
      <w:pPr>
        <w:pStyle w:val="BodyText"/>
        <w:spacing w:line="334" w:lineRule="auto"/>
        <w:rPr/>
      </w:pPr>
      <w:r/>
    </w:p>
    <w:p>
      <w:pPr>
        <w:ind w:left="1513"/>
        <w:spacing w:before="99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1" w:id="70"/>
      <w:bookmarkEnd w:id="70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一、单位预算收支数据变动情况及原因</w:t>
      </w:r>
    </w:p>
    <w:p>
      <w:pPr>
        <w:ind w:left="1510" w:right="1388" w:firstLine="480"/>
        <w:spacing w:before="230" w:line="349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2026年度长治高新技术产业开发区科技创新部预算收入总计1,44</w:t>
      </w:r>
      <w:r>
        <w:rPr>
          <w:rFonts w:ascii="FangSong" w:hAnsi="FangSong" w:eastAsia="FangSong" w:cs="FangSong"/>
          <w:sz w:val="24"/>
          <w:szCs w:val="24"/>
          <w:spacing w:val="6"/>
        </w:rPr>
        <w:t>9.20万元，其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中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：本年</w:t>
      </w:r>
      <w:r>
        <w:rPr>
          <w:rFonts w:ascii="FangSong" w:hAnsi="FangSong" w:eastAsia="FangSong" w:cs="FangSong"/>
          <w:sz w:val="24"/>
          <w:szCs w:val="24"/>
          <w:spacing w:val="-6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收入</w:t>
      </w:r>
      <w:r>
        <w:rPr>
          <w:rFonts w:ascii="FangSong" w:hAnsi="FangSong" w:eastAsia="FangSong" w:cs="FangSong"/>
          <w:sz w:val="24"/>
          <w:szCs w:val="24"/>
          <w:spacing w:val="-6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1,449.20万元</w:t>
      </w:r>
      <w:r>
        <w:rPr>
          <w:rFonts w:ascii="FangSong" w:hAnsi="FangSong" w:eastAsia="FangSong" w:cs="FangSong"/>
          <w:sz w:val="24"/>
          <w:szCs w:val="24"/>
          <w:spacing w:val="-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，上年结转0万元</w:t>
      </w:r>
      <w:r>
        <w:rPr>
          <w:rFonts w:ascii="FangSong" w:hAnsi="FangSong" w:eastAsia="FangSong" w:cs="FangSong"/>
          <w:sz w:val="24"/>
          <w:szCs w:val="24"/>
          <w:spacing w:val="-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，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比上年减少2178.27万元</w:t>
      </w:r>
      <w:r>
        <w:rPr>
          <w:rFonts w:ascii="FangSong" w:hAnsi="FangSong" w:eastAsia="FangSong" w:cs="FangSong"/>
          <w:sz w:val="24"/>
          <w:szCs w:val="24"/>
          <w:spacing w:val="-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，下</w:t>
      </w:r>
      <w:r>
        <w:rPr>
          <w:rFonts w:ascii="FangSong" w:hAnsi="FangSong" w:eastAsia="FangSong" w:cs="FangSong"/>
          <w:sz w:val="24"/>
          <w:szCs w:val="24"/>
          <w:spacing w:val="-6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降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60.05%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，主要原因是对企业</w:t>
      </w:r>
      <w:r>
        <w:rPr>
          <w:rFonts w:ascii="FangSong" w:hAnsi="FangSong" w:eastAsia="FangSong" w:cs="FangSong"/>
          <w:sz w:val="24"/>
          <w:szCs w:val="24"/>
          <w:spacing w:val="-6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的政策兑现项</w:t>
      </w:r>
      <w:r>
        <w:rPr>
          <w:rFonts w:ascii="FangSong" w:hAnsi="FangSong" w:eastAsia="FangSong" w:cs="FangSong"/>
          <w:sz w:val="24"/>
          <w:szCs w:val="24"/>
          <w:spacing w:val="-3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目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资金减少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；本年单位预算支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出</w:t>
      </w:r>
      <w:r>
        <w:rPr>
          <w:rFonts w:ascii="FangSong" w:hAnsi="FangSong" w:eastAsia="FangSong" w:cs="FangSong"/>
          <w:sz w:val="24"/>
          <w:szCs w:val="24"/>
          <w:spacing w:val="-6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总计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8"/>
        </w:rPr>
        <w:t>1,449.20万元，其中：本年预算安排1,449.20</w:t>
      </w:r>
      <w:r>
        <w:rPr>
          <w:rFonts w:ascii="FangSong" w:hAnsi="FangSong" w:eastAsia="FangSong" w:cs="FangSong"/>
          <w:sz w:val="24"/>
          <w:szCs w:val="24"/>
          <w:spacing w:val="7"/>
        </w:rPr>
        <w:t>万元，上年结转0万元，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比上年减少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2178.27万元，下降60.05%，主要原因是对企</w:t>
      </w:r>
      <w:r>
        <w:rPr>
          <w:rFonts w:ascii="FangSong" w:hAnsi="FangSong" w:eastAsia="FangSong" w:cs="FangSong"/>
          <w:sz w:val="24"/>
          <w:szCs w:val="24"/>
          <w:spacing w:val="-1"/>
        </w:rPr>
        <w:t>业的政策兑现项目资金减少</w:t>
      </w:r>
    </w:p>
    <w:p>
      <w:pPr>
        <w:ind w:left="1513"/>
        <w:spacing w:before="22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2" w:id="71"/>
      <w:bookmarkEnd w:id="71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二、收入预算情况说明</w:t>
      </w:r>
    </w:p>
    <w:p>
      <w:pPr>
        <w:ind w:left="1510" w:right="1388" w:firstLine="480"/>
        <w:spacing w:before="227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2026年度长治高新技术产业开发区科技创新部预算收入1,449.</w:t>
      </w:r>
      <w:r>
        <w:rPr>
          <w:rFonts w:ascii="FangSong" w:hAnsi="FangSong" w:eastAsia="FangSong" w:cs="FangSong"/>
          <w:sz w:val="24"/>
          <w:szCs w:val="24"/>
        </w:rPr>
        <w:t>20万元，主要包括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一般公共预算拨款收入1,449.20万元</w:t>
      </w:r>
      <w:r>
        <w:rPr>
          <w:rFonts w:ascii="FangSong" w:hAnsi="FangSong" w:eastAsia="FangSong" w:cs="FangSong"/>
          <w:sz w:val="24"/>
          <w:szCs w:val="24"/>
          <w:spacing w:val="-1"/>
        </w:rPr>
        <w:t>，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占100.00%；政府性基金预算拨款收入0万元，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占0%；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国有资本经营预算拨款收入0万元，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占0%；财政专户管理资金收入0万元，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占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0%；单位资金0万元，占0%；上年结转0万元，占0%。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firstLine="2358"/>
        <w:spacing w:line="4145" w:lineRule="exact"/>
        <w:rPr/>
      </w:pPr>
      <w:r>
        <w:pict>
          <v:shape id="_x0000_s246" style="position:absolute;margin-left:86.92pt;margin-top:145.88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82"/>
        </w:rPr>
        <w:drawing>
          <wp:inline distT="0" distB="0" distL="0" distR="0">
            <wp:extent cx="3702177" cy="263185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2177" cy="263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1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514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3" w:id="72"/>
      <w:bookmarkEnd w:id="72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三、支出预算情况说明</w:t>
      </w:r>
    </w:p>
    <w:p>
      <w:pPr>
        <w:ind w:left="1515" w:right="1388" w:firstLine="475"/>
        <w:spacing w:before="215" w:line="34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2026年度长治高新技术产业开发区科技创新部支出预算1449.2</w:t>
      </w:r>
      <w:r>
        <w:rPr>
          <w:rFonts w:ascii="FangSong" w:hAnsi="FangSong" w:eastAsia="FangSong" w:cs="FangSong"/>
          <w:sz w:val="24"/>
          <w:szCs w:val="24"/>
        </w:rPr>
        <w:t>万元，其中：基本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支出119.2万元，占8.23%；项目支出1330万元，占91.77%。</w:t>
      </w:r>
    </w:p>
    <w:p>
      <w:pPr>
        <w:ind w:left="1523"/>
        <w:spacing w:before="34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4" w:id="73"/>
      <w:bookmarkEnd w:id="73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四、财政拨款收支预算总体情况说明</w:t>
      </w:r>
    </w:p>
    <w:p>
      <w:pPr>
        <w:ind w:left="1515" w:right="1388" w:firstLine="475"/>
        <w:spacing w:before="215" w:line="341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2026年度长治高新技术产业开发区科技创新部财政拨款收支总预算1</w:t>
      </w:r>
      <w:r>
        <w:rPr>
          <w:rFonts w:ascii="FangSong" w:hAnsi="FangSong" w:eastAsia="FangSong" w:cs="FangSong"/>
          <w:sz w:val="24"/>
          <w:szCs w:val="24"/>
          <w:spacing w:val="6"/>
        </w:rPr>
        <w:t>,449.20万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元。其中：一般公共预算拨款1,449.20万元，政府性基金预算拨款0万元，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国有资本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经营预算拨款0万元。其中：当年拨款收入1,449.20万</w:t>
      </w:r>
      <w:r>
        <w:rPr>
          <w:rFonts w:ascii="FangSong" w:hAnsi="FangSong" w:eastAsia="FangSong" w:cs="FangSong"/>
          <w:sz w:val="24"/>
          <w:szCs w:val="24"/>
        </w:rPr>
        <w:t>元，上年结转收入0万元。支出</w:t>
      </w:r>
    </w:p>
    <w:p>
      <w:pPr>
        <w:spacing w:line="341" w:lineRule="auto"/>
        <w:sectPr>
          <w:headerReference w:type="default" r:id="rId30"/>
          <w:footerReference w:type="default" r:id="rId31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517" w:right="1387" w:firstLine="7"/>
        <w:spacing w:before="78" w:line="34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包括：教育支出1.00万元、科学技术支出1,396.51万元、社会保障和就业支出28.83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万元、卫生健康支出9.10万元、住房保障支出13.76</w:t>
      </w:r>
      <w:r>
        <w:rPr>
          <w:rFonts w:ascii="FangSong" w:hAnsi="FangSong" w:eastAsia="FangSong" w:cs="FangSong"/>
          <w:sz w:val="24"/>
          <w:szCs w:val="24"/>
          <w:spacing w:val="-2"/>
        </w:rPr>
        <w:t>万元等。</w:t>
      </w:r>
    </w:p>
    <w:p>
      <w:pPr>
        <w:ind w:left="1515"/>
        <w:spacing w:before="20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5" w:id="74"/>
      <w:bookmarkEnd w:id="74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五、一般公共预算支出情况说明</w:t>
      </w:r>
    </w:p>
    <w:p>
      <w:pPr>
        <w:ind w:left="1995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（一）一般公共预算当年支出规模变化情况</w:t>
      </w:r>
    </w:p>
    <w:p>
      <w:pPr>
        <w:ind w:left="1519" w:right="1388" w:firstLine="471"/>
        <w:spacing w:before="177" w:line="33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2026年度长治高新技术产业开发区科技创新部一般公共预算当年支出</w:t>
      </w:r>
      <w:r>
        <w:rPr>
          <w:rFonts w:ascii="FangSong" w:hAnsi="FangSong" w:eastAsia="FangSong" w:cs="FangSong"/>
          <w:sz w:val="24"/>
          <w:szCs w:val="24"/>
        </w:rPr>
        <w:t>1,449.20万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元,比上年减少2159.37万元，下降59.84%。</w:t>
      </w:r>
    </w:p>
    <w:p>
      <w:pPr>
        <w:ind w:left="1995"/>
        <w:spacing w:before="52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（二）一般公共预算当年支出结构情况</w:t>
      </w:r>
    </w:p>
    <w:p>
      <w:pPr>
        <w:ind w:left="1510" w:right="1387" w:firstLine="480"/>
        <w:spacing w:before="178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2026年度长治高新技术产业开发区科技创新部一般公共预算当年支出</w:t>
      </w:r>
      <w:r>
        <w:rPr>
          <w:rFonts w:ascii="FangSong" w:hAnsi="FangSong" w:eastAsia="FangSong" w:cs="FangSong"/>
          <w:sz w:val="24"/>
          <w:szCs w:val="24"/>
        </w:rPr>
        <w:t>1,449.20万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元,主要用于以下方面：教育支出1.00万元</w:t>
      </w:r>
      <w:r>
        <w:rPr>
          <w:rFonts w:ascii="FangSong" w:hAnsi="FangSong" w:eastAsia="FangSong" w:cs="FangSong"/>
          <w:sz w:val="24"/>
          <w:szCs w:val="24"/>
          <w:spacing w:val="-1"/>
        </w:rPr>
        <w:t>，</w:t>
      </w:r>
      <w:r>
        <w:rPr>
          <w:rFonts w:ascii="FangSong" w:hAnsi="FangSong" w:eastAsia="FangSong" w:cs="FangSong"/>
          <w:sz w:val="24"/>
          <w:szCs w:val="24"/>
          <w:spacing w:val="-6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占0.07%；科学技术支出1,396.51万元，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占96.36%；社会保障和就业支出28.83万元，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占1.99%；卫生健康支出9.10万元，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占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0.63%；住房保障支出13.76万元，占0.95%等。</w:t>
      </w:r>
    </w:p>
    <w:p>
      <w:pPr>
        <w:ind w:firstLine="2997"/>
        <w:spacing w:before="195" w:line="3524" w:lineRule="exact"/>
        <w:rPr/>
      </w:pPr>
      <w:r>
        <w:rPr>
          <w:position w:val="-70"/>
        </w:rPr>
        <w:drawing>
          <wp:inline distT="0" distB="0" distL="0" distR="0">
            <wp:extent cx="2941456" cy="223795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1456" cy="223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51" w:lineRule="auto"/>
        <w:rPr/>
      </w:pPr>
      <w:r/>
    </w:p>
    <w:p>
      <w:pPr>
        <w:pStyle w:val="BodyText"/>
        <w:spacing w:line="352" w:lineRule="auto"/>
        <w:rPr/>
      </w:pPr>
      <w:r/>
    </w:p>
    <w:p>
      <w:pPr>
        <w:ind w:left="1513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6" w:id="75"/>
      <w:bookmarkEnd w:id="75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六、一般公共预算基本支出情况说明</w:t>
      </w:r>
    </w:p>
    <w:p>
      <w:pPr>
        <w:ind w:left="1517" w:right="1388" w:firstLine="473"/>
        <w:spacing w:before="230" w:line="34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2026年度长治高新技术产业开发区科技创新部一般公共预算安排基本</w:t>
      </w:r>
      <w:r>
        <w:rPr>
          <w:rFonts w:ascii="FangSong" w:hAnsi="FangSong" w:eastAsia="FangSong" w:cs="FangSong"/>
          <w:sz w:val="24"/>
          <w:szCs w:val="24"/>
        </w:rPr>
        <w:t>支出119.20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0"/>
        </w:rPr>
        <w:t>万元，其中：</w:t>
      </w:r>
    </w:p>
    <w:p>
      <w:pPr>
        <w:ind w:left="1515" w:right="1387" w:firstLine="483"/>
        <w:spacing w:before="24" w:line="347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人员经费112.56万元，主要包括：其他工资福利</w:t>
      </w:r>
      <w:r>
        <w:rPr>
          <w:rFonts w:ascii="FangSong" w:hAnsi="FangSong" w:eastAsia="FangSong" w:cs="FangSong"/>
          <w:sz w:val="24"/>
          <w:szCs w:val="24"/>
        </w:rPr>
        <w:t>支出、公务员医疗补助缴费、其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他社会保障缴费、绩效工资、基本工资、机关事业单位基本养老保</w:t>
      </w:r>
      <w:r>
        <w:rPr>
          <w:rFonts w:ascii="FangSong" w:hAnsi="FangSong" w:eastAsia="FangSong" w:cs="FangSong"/>
          <w:sz w:val="24"/>
          <w:szCs w:val="24"/>
        </w:rPr>
        <w:t>险缴费、住房公积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金、奖励金、津贴补贴、职业年金缴费、职工基本医疗保险缴费等；</w:t>
      </w:r>
    </w:p>
    <w:p>
      <w:pPr>
        <w:ind w:left="1540" w:right="1388" w:firstLine="460"/>
        <w:spacing w:before="25" w:line="34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公用经费6.64万元，主要包括：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邮电费、办公费、印刷费、其他商</w:t>
      </w:r>
      <w:r>
        <w:rPr>
          <w:rFonts w:ascii="FangSong" w:hAnsi="FangSong" w:eastAsia="FangSong" w:cs="FangSong"/>
          <w:sz w:val="24"/>
          <w:szCs w:val="24"/>
          <w:spacing w:val="5"/>
        </w:rPr>
        <w:t>品和服务支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出、其他交通费用、差旅费等。</w:t>
      </w:r>
    </w:p>
    <w:p>
      <w:pPr>
        <w:ind w:left="1506"/>
        <w:spacing w:before="21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7" w:id="76"/>
      <w:bookmarkEnd w:id="76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七、</w:t>
      </w:r>
      <w:r>
        <w:rPr>
          <w:rFonts w:ascii="Microsoft YaHei" w:hAnsi="Microsoft YaHei" w:eastAsia="Microsoft YaHei" w:cs="Microsoft YaHei"/>
          <w:sz w:val="23"/>
          <w:szCs w:val="23"/>
          <w:spacing w:val="11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"三公"经费增减变动原因说明</w:t>
      </w:r>
    </w:p>
    <w:p>
      <w:pPr>
        <w:ind w:left="1996"/>
        <w:spacing w:before="230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本单位无“三公”经费预算。</w:t>
      </w:r>
    </w:p>
    <w:p>
      <w:pPr>
        <w:ind w:left="1505"/>
        <w:spacing w:before="173"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8" w:id="77"/>
      <w:bookmarkEnd w:id="77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八、机关运行经费增减变动原因说明</w:t>
      </w:r>
    </w:p>
    <w:p>
      <w:pPr>
        <w:spacing w:line="239" w:lineRule="exact"/>
        <w:sectPr>
          <w:headerReference w:type="default" r:id="rId33"/>
          <w:footerReference w:type="default" r:id="rId34"/>
          <w:pgSz w:w="11900" w:h="16840"/>
          <w:pgMar w:top="610" w:right="86" w:bottom="312" w:left="0" w:header="357" w:footer="153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1996"/>
        <w:spacing w:before="78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本单位无机关运行经费。</w:t>
      </w:r>
    </w:p>
    <w:p>
      <w:pPr>
        <w:ind w:left="1510"/>
        <w:spacing w:before="175" w:line="234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9" w:id="78"/>
      <w:bookmarkEnd w:id="78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九、政府采购情况</w:t>
      </w:r>
    </w:p>
    <w:p>
      <w:pPr>
        <w:ind w:left="1516" w:right="1388" w:firstLine="474"/>
        <w:spacing w:before="219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2026年长治高新技术产业开发区科技创新部政府采购预算总额3.</w:t>
      </w:r>
      <w:r>
        <w:rPr>
          <w:rFonts w:ascii="FangSong" w:hAnsi="FangSong" w:eastAsia="FangSong" w:cs="FangSong"/>
          <w:sz w:val="24"/>
          <w:szCs w:val="24"/>
        </w:rPr>
        <w:t>70万元。其中：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0"/>
        </w:rPr>
        <w:t>政府采购货物预算0.40万元、政府采购工程预算0万元、</w:t>
      </w:r>
      <w:r>
        <w:rPr>
          <w:rFonts w:ascii="FangSong" w:hAnsi="FangSong" w:eastAsia="FangSong" w:cs="FangSong"/>
          <w:sz w:val="24"/>
          <w:szCs w:val="24"/>
          <w:spacing w:val="9"/>
        </w:rPr>
        <w:t>政府采购服务预算3.30万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3"/>
        </w:rPr>
        <w:t>元。</w:t>
      </w:r>
    </w:p>
    <w:p>
      <w:pPr>
        <w:ind w:left="1512"/>
        <w:spacing w:before="12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0" w:id="79"/>
      <w:bookmarkEnd w:id="79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十、绩效管理情况</w:t>
      </w:r>
    </w:p>
    <w:p>
      <w:pPr>
        <w:ind w:left="2006"/>
        <w:spacing w:before="23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1、整体绩效目标</w:t>
      </w:r>
    </w:p>
    <w:p>
      <w:pPr>
        <w:ind w:left="1511"/>
        <w:spacing w:before="175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2026年编报单位整体绩效目标，涉及资金1330万元。</w:t>
      </w:r>
    </w:p>
    <w:p>
      <w:pPr>
        <w:ind w:left="1991"/>
        <w:spacing w:before="16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2、项目绩效目标</w:t>
      </w:r>
    </w:p>
    <w:p>
      <w:pPr>
        <w:ind w:left="1991"/>
        <w:spacing w:before="177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2026年长治高新技术产业开发区科技创新部纳入绩效目标管理的二</w:t>
      </w:r>
      <w:r>
        <w:rPr>
          <w:rFonts w:ascii="FangSong" w:hAnsi="FangSong" w:eastAsia="FangSong" w:cs="FangSong"/>
          <w:sz w:val="24"/>
          <w:szCs w:val="24"/>
        </w:rPr>
        <w:t>级项目11个，</w:t>
      </w:r>
    </w:p>
    <w:p>
      <w:pPr>
        <w:ind w:left="1515" w:right="1388" w:firstLine="7"/>
        <w:spacing w:before="178" w:line="346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共计金额1,330.00万元。其中：其他运</w:t>
      </w:r>
      <w:r>
        <w:rPr>
          <w:rFonts w:ascii="FangSong" w:hAnsi="FangSong" w:eastAsia="FangSong" w:cs="FangSong"/>
          <w:sz w:val="24"/>
          <w:szCs w:val="24"/>
        </w:rPr>
        <w:t>转类项目11个，涉及金额1,330.00万元；特定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目标类项目0个，涉及金额0万元。公开项目绩效目标11个，涉</w:t>
      </w:r>
      <w:r>
        <w:rPr>
          <w:rFonts w:ascii="FangSong" w:hAnsi="FangSong" w:eastAsia="FangSong" w:cs="FangSong"/>
          <w:sz w:val="24"/>
          <w:szCs w:val="24"/>
        </w:rPr>
        <w:t>及项目金额1,330.00万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元，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占部门（单位）项目支出总额的100%。其中：其他运转类项目11个，涉及项目金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额1,330.00万元；特定目标类项目0个，涉及项目</w:t>
      </w:r>
      <w:r>
        <w:rPr>
          <w:rFonts w:ascii="FangSong" w:hAnsi="FangSong" w:eastAsia="FangSong" w:cs="FangSong"/>
          <w:sz w:val="24"/>
          <w:szCs w:val="24"/>
          <w:spacing w:val="-2"/>
        </w:rPr>
        <w:t>金额0万元。</w:t>
      </w:r>
    </w:p>
    <w:p>
      <w:pPr>
        <w:ind w:left="1515"/>
        <w:spacing w:before="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（项目绩效目标表公开情况见附件）</w:t>
      </w:r>
    </w:p>
    <w:p>
      <w:pPr>
        <w:spacing w:line="222" w:lineRule="auto"/>
        <w:sectPr>
          <w:headerReference w:type="default" r:id="rId19"/>
          <w:footerReference w:type="default" r:id="rId36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93" w:lineRule="auto"/>
        <w:rPr/>
      </w:pPr>
      <w:r>
        <w:pict>
          <v:shape id="_x0000_s274" style="position:absolute;margin-left:86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276" style="position:absolute;margin-left:391.92pt;margin-top:228.075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8" style="position:absolute;margin-left:86.92pt;margin-top:472.075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headerReference w:type="default" r:id="rId37"/>
          <w:footerReference w:type="default" r:id="rId3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280" style="position:absolute;margin-left:86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282" style="position:absolute;margin-left:86.92pt;margin-top:472.075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391.92pt;margin-top:228.075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4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286" style="position:absolute;margin-left:86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288" style="position:absolute;margin-left:391.92pt;margin-top:228.075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0" style="position:absolute;margin-left:86.92pt;margin-top:472.075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footerReference w:type="default" r:id="rId4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292" style="position:absolute;margin-left:86.92pt;margin-top:44.1055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480" w:lineRule="exact"/>
        <w:rPr/>
      </w:pPr>
      <w:r>
        <w:pict>
          <v:shape id="_x0000_s294" style="position:absolute;margin-left:391.92pt;margin-top:228.075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86.92pt;margin-top:472.075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9"/>
        </w:rPr>
        <w:drawing>
          <wp:inline distT="0" distB="0" distL="0" distR="0">
            <wp:extent cx="4962525" cy="60198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480" w:lineRule="exact"/>
        <w:sectPr>
          <w:footerReference w:type="default" r:id="rId4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298" style="position:absolute;margin-left:86.92pt;margin-top:44.1055pt;mso-position-vertical-relative:page;mso-position-horizontal-relative:page;width:119.4pt;height:18.85pt;z-index:251698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10140" w:lineRule="exact"/>
        <w:rPr/>
      </w:pPr>
      <w:r>
        <w:pict>
          <v:shape id="_x0000_s300" style="position:absolute;margin-left:86.92pt;margin-top:472.075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28.075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2"/>
        </w:rPr>
        <w:drawing>
          <wp:inline distT="0" distB="0" distL="0" distR="0">
            <wp:extent cx="4962525" cy="64389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40" w:lineRule="exact"/>
        <w:sectPr>
          <w:footerReference w:type="default" r:id="rId4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04" style="position:absolute;margin-left:86.92pt;margin-top:44.1055pt;mso-position-vertical-relative:page;mso-position-horizontal-relative:page;width:119.4pt;height:18.85pt;z-index:251701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306" style="position:absolute;margin-left:391.92pt;margin-top:228.075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2.075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4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10" style="position:absolute;margin-left:86.92pt;margin-top:44.1055pt;mso-position-vertical-relative:page;mso-position-horizontal-relative:page;width:119.4pt;height:18.85pt;z-index:251702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705" w:lineRule="exact"/>
        <w:rPr/>
      </w:pPr>
      <w:r>
        <w:pict>
          <v:shape id="_x0000_s312" style="position:absolute;margin-left:391.92pt;margin-top:228.075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2.075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4"/>
        </w:rPr>
        <w:drawing>
          <wp:inline distT="0" distB="0" distL="0" distR="0">
            <wp:extent cx="4962525" cy="616267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05" w:lineRule="exact"/>
        <w:sectPr>
          <w:footerReference w:type="default" r:id="rId50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16" style="position:absolute;margin-left:86.92pt;margin-top:44.105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318" style="position:absolute;margin-left:391.92pt;margin-top:228.075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2.075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5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22" style="position:absolute;margin-left:86.92pt;margin-top:44.1055pt;mso-position-vertical-relative:page;mso-position-horizontal-relative:page;width:119.4pt;height:18.85pt;z-index:251708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10365" w:lineRule="exact"/>
        <w:rPr/>
      </w:pPr>
      <w:r>
        <w:pict>
          <v:shape id="_x0000_s324" style="position:absolute;margin-left:391.92pt;margin-top:228.075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2.075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7"/>
        </w:rPr>
        <w:drawing>
          <wp:inline distT="0" distB="0" distL="0" distR="0">
            <wp:extent cx="4962525" cy="658177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65" w:lineRule="exact"/>
        <w:sectPr>
          <w:footerReference w:type="default" r:id="rId54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28" style="position:absolute;margin-left:86.92pt;margin-top:44.1055pt;mso-position-vertical-relative:page;mso-position-horizontal-relative:page;width:119.4pt;height:18.85pt;z-index:251711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330" style="position:absolute;margin-left:391.92pt;margin-top:228.075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2.075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56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3" w:lineRule="auto"/>
        <w:rPr/>
      </w:pPr>
      <w:r>
        <w:pict>
          <v:shape id="_x0000_s334" style="position:absolute;margin-left:86.92pt;margin-top:44.1055pt;mso-position-vertical-relative:page;mso-position-horizontal-relative:page;width:119.4pt;height:18.85pt;z-index:251714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2055"/>
        <w:spacing w:line="9255" w:lineRule="exact"/>
        <w:rPr/>
      </w:pPr>
      <w:r>
        <w:pict>
          <v:shape id="_x0000_s336" style="position:absolute;margin-left:86.92pt;margin-top:472.075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28.075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85"/>
        </w:rPr>
        <w:drawing>
          <wp:inline distT="0" distB="0" distL="0" distR="0">
            <wp:extent cx="4962525" cy="587692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2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55" w:lineRule="exact"/>
        <w:sectPr>
          <w:footerReference w:type="default" r:id="rId58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512"/>
        <w:spacing w:before="99" w:line="236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1" w:id="82"/>
      <w:bookmarkEnd w:id="82"/>
      <w:r>
        <w:rPr>
          <w:rFonts w:ascii="Microsoft YaHei" w:hAnsi="Microsoft YaHei" w:eastAsia="Microsoft YaHei" w:cs="Microsoft YaHei"/>
          <w:sz w:val="23"/>
          <w:szCs w:val="23"/>
          <w:spacing w:val="9"/>
          <w:position w:val="-1"/>
        </w:rPr>
        <w:t>十一、国有资产占有使用情况</w:t>
      </w:r>
    </w:p>
    <w:p>
      <w:pPr>
        <w:ind w:left="2006"/>
        <w:spacing w:before="232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1、车辆情况：</w:t>
      </w:r>
    </w:p>
    <w:p>
      <w:pPr>
        <w:ind w:left="1515" w:right="1388" w:firstLine="480"/>
        <w:spacing w:before="164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日，长治高新技术产业开发区科技创新部共有公务用车编</w:t>
      </w:r>
      <w:r>
        <w:rPr>
          <w:rFonts w:ascii="FangSong" w:hAnsi="FangSong" w:eastAsia="FangSong" w:cs="FangSong"/>
          <w:sz w:val="24"/>
          <w:szCs w:val="24"/>
          <w:spacing w:val="1"/>
        </w:rPr>
        <w:t>制0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辆，实有0辆，其中：领导用车0辆，机要通信用车0辆，应急保</w:t>
      </w:r>
      <w:r>
        <w:rPr>
          <w:rFonts w:ascii="FangSong" w:hAnsi="FangSong" w:eastAsia="FangSong" w:cs="FangSong"/>
          <w:sz w:val="24"/>
          <w:szCs w:val="24"/>
        </w:rPr>
        <w:t>障用车0辆，执法执勤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用车0辆，特种专业技术用车0辆，事业单位业务用车0辆，其他公务用车0辆。</w:t>
      </w:r>
    </w:p>
    <w:p>
      <w:pPr>
        <w:ind w:left="1991"/>
        <w:spacing w:before="27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2、房屋情况：</w:t>
      </w:r>
    </w:p>
    <w:p>
      <w:pPr>
        <w:ind w:left="1526" w:right="1388" w:firstLine="469"/>
        <w:spacing w:before="175" w:line="34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日，长治高新技术产业开发区科技创新部使用的办公用房建筑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6"/>
        </w:rPr>
        <w:t>总面积115平方米。</w:t>
      </w:r>
    </w:p>
    <w:p>
      <w:pPr>
        <w:ind w:left="1993"/>
        <w:spacing w:before="22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3、其他国有资产占有使用情况：</w:t>
      </w:r>
    </w:p>
    <w:p>
      <w:pPr>
        <w:ind w:left="1515" w:right="1388" w:firstLine="480"/>
        <w:spacing w:before="176" w:line="34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截至2025年12月31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日，长治高新技术产业开发区科技创新部占有使用价值50万元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（原值）</w:t>
      </w:r>
      <w:r>
        <w:rPr>
          <w:rFonts w:ascii="FangSong" w:hAnsi="FangSong" w:eastAsia="FangSong" w:cs="FangSong"/>
          <w:sz w:val="24"/>
          <w:szCs w:val="24"/>
          <w:spacing w:val="-7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以上的通用设备0台（套</w:t>
      </w:r>
      <w:r>
        <w:rPr>
          <w:rFonts w:ascii="FangSong" w:hAnsi="FangSong" w:eastAsia="FangSong" w:cs="FangSong"/>
          <w:sz w:val="24"/>
          <w:szCs w:val="24"/>
          <w:spacing w:val="14"/>
        </w:rPr>
        <w:t>）；</w:t>
      </w:r>
      <w:r>
        <w:rPr>
          <w:rFonts w:ascii="FangSong" w:hAnsi="FangSong" w:eastAsia="FangSong" w:cs="FangSong"/>
          <w:sz w:val="24"/>
          <w:szCs w:val="24"/>
          <w:spacing w:val="2"/>
        </w:rPr>
        <w:t>长治高新技术产业开发区科技创新部占有使用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价值100万元（原值）以上的通用设备0台（套）。</w:t>
      </w:r>
    </w:p>
    <w:p>
      <w:pPr>
        <w:ind w:left="1512"/>
        <w:spacing w:before="46" w:line="236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2" w:id="83"/>
      <w:bookmarkEnd w:id="83"/>
      <w:r>
        <w:rPr>
          <w:rFonts w:ascii="Microsoft YaHei" w:hAnsi="Microsoft YaHei" w:eastAsia="Microsoft YaHei" w:cs="Microsoft YaHei"/>
          <w:sz w:val="23"/>
          <w:szCs w:val="23"/>
          <w:spacing w:val="6"/>
          <w:position w:val="-1"/>
        </w:rPr>
        <w:t>十二、其他说明</w:t>
      </w:r>
    </w:p>
    <w:p>
      <w:pPr>
        <w:ind w:left="1995"/>
        <w:spacing w:before="231" w:line="220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3" w:id="84"/>
      <w:bookmarkEnd w:id="84"/>
      <w:r>
        <w:rPr>
          <w:rFonts w:ascii="FangSong" w:hAnsi="FangSong" w:eastAsia="FangSong" w:cs="FangSong"/>
          <w:sz w:val="24"/>
          <w:szCs w:val="24"/>
          <w:spacing w:val="-3"/>
        </w:rPr>
        <w:t>（一）政府购买服务指导性目录</w:t>
      </w:r>
    </w:p>
    <w:p>
      <w:pPr>
        <w:ind w:left="1998"/>
        <w:spacing w:before="209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ind w:left="1995"/>
        <w:spacing w:before="217" w:line="222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4" w:id="85"/>
      <w:bookmarkEnd w:id="85"/>
      <w:r>
        <w:rPr>
          <w:rFonts w:ascii="FangSong" w:hAnsi="FangSong" w:eastAsia="FangSong" w:cs="FangSong"/>
          <w:sz w:val="24"/>
          <w:szCs w:val="24"/>
          <w:spacing w:val="-6"/>
        </w:rPr>
        <w:t>（二）其他</w:t>
      </w:r>
    </w:p>
    <w:p>
      <w:pPr>
        <w:ind w:left="2118"/>
        <w:spacing w:before="222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spacing w:line="225" w:lineRule="auto"/>
        <w:sectPr>
          <w:headerReference w:type="default" r:id="rId19"/>
          <w:footerReference w:type="default" r:id="rId60"/>
          <w:pgSz w:w="11900" w:h="16840"/>
          <w:pgMar w:top="610" w:right="86" w:bottom="312" w:left="0" w:header="357" w:footer="15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93" w:lineRule="auto"/>
        <w:rPr/>
      </w:pPr>
      <w:r>
        <w:pict>
          <v:shape id="_x0000_s344" style="position:absolute;margin-left:86.92pt;margin-top:44.1055pt;mso-position-vertical-relative:page;mso-position-horizontal-relative:page;width:119.4pt;height:18.85pt;z-index:2517227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493.28pt;margin-top:49.1801pt;mso-position-vertical-relative:page;mso-position-horizontal-relative:page;width:99.4pt;height:18.75pt;z-index:2517258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pStyle w:val="BodyText"/>
        <w:spacing w:line="294" w:lineRule="auto"/>
        <w:rPr/>
      </w:pPr>
      <w:r/>
    </w:p>
    <w:p>
      <w:pPr>
        <w:ind w:firstLine="1425"/>
        <w:spacing w:line="12045" w:lineRule="exact"/>
        <w:rPr/>
      </w:pPr>
      <w:r>
        <w:pict>
          <v:shape id="_x0000_s348" style="position:absolute;margin-left:-13.08pt;margin-top:228.075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86.92pt;margin-top:472.075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493.28pt;margin-top:477.149pt;mso-position-vertical-relative:text;mso-position-horizontal-relative:text;width:99.4pt;height:18.7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54" style="position:absolute;margin-left:391.92pt;margin-top:228.075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40"/>
        </w:rPr>
        <w:drawing>
          <wp:inline distT="0" distB="0" distL="0" distR="0">
            <wp:extent cx="5762625" cy="764857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262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45" w:lineRule="exact"/>
        <w:sectPr>
          <w:headerReference w:type="default" r:id="rId61"/>
          <w:footerReference w:type="default" r:id="rId62"/>
          <w:pgSz w:w="11900" w:h="16840"/>
          <w:pgMar w:top="610" w:right="86" w:bottom="312" w:left="0" w:header="357" w:footer="153" w:gutter="0"/>
        </w:sectPr>
        <w:rPr/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49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5" w:id="86"/>
      <w:bookmarkEnd w:id="86"/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第四部分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名词解释</w:t>
      </w:r>
    </w:p>
    <w:p>
      <w:pPr>
        <w:pStyle w:val="BodyText"/>
        <w:spacing w:line="317" w:lineRule="auto"/>
        <w:rPr/>
      </w:pPr>
      <w:r/>
    </w:p>
    <w:p>
      <w:pPr>
        <w:ind w:left="1520" w:right="1388" w:firstLine="472"/>
        <w:spacing w:before="78" w:line="28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一、基本支出：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指为保障机构正常运转、完成日常工作任务而发生的</w:t>
      </w:r>
      <w:r>
        <w:rPr>
          <w:rFonts w:ascii="FangSong" w:hAnsi="FangSong" w:eastAsia="FangSong" w:cs="FangSong"/>
          <w:sz w:val="24"/>
          <w:szCs w:val="24"/>
        </w:rPr>
        <w:t>人员支出和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9"/>
        </w:rPr>
        <w:t>公用支出。</w:t>
      </w:r>
    </w:p>
    <w:p>
      <w:pPr>
        <w:ind w:left="1515" w:right="1388" w:firstLine="477"/>
        <w:spacing w:before="173" w:line="29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二、项目支出：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指在基本支出之外为完成特定行政任务和事业发展目</w:t>
      </w:r>
      <w:r>
        <w:rPr>
          <w:rFonts w:ascii="FangSong" w:hAnsi="FangSong" w:eastAsia="FangSong" w:cs="FangSong"/>
          <w:sz w:val="24"/>
          <w:szCs w:val="24"/>
        </w:rPr>
        <w:t>标所发生的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</w:rPr>
        <w:t>支出。</w:t>
      </w:r>
    </w:p>
    <w:p>
      <w:pPr>
        <w:ind w:left="1516" w:right="1388" w:firstLine="477"/>
        <w:spacing w:before="158" w:line="33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三、“三公”经费：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指省直部门用财政拨款安排的因公出国（境）</w:t>
      </w:r>
      <w:r>
        <w:rPr>
          <w:rFonts w:ascii="FangSong" w:hAnsi="FangSong" w:eastAsia="FangSong" w:cs="FangSong"/>
          <w:sz w:val="24"/>
          <w:szCs w:val="24"/>
        </w:rPr>
        <w:t>费用、公务用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车购置及运行费和公务接待费。其中：因公出国（境）费用反映单位公务出国（境）</w:t>
      </w:r>
      <w:r>
        <w:rPr>
          <w:rFonts w:ascii="FangSong" w:hAnsi="FangSong" w:eastAsia="FangSong" w:cs="FangSong"/>
          <w:sz w:val="24"/>
          <w:szCs w:val="24"/>
          <w:spacing w:val="1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的国际旅费、国外城市间交通费、住宿费、伙食费、培训费、</w:t>
      </w:r>
      <w:r>
        <w:rPr>
          <w:rFonts w:ascii="FangSong" w:hAnsi="FangSong" w:eastAsia="FangSong" w:cs="FangSong"/>
          <w:sz w:val="24"/>
          <w:szCs w:val="24"/>
        </w:rPr>
        <w:t>公杂费等支出；公务用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车购置费反映公务用车购置支出（含车辆购置税、牌照费</w:t>
      </w:r>
      <w:r>
        <w:rPr>
          <w:rFonts w:ascii="FangSong" w:hAnsi="FangSong" w:eastAsia="FangSong" w:cs="FangSong"/>
          <w:sz w:val="24"/>
          <w:szCs w:val="24"/>
          <w:spacing w:val="13"/>
        </w:rPr>
        <w:t>）；</w:t>
      </w:r>
      <w:r>
        <w:rPr>
          <w:rFonts w:ascii="FangSong" w:hAnsi="FangSong" w:eastAsia="FangSong" w:cs="FangSong"/>
          <w:sz w:val="24"/>
          <w:szCs w:val="24"/>
        </w:rPr>
        <w:t>公务用车运行维护费反</w:t>
      </w:r>
      <w:r>
        <w:rPr>
          <w:rFonts w:ascii="FangSong" w:hAnsi="FangSong" w:eastAsia="FangSong" w:cs="FangSong"/>
          <w:sz w:val="24"/>
          <w:szCs w:val="24"/>
          <w:spacing w:val="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映单位按规定保留的公务用车燃料费、维修费、过路过桥费、</w:t>
      </w:r>
      <w:r>
        <w:rPr>
          <w:rFonts w:ascii="FangSong" w:hAnsi="FangSong" w:eastAsia="FangSong" w:cs="FangSong"/>
          <w:sz w:val="24"/>
          <w:szCs w:val="24"/>
        </w:rPr>
        <w:t>保险费、安全奖励费用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等支出；公务接待费反映机关和参公事业单位按规定开支的各</w:t>
      </w:r>
      <w:r>
        <w:rPr>
          <w:rFonts w:ascii="FangSong" w:hAnsi="FangSong" w:eastAsia="FangSong" w:cs="FangSong"/>
          <w:sz w:val="24"/>
          <w:szCs w:val="24"/>
        </w:rPr>
        <w:t>类公务接待（含外宾接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待）支出。</w:t>
      </w:r>
    </w:p>
    <w:p>
      <w:pPr>
        <w:ind w:left="1513" w:right="1388" w:firstLine="490"/>
        <w:spacing w:before="177" w:line="29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四、机关运行经费：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指行政单位和参照公务员</w:t>
      </w:r>
      <w:r>
        <w:rPr>
          <w:rFonts w:ascii="FangSong" w:hAnsi="FangSong" w:eastAsia="FangSong" w:cs="FangSong"/>
          <w:sz w:val="24"/>
          <w:szCs w:val="24"/>
        </w:rPr>
        <w:t>法管理的事业单位使用财政拨款安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排的基本支出中的公用经费支出。</w:t>
      </w:r>
    </w:p>
    <w:p>
      <w:pPr>
        <w:ind w:left="1515" w:right="1388" w:firstLine="480"/>
        <w:spacing w:before="159" w:line="3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五、政府购买服务：</w:t>
      </w:r>
      <w:r>
        <w:rPr>
          <w:rFonts w:ascii="FangSong" w:hAnsi="FangSong" w:eastAsia="FangSong" w:cs="FangSong"/>
          <w:sz w:val="24"/>
          <w:szCs w:val="24"/>
          <w:spacing w:val="1"/>
        </w:rPr>
        <w:t>根据我国现行政策规定，政府购买服务，是</w:t>
      </w:r>
      <w:r>
        <w:rPr>
          <w:rFonts w:ascii="FangSong" w:hAnsi="FangSong" w:eastAsia="FangSong" w:cs="FangSong"/>
          <w:sz w:val="24"/>
          <w:szCs w:val="24"/>
        </w:rPr>
        <w:t>指充分发挥市场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机制作用，将国家机关属于自身职责范围且适合通过市场化方式</w:t>
      </w:r>
      <w:r>
        <w:rPr>
          <w:rFonts w:ascii="FangSong" w:hAnsi="FangSong" w:eastAsia="FangSong" w:cs="FangSong"/>
          <w:sz w:val="24"/>
          <w:szCs w:val="24"/>
        </w:rPr>
        <w:t>提供的服务事项，按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照政府采购方式和程序，交由符合条件的服务供应商承担，并根</w:t>
      </w:r>
      <w:r>
        <w:rPr>
          <w:rFonts w:ascii="FangSong" w:hAnsi="FangSong" w:eastAsia="FangSong" w:cs="FangSong"/>
          <w:sz w:val="24"/>
          <w:szCs w:val="24"/>
        </w:rPr>
        <w:t>据服务数量和质量等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情况向其支付费用的行为。</w:t>
      </w:r>
    </w:p>
    <w:p>
      <w:pPr>
        <w:ind w:left="1996"/>
        <w:spacing w:before="177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6"/>
        </w:rPr>
        <w:t>六、财政专户管理资金：</w:t>
      </w:r>
    </w:p>
    <w:p>
      <w:pPr>
        <w:ind w:left="1515" w:right="1388" w:firstLine="482"/>
        <w:spacing w:before="208" w:line="34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专指教育收费，包括目前在财政专户管理的高中以上学费</w:t>
      </w:r>
      <w:r>
        <w:rPr>
          <w:rFonts w:ascii="FangSong" w:hAnsi="FangSong" w:eastAsia="FangSong" w:cs="FangSong"/>
          <w:sz w:val="24"/>
          <w:szCs w:val="24"/>
        </w:rPr>
        <w:t>、住宿费，高校委托培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养费，党校收费，教育考试考务费，函大、电大、夜大及短训班培训费等。</w:t>
      </w:r>
    </w:p>
    <w:p>
      <w:pPr>
        <w:ind w:left="1529" w:right="1388" w:firstLine="459"/>
        <w:spacing w:before="84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七、单位资金：</w:t>
      </w:r>
      <w:r>
        <w:rPr>
          <w:rFonts w:ascii="FangSong" w:hAnsi="FangSong" w:eastAsia="FangSong" w:cs="FangSong"/>
          <w:sz w:val="24"/>
          <w:szCs w:val="24"/>
          <w:spacing w:val="1"/>
        </w:rPr>
        <w:t>是指除政府预算资金和财政专户管理资金以外的资金，包括事业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收入、事业单位经营收入、上级补助收入、附属单位上缴收入、其他收入。</w:t>
      </w:r>
    </w:p>
    <w:p>
      <w:pPr>
        <w:ind w:left="1515" w:right="1388" w:firstLine="473"/>
        <w:spacing w:before="178" w:line="29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八、上年结转：</w:t>
      </w:r>
      <w:r>
        <w:rPr>
          <w:rFonts w:ascii="FangSong" w:hAnsi="FangSong" w:eastAsia="FangSong" w:cs="FangSong"/>
          <w:sz w:val="24"/>
          <w:szCs w:val="24"/>
          <w:spacing w:val="1"/>
        </w:rPr>
        <w:t>指以前年度预算安排、结转到本年仍按原规定用途继续使用的资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2"/>
        </w:rPr>
        <w:t>金。</w:t>
      </w:r>
    </w:p>
    <w:p>
      <w:pPr>
        <w:ind w:left="1517" w:right="1427" w:firstLine="477"/>
        <w:spacing w:before="154" w:line="28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九、一般公共预算：</w:t>
      </w:r>
      <w:r>
        <w:rPr>
          <w:rFonts w:ascii="FangSong" w:hAnsi="FangSong" w:eastAsia="FangSong" w:cs="FangSong"/>
          <w:sz w:val="24"/>
          <w:szCs w:val="24"/>
        </w:rPr>
        <w:t>是指以税收为主体的财政收入，安排</w:t>
      </w:r>
      <w:r>
        <w:rPr>
          <w:rFonts w:ascii="FangSong" w:hAnsi="FangSong" w:eastAsia="FangSong" w:cs="FangSong"/>
          <w:sz w:val="24"/>
          <w:szCs w:val="24"/>
          <w:spacing w:val="-1"/>
        </w:rPr>
        <w:t>用于保障和改善民生、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推动经济社会发展、维护国家安全、维持国家</w:t>
      </w:r>
      <w:r>
        <w:rPr>
          <w:rFonts w:ascii="FangSong" w:hAnsi="FangSong" w:eastAsia="FangSong" w:cs="FangSong"/>
          <w:sz w:val="24"/>
          <w:szCs w:val="24"/>
          <w:spacing w:val="-2"/>
        </w:rPr>
        <w:t>机构正常运转等方面的收支预算。</w:t>
      </w:r>
    </w:p>
    <w:p>
      <w:pPr>
        <w:ind w:left="1516" w:right="1388" w:firstLine="475"/>
        <w:spacing w:before="180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十、政府性基金预算：</w:t>
      </w:r>
      <w:r>
        <w:rPr>
          <w:rFonts w:ascii="FangSong" w:hAnsi="FangSong" w:eastAsia="FangSong" w:cs="FangSong"/>
          <w:sz w:val="24"/>
          <w:szCs w:val="24"/>
          <w:spacing w:val="1"/>
        </w:rPr>
        <w:t>是对依照法律、行政法规的规定在一定期限内向</w:t>
      </w:r>
      <w:r>
        <w:rPr>
          <w:rFonts w:ascii="FangSong" w:hAnsi="FangSong" w:eastAsia="FangSong" w:cs="FangSong"/>
          <w:sz w:val="24"/>
          <w:szCs w:val="24"/>
        </w:rPr>
        <w:t>特定对象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征收、收取或者以其他方式筹集的资金，专项用于特</w:t>
      </w:r>
      <w:r>
        <w:rPr>
          <w:rFonts w:ascii="FangSong" w:hAnsi="FangSong" w:eastAsia="FangSong" w:cs="FangSong"/>
          <w:sz w:val="24"/>
          <w:szCs w:val="24"/>
          <w:spacing w:val="-2"/>
        </w:rPr>
        <w:t>定公共事业发展的收支预算。</w:t>
      </w:r>
    </w:p>
    <w:p>
      <w:pPr>
        <w:ind w:left="1992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十一、国有资本经营预算：</w:t>
      </w:r>
      <w:r>
        <w:rPr>
          <w:rFonts w:ascii="FangSong" w:hAnsi="FangSong" w:eastAsia="FangSong" w:cs="FangSong"/>
          <w:sz w:val="24"/>
          <w:szCs w:val="24"/>
          <w:spacing w:val="-1"/>
        </w:rPr>
        <w:t>是对国有资本收益作</w:t>
      </w:r>
      <w:r>
        <w:rPr>
          <w:rFonts w:ascii="FangSong" w:hAnsi="FangSong" w:eastAsia="FangSong" w:cs="FangSong"/>
          <w:sz w:val="24"/>
          <w:szCs w:val="24"/>
          <w:spacing w:val="-2"/>
        </w:rPr>
        <w:t>出支出安排的收支预算。</w:t>
      </w:r>
    </w:p>
    <w:p>
      <w:pPr>
        <w:ind w:left="1992"/>
        <w:spacing w:before="17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十二、财政拨款：</w:t>
      </w:r>
      <w:r>
        <w:rPr>
          <w:rFonts w:ascii="FangSong" w:hAnsi="FangSong" w:eastAsia="FangSong" w:cs="FangSong"/>
          <w:sz w:val="24"/>
          <w:szCs w:val="24"/>
          <w:spacing w:val="-1"/>
        </w:rPr>
        <w:t>包含一般公共预算、政府性基金预算</w:t>
      </w:r>
      <w:r>
        <w:rPr>
          <w:rFonts w:ascii="FangSong" w:hAnsi="FangSong" w:eastAsia="FangSong" w:cs="FangSong"/>
          <w:sz w:val="24"/>
          <w:szCs w:val="24"/>
          <w:spacing w:val="-2"/>
        </w:rPr>
        <w:t>、国有资本经营预算。</w:t>
      </w:r>
    </w:p>
    <w:sectPr>
      <w:headerReference w:type="default" r:id="rId64"/>
      <w:footerReference w:type="default" r:id="rId65"/>
      <w:pgSz w:w="11900" w:h="16840"/>
      <w:pgMar w:top="610" w:right="86" w:bottom="312" w:left="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bookmarkStart w:name="bookmark50" w:id="80"/>
    <w:bookmarkEnd w:id="80"/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bookmarkStart w:name="bookmark51" w:id="81"/>
    <w:bookmarkEnd w:id="81"/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48" style="position:absolute;margin-left:86.92pt;margin-top:26.2223pt;mso-position-vertical-relative:text;mso-position-horizontal-relative:text;width:119.4pt;height:18.85pt;z-index:25173811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-13.08pt;margin-top:288.10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493.28pt;margin-top:49.1801pt;mso-position-vertical-relative:page;mso-position-horizontal-relative:page;width:99.4pt;height:18.75pt;z-index:2517370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4" style="position:absolute;margin-left:391.92pt;margin-top:288.10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86.92pt;margin-top:532.106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3.28pt;margin-top:537.18pt;mso-position-vertical-relative:page;mso-position-horizontal-relative:page;width:99.4pt;height:18.7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2" style="position:absolute;margin-left:391.92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66" style="position:absolute;margin-left:86.92pt;margin-top:26.2223pt;mso-position-vertical-relative:text;mso-position-horizontal-relative:text;width:119.4pt;height:18.85pt;z-index:2517493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-13.08pt;margin-top:288.10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493.28pt;margin-top:49.1801pt;mso-position-vertical-relative:page;mso-position-horizontal-relative:page;width:99.4pt;height:18.75pt;z-index:2517504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72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4" style="position:absolute;margin-left:86.92pt;margin-top:532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3.28pt;margin-top:537.18pt;mso-position-vertical-relative:page;mso-position-horizontal-relative:page;width:99.4pt;height:18.7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80" style="position:absolute;margin-left:391.92pt;margin-top:776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86" style="position:absolute;margin-left:86.92pt;margin-top:26.2223pt;mso-position-vertical-relative:text;mso-position-horizontal-relative:text;width:119.4pt;height:18.85pt;z-index:2517626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-13.08pt;margin-top:288.10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0" style="position:absolute;margin-left:493.28pt;margin-top:49.1801pt;mso-position-vertical-relative:page;mso-position-horizontal-relative:page;width:99.4pt;height:18.75pt;z-index:251761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2" style="position:absolute;margin-left:391.92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86.92pt;margin-top:532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-13.08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3.28pt;margin-top:537.18pt;mso-position-vertical-relative:page;mso-position-horizontal-relative:page;width:99.4pt;height:18.7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6" style="position:absolute;margin-left:86.92pt;margin-top:26.2223pt;mso-position-vertical-relative:text;mso-position-horizontal-relative:text;width:119.4pt;height:18.85pt;z-index:2517749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8" style="position:absolute;margin-left:-13.08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493.28pt;margin-top:49.1801pt;mso-position-vertical-relative:page;mso-position-horizontal-relative:page;width:99.4pt;height:18.75pt;z-index:25177395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12" style="position:absolute;margin-left:391.92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86.92pt;margin-top:532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-13.08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493.28pt;margin-top:537.18pt;mso-position-vertical-relative:page;mso-position-horizontal-relative:page;width:99.4pt;height:18.7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20" style="position:absolute;margin-left:391.92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32" style="position:absolute;margin-left:86.92pt;margin-top:26.2223pt;mso-position-vertical-relative:text;mso-position-horizontal-relative:text;width:119.4pt;height:18.85pt;z-index:251791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-13.08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493.28pt;margin-top:49.1801pt;mso-position-vertical-relative:page;mso-position-horizontal-relative:page;width:99.4pt;height:18.75pt;z-index:2517923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38" style="position:absolute;margin-left:391.92pt;margin-top:288.105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-13.08pt;margin-top:776.106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2" style="position:absolute;margin-left:493.28pt;margin-top:537.18pt;mso-position-vertical-relative:page;mso-position-horizontal-relative:page;width:99.4pt;height:18.7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44" style="position:absolute;margin-left:391.92pt;margin-top:776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8" style="position:absolute;margin-left:86.92pt;margin-top:26.2223pt;mso-position-vertical-relative:text;mso-position-horizontal-relative:text;width:119.4pt;height:18.85pt;z-index:2518016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-13.08pt;margin-top:288.105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493.28pt;margin-top:49.1801pt;mso-position-vertical-relative:page;mso-position-horizontal-relative:page;width:99.4pt;height:18.75pt;z-index:2518005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54" style="position:absolute;margin-left:391.92pt;margin-top:288.105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86.92pt;margin-top:532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-13.08pt;margin-top:776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0" style="position:absolute;margin-left:493.28pt;margin-top:537.18pt;mso-position-vertical-relative:page;mso-position-horizontal-relative:page;width:99.4pt;height:18.75pt;z-index:-2515189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62" style="position:absolute;margin-left:391.92pt;margin-top:776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4" style="position:absolute;margin-left:-13.08pt;margin-top:288.105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493.28pt;margin-top:49.1801pt;mso-position-vertical-relative:page;mso-position-horizontal-relative:page;width:99.4pt;height:18.75pt;z-index:25181081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68" style="position:absolute;margin-left:-13.08pt;margin-top:776.106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493.28pt;margin-top:537.18pt;mso-position-vertical-relative:page;mso-position-horizontal-relative:page;width:99.4pt;height:18.75pt;z-index:-25150976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72" style="position:absolute;margin-left:391.92pt;margin-top:776.106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0" style="position:absolute;margin-left:-13.08pt;margin-top:776.106pt;mso-position-vertical-relative:page;mso-position-horizontal-relative:page;width:119.4pt;height:18.85pt;z-index:-251467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2" style="position:absolute;margin-left:391.92pt;margin-top:776.106pt;mso-position-vertical-relative:page;mso-position-horizontal-relative:page;width:119.4pt;height:18.85pt;z-index:-251468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56" style="position:absolute;margin-left:86.92pt;margin-top:26.2223pt;mso-position-vertical-relative:text;mso-position-horizontal-relative:text;width:119.4pt;height:18.85pt;z-index:2518589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8" style="position:absolute;margin-left:-13.08pt;margin-top:288.105pt;mso-position-vertical-relative:page;mso-position-horizontal-relative:page;width:119.4pt;height:18.85pt;z-index:-251463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0" style="position:absolute;margin-left:493.28pt;margin-top:49.1801pt;mso-position-vertical-relative:page;mso-position-horizontal-relative:page;width:99.4pt;height:18.75pt;z-index:2518599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62" style="position:absolute;margin-left:391.92pt;margin-top:288.105pt;mso-position-vertical-relative:page;mso-position-horizontal-relative:page;width:119.4pt;height:18.85pt;z-index:-251462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4" style="position:absolute;margin-left:86.92pt;margin-top:532.106pt;mso-position-vertical-relative:page;mso-position-horizontal-relative:page;width:119.4pt;height:18.85pt;z-index:-251461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6" style="position:absolute;margin-left:-13.08pt;margin-top:776.106pt;mso-position-vertical-relative:page;mso-position-horizontal-relative:page;width:119.4pt;height:18.85pt;z-index:-251459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8" style="position:absolute;margin-left:493.28pt;margin-top:537.18pt;mso-position-vertical-relative:page;mso-position-horizontal-relative:page;width:99.4pt;height:18.75pt;z-index:-2514606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70" style="position:absolute;margin-left:391.92pt;margin-top:776.106pt;mso-position-vertical-relative:page;mso-position-horizontal-relative:page;width:119.4pt;height:18.85pt;z-index:-251458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391.92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3.28pt;margin-top:537.18pt;mso-position-vertical-relative:page;mso-position-horizontal-relative:page;width:99.4pt;height:18.7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4" style="position:absolute;margin-left:-13.08pt;margin-top:776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532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86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493.28pt;margin-top:49.1801pt;mso-position-vertical-relative:page;mso-position-horizontal-relative:page;width:99.4pt;height:18.7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3.28pt;margin-top:49.1801pt;mso-position-vertical-relative:page;mso-position-horizontal-relative:page;width:99.4pt;height:18.7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3.28pt;margin-top:537.18pt;mso-position-vertical-relative:page;mso-position-horizontal-relative:page;width:99.4pt;height:18.7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6.2223pt;mso-position-vertical-relative:text;mso-position-horizontal-relative:text;width:119.4pt;height:18.85pt;z-index:2516889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3.28pt;margin-top:49.1801pt;mso-position-vertical-relative:page;mso-position-horizontal-relative:page;width:99.4pt;height:18.75pt;z-index:2516899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3.28pt;margin-top:537.18pt;mso-position-vertical-relative:page;mso-position-horizontal-relative:page;width:99.4pt;height:18.7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6" style="position:absolute;margin-left:86.92pt;margin-top:26.2223pt;mso-position-vertical-relative:text;mso-position-horizontal-relative:text;width:119.4pt;height:18.85pt;z-index:2516971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8" style="position:absolute;margin-left:-13.08pt;margin-top:288.105pt;mso-position-vertical-relative:page;mso-position-horizontal-relative:page;width:119.4pt;height:18.8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2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4" style="position:absolute;margin-left:86.92pt;margin-top:26.2223pt;mso-position-vertical-relative:text;mso-position-horizontal-relative:text;width:119.4pt;height:18.85pt;z-index:2517063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6" style="position:absolute;margin-left:-13.08pt;margin-top:288.105pt;mso-position-vertical-relative:page;mso-position-horizontal-relative:page;width:119.4pt;height:18.8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493.28pt;margin-top:49.1801pt;mso-position-vertical-relative:page;mso-position-horizontal-relative:page;width:99.4pt;height:18.75pt;z-index:2517053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0" style="position:absolute;margin-left:391.92pt;margin-top:288.10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493.28pt;margin-top:537.18pt;mso-position-vertical-relative:page;mso-position-horizontal-relative:page;width:99.4pt;height:18.7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8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0" style="position:absolute;margin-left:-13.08pt;margin-top:27.2223pt;mso-position-vertical-relative:text;mso-position-horizontal-relative:text;width:119.4pt;height:18.85pt;z-index:2517135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2" style="position:absolute;margin-left:312.92pt;margin-top:45.1055pt;mso-position-vertical-relative:page;mso-position-horizontal-relative:page;width:119.4pt;height:18.85pt;z-index:251712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4" style="position:absolute;margin-left:86.92pt;margin-top:287.106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638.92pt;margin-top:45.1055pt;mso-position-vertical-relative:page;mso-position-horizontal-relative:page;width:119.4pt;height:18.85pt;z-index:251711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0" style="position:absolute;margin-left:282.314pt;margin-top:411.399pt;mso-position-vertical-relative:page;mso-position-horizontal-relative:page;width:58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16" style="position:absolute;margin-left:-13.08pt;margin-top:27.2223pt;mso-position-vertical-relative:text;mso-position-horizontal-relative:text;width:119.4pt;height:18.85pt;z-index:2517207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312.92pt;margin-top:45.1055pt;mso-position-vertical-relative:page;mso-position-horizontal-relative:page;width:119.4pt;height:18.85pt;z-index:251718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0" style="position:absolute;margin-left:86.92pt;margin-top:287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638.92pt;margin-top:45.1055pt;mso-position-vertical-relative:page;mso-position-horizontal-relative:page;width:119.4pt;height:18.85pt;z-index:251719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-45.0434pt;margin-top:406.395pt;mso-position-vertical-relative:page;mso-position-horizontal-relative:page;width:609.35pt;height:22.2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26" style="position:absolute;margin-left:282.314pt;margin-top:411.399pt;mso-position-vertical-relative:page;mso-position-horizontal-relative:page;width:589.35pt;height:22.25pt;z-index:-251598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"/>
        </v:shape>
      </w:pict>
    </w:r>
    <w:r>
      <w:pict>
        <v:shape id="PowerPlusWaterMarkObject128" style="position:absolute;margin-left:638.92pt;margin-top:529.106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1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0" style="position:absolute;margin-left:86.92pt;margin-top:26.2223pt;mso-position-vertical-relative:text;mso-position-horizontal-relative:text;width:119.4pt;height:18.85pt;z-index:2517288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-13.08pt;margin-top:288.10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493.28pt;margin-top:49.1801pt;mso-position-vertical-relative:page;mso-position-horizontal-relative:page;width:99.4pt;height:18.75pt;z-index:2517278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6" style="position:absolute;margin-left:391.92pt;margin-top:288.105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8" style="position:absolute;margin-left:86.92pt;margin-top:532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776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3.28pt;margin-top:537.18pt;mso-position-vertical-relative:page;mso-position-horizontal-relative:page;width:99.4pt;height:18.7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4" style="position:absolute;margin-left:391.92pt;margin-top:776.106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1"/>
        <w:position w:val="1"/>
      </w:rPr>
      <w:t>长治高新技术产业开发区科技创新部2026年单位预算公</w:t>
    </w:r>
    <w:r>
      <w:rPr>
        <w:rFonts w:ascii="SimSun" w:hAnsi="SimSun" w:eastAsia="SimSun" w:cs="SimSun"/>
        <w:sz w:val="16"/>
        <w:szCs w:val="16"/>
        <w:spacing w:val="-2"/>
        <w:position w:val="1"/>
      </w:rPr>
      <w:t>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styles" Target="styles.xml"/><Relationship Id="rId66" Type="http://schemas.openxmlformats.org/officeDocument/2006/relationships/settings" Target="settings.xml"/><Relationship Id="rId65" Type="http://schemas.openxmlformats.org/officeDocument/2006/relationships/footer" Target="footer33.xml"/><Relationship Id="rId64" Type="http://schemas.openxmlformats.org/officeDocument/2006/relationships/header" Target="header18.xml"/><Relationship Id="rId63" Type="http://schemas.openxmlformats.org/officeDocument/2006/relationships/image" Target="media/image14.jpeg"/><Relationship Id="rId62" Type="http://schemas.openxmlformats.org/officeDocument/2006/relationships/footer" Target="footer32.xml"/><Relationship Id="rId61" Type="http://schemas.openxmlformats.org/officeDocument/2006/relationships/header" Target="header17.xml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png"/><Relationship Id="rId58" Type="http://schemas.openxmlformats.org/officeDocument/2006/relationships/footer" Target="footer30.xml"/><Relationship Id="rId57" Type="http://schemas.openxmlformats.org/officeDocument/2006/relationships/image" Target="media/image12.png"/><Relationship Id="rId56" Type="http://schemas.openxmlformats.org/officeDocument/2006/relationships/footer" Target="footer29.xml"/><Relationship Id="rId55" Type="http://schemas.openxmlformats.org/officeDocument/2006/relationships/image" Target="media/image11.png"/><Relationship Id="rId54" Type="http://schemas.openxmlformats.org/officeDocument/2006/relationships/footer" Target="footer28.xml"/><Relationship Id="rId53" Type="http://schemas.openxmlformats.org/officeDocument/2006/relationships/image" Target="media/image10.png"/><Relationship Id="rId52" Type="http://schemas.openxmlformats.org/officeDocument/2006/relationships/footer" Target="footer27.xml"/><Relationship Id="rId51" Type="http://schemas.openxmlformats.org/officeDocument/2006/relationships/image" Target="media/image9.pn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8.png"/><Relationship Id="rId48" Type="http://schemas.openxmlformats.org/officeDocument/2006/relationships/footer" Target="footer25.xml"/><Relationship Id="rId47" Type="http://schemas.openxmlformats.org/officeDocument/2006/relationships/image" Target="media/image7.png"/><Relationship Id="rId46" Type="http://schemas.openxmlformats.org/officeDocument/2006/relationships/footer" Target="footer24.xml"/><Relationship Id="rId45" Type="http://schemas.openxmlformats.org/officeDocument/2006/relationships/image" Target="media/image6.png"/><Relationship Id="rId44" Type="http://schemas.openxmlformats.org/officeDocument/2006/relationships/footer" Target="footer23.xml"/><Relationship Id="rId43" Type="http://schemas.openxmlformats.org/officeDocument/2006/relationships/image" Target="media/image5.png"/><Relationship Id="rId42" Type="http://schemas.openxmlformats.org/officeDocument/2006/relationships/footer" Target="footer22.xml"/><Relationship Id="rId41" Type="http://schemas.openxmlformats.org/officeDocument/2006/relationships/image" Target="media/image4.pn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image" Target="media/image3.png"/><Relationship Id="rId38" Type="http://schemas.openxmlformats.org/officeDocument/2006/relationships/footer" Target="footer20.xml"/><Relationship Id="rId37" Type="http://schemas.openxmlformats.org/officeDocument/2006/relationships/header" Target="header16.xml"/><Relationship Id="rId36" Type="http://schemas.openxmlformats.org/officeDocument/2006/relationships/footer" Target="footer19.xml"/><Relationship Id="rId35" Type="http://schemas.openxmlformats.org/officeDocument/2006/relationships/image" Target="media/image2.png"/><Relationship Id="rId34" Type="http://schemas.openxmlformats.org/officeDocument/2006/relationships/footer" Target="footer18.xml"/><Relationship Id="rId33" Type="http://schemas.openxmlformats.org/officeDocument/2006/relationships/header" Target="header15.xml"/><Relationship Id="rId32" Type="http://schemas.openxmlformats.org/officeDocument/2006/relationships/image" Target="media/image1.png"/><Relationship Id="rId31" Type="http://schemas.openxmlformats.org/officeDocument/2006/relationships/footer" Target="footer17.xml"/><Relationship Id="rId30" Type="http://schemas.openxmlformats.org/officeDocument/2006/relationships/header" Target="header14.xml"/><Relationship Id="rId3" Type="http://schemas.openxmlformats.org/officeDocument/2006/relationships/header" Target="header3.xml"/><Relationship Id="rId29" Type="http://schemas.openxmlformats.org/officeDocument/2006/relationships/footer" Target="footer16.xml"/><Relationship Id="rId28" Type="http://schemas.openxmlformats.org/officeDocument/2006/relationships/footer" Target="footer15.xml"/><Relationship Id="rId27" Type="http://schemas.openxmlformats.org/officeDocument/2006/relationships/footer" Target="footer14.xml"/><Relationship Id="rId26" Type="http://schemas.openxmlformats.org/officeDocument/2006/relationships/footer" Target="footer13.xml"/><Relationship Id="rId25" Type="http://schemas.openxmlformats.org/officeDocument/2006/relationships/header" Target="header13.xml"/><Relationship Id="rId24" Type="http://schemas.openxmlformats.org/officeDocument/2006/relationships/footer" Target="footer12.xml"/><Relationship Id="rId23" Type="http://schemas.openxmlformats.org/officeDocument/2006/relationships/footer" Target="footer11.xml"/><Relationship Id="rId22" Type="http://schemas.openxmlformats.org/officeDocument/2006/relationships/header" Target="header12.xml"/><Relationship Id="rId21" Type="http://schemas.openxmlformats.org/officeDocument/2006/relationships/footer" Target="footer10.xml"/><Relationship Id="rId20" Type="http://schemas.openxmlformats.org/officeDocument/2006/relationships/footer" Target="footer9.xml"/><Relationship Id="rId2" Type="http://schemas.openxmlformats.org/officeDocument/2006/relationships/header" Target="header2.xml"/><Relationship Id="rId19" Type="http://schemas.openxmlformats.org/officeDocument/2006/relationships/header" Target="header11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2026-02-25T17:44:57Z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2026-02-26T08:35:00</vt:filetime>
  </property>
</Properties>
</file>