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59"/>
        <w:spacing w:before="140" w:line="219" w:lineRule="auto"/>
        <w:rPr>
          <w:rFonts w:ascii="SimSun" w:hAnsi="SimSun" w:eastAsia="SimSun" w:cs="SimSun"/>
          <w:sz w:val="43"/>
          <w:szCs w:val="43"/>
        </w:rPr>
      </w:pPr>
      <w:r>
        <w:rPr>
          <w:rFonts w:ascii="SimSun" w:hAnsi="SimSun" w:eastAsia="SimSun" w:cs="SimSun"/>
          <w:sz w:val="43"/>
          <w:szCs w:val="43"/>
          <w:spacing w:val="103"/>
        </w:rPr>
        <w:t>长治市市场监督管理局高新技术产业</w:t>
      </w:r>
    </w:p>
    <w:p>
      <w:pPr>
        <w:ind w:left="4629"/>
        <w:spacing w:before="56" w:line="214" w:lineRule="auto"/>
        <w:rPr>
          <w:rFonts w:ascii="SimSun" w:hAnsi="SimSun" w:eastAsia="SimSun" w:cs="SimSun"/>
          <w:sz w:val="43"/>
          <w:szCs w:val="43"/>
        </w:rPr>
      </w:pPr>
      <w:r>
        <w:rPr>
          <w:rFonts w:ascii="SimSun" w:hAnsi="SimSun" w:eastAsia="SimSun" w:cs="SimSun"/>
          <w:sz w:val="43"/>
          <w:szCs w:val="43"/>
          <w:spacing w:val="89"/>
        </w:rPr>
        <w:t>开发区分局</w:t>
      </w:r>
    </w:p>
    <w:p>
      <w:pPr>
        <w:pStyle w:val="BodyText"/>
        <w:spacing w:line="380"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8"/>
          <w:position w:val="2"/>
        </w:rPr>
        <w:t>2</w:t>
      </w:r>
      <w:r>
        <w:rPr>
          <w:rFonts w:ascii="SimSun" w:hAnsi="SimSun" w:eastAsia="SimSun" w:cs="SimSun"/>
          <w:sz w:val="43"/>
          <w:szCs w:val="43"/>
          <w:spacing w:val="-90"/>
          <w:position w:val="2"/>
        </w:rPr>
        <w:t xml:space="preserve"> </w:t>
      </w:r>
      <w:r>
        <w:rPr>
          <w:rFonts w:ascii="SimSun" w:hAnsi="SimSun" w:eastAsia="SimSun" w:cs="SimSun"/>
          <w:sz w:val="43"/>
          <w:szCs w:val="43"/>
          <w:spacing w:val="8"/>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8"/>
          <w:position w:val="2"/>
        </w:rPr>
        <w:t>2</w:t>
      </w:r>
      <w:r>
        <w:rPr>
          <w:rFonts w:ascii="SimSun" w:hAnsi="SimSun" w:eastAsia="SimSun" w:cs="SimSun"/>
          <w:sz w:val="43"/>
          <w:szCs w:val="43"/>
          <w:spacing w:val="-87"/>
          <w:position w:val="2"/>
        </w:rPr>
        <w:t xml:space="preserve"> </w:t>
      </w:r>
      <w:r>
        <w:rPr>
          <w:rFonts w:ascii="SimSun" w:hAnsi="SimSun" w:eastAsia="SimSun" w:cs="SimSun"/>
          <w:sz w:val="43"/>
          <w:szCs w:val="43"/>
          <w:spacing w:val="8"/>
          <w:position w:val="2"/>
        </w:rPr>
        <w:t>6</w:t>
      </w:r>
      <w:r>
        <w:rPr>
          <w:rFonts w:ascii="SimSun" w:hAnsi="SimSun" w:eastAsia="SimSun" w:cs="SimSun"/>
          <w:sz w:val="43"/>
          <w:szCs w:val="43"/>
          <w:spacing w:val="-98"/>
          <w:position w:val="2"/>
        </w:rPr>
        <w:t xml:space="preserve"> </w:t>
      </w:r>
      <w:r>
        <w:rPr>
          <w:rFonts w:ascii="SimSun" w:hAnsi="SimSun" w:eastAsia="SimSun" w:cs="SimSun"/>
          <w:sz w:val="43"/>
          <w:szCs w:val="43"/>
          <w:spacing w:val="8"/>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8"/>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8"/>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8"/>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8"/>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8"/>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8"/>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8"/>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表一2026年预算收支总表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表二2026年预算收入总表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表三2026年预算支出总表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表四2026年财政拨款收支总表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表五2026年一般公共预算支出预算表（不含上年结转）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表六2026年一般公共预算安排基本支出分经济科目表（不含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表七2026年政府性基金预算收入表（不含上年结转）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表八2026年政府性基金预算支出表（不含上年结转）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983"/>
        <w:spacing w:before="120" w:line="222" w:lineRule="auto"/>
        <w:rPr>
          <w:rFonts w:ascii="FangSong" w:hAnsi="FangSong" w:eastAsia="FangSong" w:cs="FangSong"/>
          <w:sz w:val="32"/>
          <w:szCs w:val="32"/>
        </w:rPr>
      </w:pPr>
      <w:r>
        <w:rPr>
          <w:rFonts w:ascii="FangSong" w:hAnsi="FangSong" w:eastAsia="FangSong" w:cs="FangSong"/>
          <w:sz w:val="32"/>
          <w:szCs w:val="32"/>
          <w:spacing w:val="-1"/>
        </w:rPr>
        <w:t>表九2026年国有资本经营预算收支预算表（不含上年结</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44"/>
            <w:spacing w:before="115" w:line="219"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3"/>
              </w:rPr>
              <w:t>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21"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表十2026年财政拨款安排“三公”经费支出预算表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1"/>
              </w:rPr>
              <w:t>表十一2026年财政拨款安排机关运行经费预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表十二2026年项目支出预算表（本年预算）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2"/>
              </w:rPr>
              <w:t>表十三2026年项目支出预算表（上年结转）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17</w:t>
            </w:r>
          </w:hyperlink>
        </w:p>
        <w:p>
          <w:pPr>
            <w:ind w:left="1354"/>
            <w:spacing w:before="121"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18</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51</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51</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51</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51</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5">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52</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6"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61" w:lineRule="auto"/>
        <w:rPr/>
      </w:pPr>
      <w:r/>
    </w:p>
    <w:p>
      <w:pPr>
        <w:ind w:left="1513"/>
        <w:spacing w:before="99" w:line="237" w:lineRule="exact"/>
        <w:outlineLvl w:val="1"/>
        <w:rPr>
          <w:rFonts w:ascii="Microsoft YaHei" w:hAnsi="Microsoft YaHei" w:eastAsia="Microsoft YaHei" w:cs="Microsoft YaHei"/>
          <w:sz w:val="23"/>
          <w:szCs w:val="23"/>
        </w:rPr>
      </w:pPr>
      <w:bookmarkStart w:name="bookmark3" w:id="4"/>
      <w:bookmarkEnd w:id="4"/>
      <w:r>
        <w:rPr>
          <w:rFonts w:ascii="Microsoft YaHei" w:hAnsi="Microsoft YaHei" w:eastAsia="Microsoft YaHei" w:cs="Microsoft YaHei"/>
          <w:sz w:val="23"/>
          <w:szCs w:val="23"/>
          <w:spacing w:val="7"/>
          <w:position w:val="-1"/>
        </w:rPr>
        <w:t>一、本单位职责</w:t>
      </w:r>
    </w:p>
    <w:p>
      <w:pPr>
        <w:ind w:left="1515" w:right="1474" w:firstLine="765"/>
        <w:spacing w:before="263" w:line="354" w:lineRule="auto"/>
        <w:rPr>
          <w:rFonts w:ascii="FangSong" w:hAnsi="FangSong" w:eastAsia="FangSong" w:cs="FangSong"/>
          <w:sz w:val="24"/>
          <w:szCs w:val="24"/>
        </w:rPr>
      </w:pPr>
      <w:r>
        <w:rPr>
          <w:rFonts w:ascii="FangSong" w:hAnsi="FangSong" w:eastAsia="FangSong" w:cs="FangSong"/>
          <w:sz w:val="24"/>
          <w:szCs w:val="24"/>
          <w:spacing w:val="5"/>
        </w:rPr>
        <w:t>（一）负责市场综合监督管理。（</w:t>
      </w:r>
      <w:r>
        <w:rPr>
          <w:rFonts w:ascii="FangSong" w:hAnsi="FangSong" w:eastAsia="FangSong" w:cs="FangSong"/>
          <w:sz w:val="24"/>
          <w:szCs w:val="24"/>
          <w:spacing w:val="-54"/>
        </w:rPr>
        <w:t xml:space="preserve"> </w:t>
      </w:r>
      <w:r>
        <w:rPr>
          <w:rFonts w:ascii="FangSong" w:hAnsi="FangSong" w:eastAsia="FangSong" w:cs="FangSong"/>
          <w:sz w:val="24"/>
          <w:szCs w:val="24"/>
          <w:spacing w:val="5"/>
        </w:rPr>
        <w:t>二）建立市场主体信息</w:t>
      </w:r>
      <w:r>
        <w:rPr>
          <w:rFonts w:ascii="FangSong" w:hAnsi="FangSong" w:eastAsia="FangSong" w:cs="FangSong"/>
          <w:sz w:val="24"/>
          <w:szCs w:val="24"/>
          <w:spacing w:val="4"/>
        </w:rPr>
        <w:t>公示和共享机制。</w:t>
      </w:r>
      <w:r>
        <w:rPr>
          <w:rFonts w:ascii="FangSong" w:hAnsi="FangSong" w:eastAsia="FangSong" w:cs="FangSong"/>
          <w:sz w:val="24"/>
          <w:szCs w:val="24"/>
        </w:rPr>
        <w:t xml:space="preserve"> </w:t>
      </w:r>
      <w:r>
        <w:rPr>
          <w:rFonts w:ascii="FangSong" w:hAnsi="FangSong" w:eastAsia="FangSong" w:cs="FangSong"/>
          <w:sz w:val="24"/>
          <w:szCs w:val="24"/>
          <w:spacing w:val="8"/>
        </w:rPr>
        <w:t>（三</w:t>
      </w:r>
      <w:r>
        <w:rPr>
          <w:rFonts w:ascii="FangSong" w:hAnsi="FangSong" w:eastAsia="FangSong" w:cs="FangSong"/>
          <w:sz w:val="24"/>
          <w:szCs w:val="24"/>
          <w:spacing w:val="-62"/>
        </w:rPr>
        <w:t xml:space="preserve"> </w:t>
      </w:r>
      <w:r>
        <w:rPr>
          <w:rFonts w:ascii="FangSong" w:hAnsi="FangSong" w:eastAsia="FangSong" w:cs="FangSong"/>
          <w:sz w:val="24"/>
          <w:szCs w:val="24"/>
          <w:spacing w:val="8"/>
        </w:rPr>
        <w:t>）</w:t>
      </w:r>
      <w:r>
        <w:rPr>
          <w:rFonts w:ascii="FangSong" w:hAnsi="FangSong" w:eastAsia="FangSong" w:cs="FangSong"/>
          <w:sz w:val="24"/>
          <w:szCs w:val="24"/>
          <w:spacing w:val="67"/>
        </w:rPr>
        <w:t xml:space="preserve"> </w:t>
      </w:r>
      <w:r>
        <w:rPr>
          <w:rFonts w:ascii="FangSong" w:hAnsi="FangSong" w:eastAsia="FangSong" w:cs="FangSong"/>
          <w:sz w:val="24"/>
          <w:szCs w:val="24"/>
          <w:spacing w:val="8"/>
        </w:rPr>
        <w:t>负责组织和指导市场监</w:t>
      </w:r>
      <w:r>
        <w:rPr>
          <w:rFonts w:ascii="FangSong" w:hAnsi="FangSong" w:eastAsia="FangSong" w:cs="FangSong"/>
          <w:sz w:val="24"/>
          <w:szCs w:val="24"/>
          <w:spacing w:val="-68"/>
        </w:rPr>
        <w:t xml:space="preserve"> </w:t>
      </w:r>
      <w:r>
        <w:rPr>
          <w:rFonts w:ascii="FangSong" w:hAnsi="FangSong" w:eastAsia="FangSong" w:cs="FangSong"/>
          <w:sz w:val="24"/>
          <w:szCs w:val="24"/>
          <w:spacing w:val="8"/>
        </w:rPr>
        <w:t>管综合执法工作</w:t>
      </w:r>
      <w:r>
        <w:rPr>
          <w:rFonts w:ascii="FangSong" w:hAnsi="FangSong" w:eastAsia="FangSong" w:cs="FangSong"/>
          <w:sz w:val="24"/>
          <w:szCs w:val="24"/>
          <w:spacing w:val="-64"/>
        </w:rPr>
        <w:t xml:space="preserve"> </w:t>
      </w:r>
      <w:r>
        <w:rPr>
          <w:rFonts w:ascii="FangSong" w:hAnsi="FangSong" w:eastAsia="FangSong" w:cs="FangSong"/>
          <w:sz w:val="24"/>
          <w:szCs w:val="24"/>
          <w:spacing w:val="8"/>
        </w:rPr>
        <w:t>。</w:t>
      </w:r>
      <w:r>
        <w:rPr>
          <w:rFonts w:ascii="FangSong" w:hAnsi="FangSong" w:eastAsia="FangSong" w:cs="FangSong"/>
          <w:sz w:val="24"/>
          <w:szCs w:val="24"/>
          <w:spacing w:val="45"/>
        </w:rPr>
        <w:t xml:space="preserve"> </w:t>
      </w:r>
      <w:r>
        <w:rPr>
          <w:rFonts w:ascii="FangSong" w:hAnsi="FangSong" w:eastAsia="FangSong" w:cs="FangSong"/>
          <w:sz w:val="24"/>
          <w:szCs w:val="24"/>
          <w:spacing w:val="8"/>
        </w:rPr>
        <w:t>（</w:t>
      </w:r>
      <w:r>
        <w:rPr>
          <w:rFonts w:ascii="FangSong" w:hAnsi="FangSong" w:eastAsia="FangSong" w:cs="FangSong"/>
          <w:sz w:val="24"/>
          <w:szCs w:val="24"/>
          <w:spacing w:val="-18"/>
        </w:rPr>
        <w:t xml:space="preserve"> </w:t>
      </w:r>
      <w:r>
        <w:rPr>
          <w:rFonts w:ascii="FangSong" w:hAnsi="FangSong" w:eastAsia="FangSong" w:cs="FangSong"/>
          <w:sz w:val="24"/>
          <w:szCs w:val="24"/>
          <w:spacing w:val="8"/>
        </w:rPr>
        <w:t>四</w:t>
      </w:r>
      <w:r>
        <w:rPr>
          <w:rFonts w:ascii="FangSong" w:hAnsi="FangSong" w:eastAsia="FangSong" w:cs="FangSong"/>
          <w:sz w:val="24"/>
          <w:szCs w:val="24"/>
          <w:spacing w:val="-63"/>
        </w:rPr>
        <w:t xml:space="preserve"> </w:t>
      </w:r>
      <w:r>
        <w:rPr>
          <w:rFonts w:ascii="FangSong" w:hAnsi="FangSong" w:eastAsia="FangSong" w:cs="FangSong"/>
          <w:sz w:val="24"/>
          <w:szCs w:val="24"/>
          <w:spacing w:val="8"/>
        </w:rPr>
        <w:t>）负责监督</w:t>
      </w:r>
      <w:r>
        <w:rPr>
          <w:rFonts w:ascii="FangSong" w:hAnsi="FangSong" w:eastAsia="FangSong" w:cs="FangSong"/>
          <w:sz w:val="24"/>
          <w:szCs w:val="24"/>
          <w:spacing w:val="-69"/>
        </w:rPr>
        <w:t xml:space="preserve"> </w:t>
      </w:r>
      <w:r>
        <w:rPr>
          <w:rFonts w:ascii="FangSong" w:hAnsi="FangSong" w:eastAsia="FangSong" w:cs="FangSong"/>
          <w:sz w:val="24"/>
          <w:szCs w:val="24"/>
          <w:spacing w:val="8"/>
        </w:rPr>
        <w:t>管</w:t>
      </w:r>
      <w:r>
        <w:rPr>
          <w:rFonts w:ascii="FangSong" w:hAnsi="FangSong" w:eastAsia="FangSong" w:cs="FangSong"/>
          <w:sz w:val="24"/>
          <w:szCs w:val="24"/>
          <w:spacing w:val="7"/>
        </w:rPr>
        <w:t>理市场秩</w:t>
      </w:r>
      <w:r>
        <w:rPr>
          <w:rFonts w:ascii="FangSong" w:hAnsi="FangSong" w:eastAsia="FangSong" w:cs="FangSong"/>
          <w:sz w:val="24"/>
          <w:szCs w:val="24"/>
          <w:spacing w:val="1"/>
        </w:rPr>
        <w:t>序。</w:t>
      </w:r>
      <w:r>
        <w:rPr>
          <w:rFonts w:ascii="FangSong" w:hAnsi="FangSong" w:eastAsia="FangSong" w:cs="FangSong"/>
          <w:sz w:val="24"/>
          <w:szCs w:val="24"/>
          <w:spacing w:val="1"/>
        </w:rPr>
        <w:t xml:space="preserve"> </w:t>
      </w:r>
      <w:r>
        <w:rPr>
          <w:rFonts w:ascii="FangSong" w:hAnsi="FangSong" w:eastAsia="FangSong" w:cs="FangSong"/>
          <w:sz w:val="24"/>
          <w:szCs w:val="24"/>
          <w:spacing w:val="1"/>
        </w:rPr>
        <w:t>（五）</w:t>
      </w:r>
      <w:r>
        <w:rPr>
          <w:rFonts w:ascii="FangSong" w:hAnsi="FangSong" w:eastAsia="FangSong" w:cs="FangSong"/>
          <w:sz w:val="24"/>
          <w:szCs w:val="24"/>
          <w:spacing w:val="1"/>
        </w:rPr>
        <w:t xml:space="preserve"> </w:t>
      </w:r>
      <w:r>
        <w:rPr>
          <w:rFonts w:ascii="FangSong" w:hAnsi="FangSong" w:eastAsia="FangSong" w:cs="FangSong"/>
          <w:sz w:val="24"/>
          <w:szCs w:val="24"/>
          <w:spacing w:val="1"/>
        </w:rPr>
        <w:t>负责宏观质量管理。</w:t>
      </w:r>
      <w:r>
        <w:rPr>
          <w:rFonts w:ascii="FangSong" w:hAnsi="FangSong" w:eastAsia="FangSong" w:cs="FangSong"/>
          <w:sz w:val="24"/>
          <w:szCs w:val="24"/>
          <w:spacing w:val="1"/>
        </w:rPr>
        <w:t xml:space="preserve"> </w:t>
      </w:r>
      <w:r>
        <w:rPr>
          <w:rFonts w:ascii="FangSong" w:hAnsi="FangSong" w:eastAsia="FangSong" w:cs="FangSong"/>
          <w:sz w:val="24"/>
          <w:szCs w:val="24"/>
          <w:spacing w:val="1"/>
        </w:rPr>
        <w:t>（六）负责产品质量安全</w:t>
      </w:r>
      <w:r>
        <w:rPr>
          <w:rFonts w:ascii="FangSong" w:hAnsi="FangSong" w:eastAsia="FangSong" w:cs="FangSong"/>
          <w:sz w:val="24"/>
          <w:szCs w:val="24"/>
        </w:rPr>
        <w:t>监督管理。</w:t>
      </w:r>
      <w:r>
        <w:rPr>
          <w:rFonts w:ascii="FangSong" w:hAnsi="FangSong" w:eastAsia="FangSong" w:cs="FangSong"/>
          <w:sz w:val="24"/>
          <w:szCs w:val="24"/>
        </w:rPr>
        <w:t xml:space="preserve"> </w:t>
      </w:r>
      <w:r>
        <w:rPr>
          <w:rFonts w:ascii="FangSong" w:hAnsi="FangSong" w:eastAsia="FangSong" w:cs="FangSong"/>
          <w:sz w:val="24"/>
          <w:szCs w:val="24"/>
        </w:rPr>
        <w:t>（七）负责</w:t>
      </w:r>
      <w:r>
        <w:rPr>
          <w:rFonts w:ascii="FangSong" w:hAnsi="FangSong" w:eastAsia="FangSong" w:cs="FangSong"/>
          <w:sz w:val="24"/>
          <w:szCs w:val="24"/>
          <w:spacing w:val="1"/>
        </w:rPr>
        <w:t>特种设备安全监督管理。</w:t>
      </w:r>
      <w:r>
        <w:rPr>
          <w:rFonts w:ascii="FangSong" w:hAnsi="FangSong" w:eastAsia="FangSong" w:cs="FangSong"/>
          <w:sz w:val="24"/>
          <w:szCs w:val="24"/>
          <w:spacing w:val="1"/>
        </w:rPr>
        <w:t xml:space="preserve"> </w:t>
      </w:r>
      <w:r>
        <w:rPr>
          <w:rFonts w:ascii="FangSong" w:hAnsi="FangSong" w:eastAsia="FangSong" w:cs="FangSong"/>
          <w:sz w:val="24"/>
          <w:szCs w:val="24"/>
          <w:spacing w:val="1"/>
        </w:rPr>
        <w:t>（八）负责食品安全监督管理综合协</w:t>
      </w:r>
      <w:r>
        <w:rPr>
          <w:rFonts w:ascii="FangSong" w:hAnsi="FangSong" w:eastAsia="FangSong" w:cs="FangSong"/>
          <w:sz w:val="24"/>
          <w:szCs w:val="24"/>
        </w:rPr>
        <w:t>调。</w:t>
      </w:r>
      <w:r>
        <w:rPr>
          <w:rFonts w:ascii="FangSong" w:hAnsi="FangSong" w:eastAsia="FangSong" w:cs="FangSong"/>
          <w:sz w:val="24"/>
          <w:szCs w:val="24"/>
        </w:rPr>
        <w:t xml:space="preserve"> </w:t>
      </w:r>
      <w:r>
        <w:rPr>
          <w:rFonts w:ascii="FangSong" w:hAnsi="FangSong" w:eastAsia="FangSong" w:cs="FangSong"/>
          <w:sz w:val="24"/>
          <w:szCs w:val="24"/>
        </w:rPr>
        <w:t>（九）负责食品</w:t>
      </w:r>
      <w:r>
        <w:rPr>
          <w:rFonts w:ascii="FangSong" w:hAnsi="FangSong" w:eastAsia="FangSong" w:cs="FangSong"/>
          <w:sz w:val="24"/>
          <w:szCs w:val="24"/>
          <w:spacing w:val="7"/>
        </w:rPr>
        <w:t>安全监督管理。</w:t>
      </w:r>
      <w:r>
        <w:rPr>
          <w:rFonts w:ascii="FangSong" w:hAnsi="FangSong" w:eastAsia="FangSong" w:cs="FangSong"/>
          <w:sz w:val="24"/>
          <w:szCs w:val="24"/>
          <w:spacing w:val="7"/>
        </w:rPr>
        <w:t xml:space="preserve"> </w:t>
      </w:r>
      <w:r>
        <w:rPr>
          <w:rFonts w:ascii="FangSong" w:hAnsi="FangSong" w:eastAsia="FangSong" w:cs="FangSong"/>
          <w:sz w:val="24"/>
          <w:szCs w:val="24"/>
          <w:spacing w:val="7"/>
        </w:rPr>
        <w:t>（十）负责统一管理计量工作。</w:t>
      </w:r>
      <w:r>
        <w:rPr>
          <w:rFonts w:ascii="FangSong" w:hAnsi="FangSong" w:eastAsia="FangSong" w:cs="FangSong"/>
          <w:sz w:val="24"/>
          <w:szCs w:val="24"/>
          <w:spacing w:val="7"/>
        </w:rPr>
        <w:t xml:space="preserve"> </w:t>
      </w:r>
      <w:r>
        <w:rPr>
          <w:rFonts w:ascii="FangSong" w:hAnsi="FangSong" w:eastAsia="FangSong" w:cs="FangSong"/>
          <w:sz w:val="24"/>
          <w:szCs w:val="24"/>
          <w:spacing w:val="7"/>
        </w:rPr>
        <w:t>（十一）负责统一管理标准化工</w:t>
      </w:r>
      <w:r>
        <w:rPr>
          <w:rFonts w:ascii="FangSong" w:hAnsi="FangSong" w:eastAsia="FangSong" w:cs="FangSong"/>
          <w:sz w:val="24"/>
          <w:szCs w:val="24"/>
        </w:rPr>
        <w:t>作。</w:t>
      </w:r>
      <w:r>
        <w:rPr>
          <w:rFonts w:ascii="FangSong" w:hAnsi="FangSong" w:eastAsia="FangSong" w:cs="FangSong"/>
          <w:sz w:val="24"/>
          <w:szCs w:val="24"/>
        </w:rPr>
        <w:t xml:space="preserve"> </w:t>
      </w:r>
      <w:r>
        <w:rPr>
          <w:rFonts w:ascii="FangSong" w:hAnsi="FangSong" w:eastAsia="FangSong" w:cs="FangSong"/>
          <w:sz w:val="24"/>
          <w:szCs w:val="24"/>
        </w:rPr>
        <w:t>（十二）负责统一管理、监督和综合协调认证认可工作</w:t>
      </w:r>
      <w:r>
        <w:rPr>
          <w:rFonts w:ascii="FangSong" w:hAnsi="FangSong" w:eastAsia="FangSong" w:cs="FangSong"/>
          <w:sz w:val="24"/>
          <w:szCs w:val="24"/>
          <w:spacing w:val="36"/>
        </w:rPr>
        <w:t xml:space="preserve"> </w:t>
      </w:r>
      <w:r>
        <w:rPr>
          <w:rFonts w:ascii="FangSong" w:hAnsi="FangSong" w:eastAsia="FangSong" w:cs="FangSong"/>
          <w:sz w:val="24"/>
          <w:szCs w:val="24"/>
        </w:rPr>
        <w:t>。（</w:t>
      </w:r>
      <w:r>
        <w:rPr>
          <w:rFonts w:ascii="FangSong" w:hAnsi="FangSong" w:eastAsia="FangSong" w:cs="FangSong"/>
          <w:sz w:val="24"/>
          <w:szCs w:val="24"/>
          <w:spacing w:val="-1"/>
        </w:rPr>
        <w:t>十三）负责实施知</w:t>
      </w:r>
      <w:r>
        <w:rPr>
          <w:rFonts w:ascii="FangSong" w:hAnsi="FangSong" w:eastAsia="FangSong" w:cs="FangSong"/>
          <w:sz w:val="24"/>
          <w:szCs w:val="24"/>
          <w:spacing w:val="4"/>
        </w:rPr>
        <w:t>识产权战略，推进知识产权强区建设。</w:t>
      </w:r>
      <w:r>
        <w:rPr>
          <w:rFonts w:ascii="FangSong" w:hAnsi="FangSong" w:eastAsia="FangSong" w:cs="FangSong"/>
          <w:sz w:val="24"/>
          <w:szCs w:val="24"/>
          <w:spacing w:val="4"/>
        </w:rPr>
        <w:t xml:space="preserve"> </w:t>
      </w:r>
      <w:r>
        <w:rPr>
          <w:rFonts w:ascii="FangSong" w:hAnsi="FangSong" w:eastAsia="FangSong" w:cs="FangSong"/>
          <w:sz w:val="24"/>
          <w:szCs w:val="24"/>
          <w:spacing w:val="4"/>
        </w:rPr>
        <w:t>（十四）负责组织开展有关商品和服务领域</w:t>
      </w:r>
      <w:r>
        <w:rPr>
          <w:rFonts w:ascii="FangSong" w:hAnsi="FangSong" w:eastAsia="FangSong" w:cs="FangSong"/>
          <w:sz w:val="24"/>
          <w:szCs w:val="24"/>
          <w:spacing w:val="1"/>
        </w:rPr>
        <w:t>消费维权工作，查处假冒伪劣等违法行为，指导消费者咨询、投</w:t>
      </w:r>
      <w:r>
        <w:rPr>
          <w:rFonts w:ascii="FangSong" w:hAnsi="FangSong" w:eastAsia="FangSong" w:cs="FangSong"/>
          <w:sz w:val="24"/>
          <w:szCs w:val="24"/>
        </w:rPr>
        <w:t>诉、举报受理、处理</w:t>
      </w:r>
      <w:r>
        <w:rPr>
          <w:rFonts w:ascii="FangSong" w:hAnsi="FangSong" w:eastAsia="FangSong" w:cs="FangSong"/>
          <w:sz w:val="24"/>
          <w:szCs w:val="24"/>
          <w:spacing w:val="7"/>
        </w:rPr>
        <w:t>等工作，保护经营者、消费者合法权益；指导区消费者委员会开展消费维权工作。</w:t>
      </w:r>
      <w:r>
        <w:rPr>
          <w:rFonts w:ascii="FangSong" w:hAnsi="FangSong" w:eastAsia="FangSong" w:cs="FangSong"/>
          <w:sz w:val="24"/>
          <w:szCs w:val="24"/>
          <w:spacing w:val="16"/>
        </w:rPr>
        <w:t xml:space="preserve"> </w:t>
      </w:r>
      <w:r>
        <w:rPr>
          <w:rFonts w:ascii="FangSong" w:hAnsi="FangSong" w:eastAsia="FangSong" w:cs="FangSong"/>
          <w:sz w:val="24"/>
          <w:szCs w:val="24"/>
          <w:spacing w:val="4"/>
        </w:rPr>
        <w:t>（十四）医疗器械和化妆品安全的监督管理工作。（十五）</w:t>
      </w:r>
      <w:r>
        <w:rPr>
          <w:rFonts w:ascii="FangSong" w:hAnsi="FangSong" w:eastAsia="FangSong" w:cs="FangSong"/>
          <w:sz w:val="24"/>
          <w:szCs w:val="24"/>
          <w:spacing w:val="4"/>
        </w:rPr>
        <w:t xml:space="preserve"> </w:t>
      </w:r>
      <w:r>
        <w:rPr>
          <w:rFonts w:ascii="FangSong" w:hAnsi="FangSong" w:eastAsia="FangSong" w:cs="FangSong"/>
          <w:sz w:val="24"/>
          <w:szCs w:val="24"/>
          <w:spacing w:val="4"/>
        </w:rPr>
        <w:t>指导、协调全区开展非</w:t>
      </w:r>
      <w:r>
        <w:rPr>
          <w:rFonts w:ascii="FangSong" w:hAnsi="FangSong" w:eastAsia="FangSong" w:cs="FangSong"/>
          <w:sz w:val="24"/>
          <w:szCs w:val="24"/>
          <w:spacing w:val="-2"/>
        </w:rPr>
        <w:t>公经济组织党建工作。（十六）完成区委交办的其他任务。</w:t>
      </w:r>
    </w:p>
    <w:p>
      <w:pPr>
        <w:ind w:left="1513"/>
        <w:spacing w:before="46" w:line="236" w:lineRule="exact"/>
        <w:outlineLvl w:val="1"/>
        <w:rPr>
          <w:rFonts w:ascii="Microsoft YaHei" w:hAnsi="Microsoft YaHei" w:eastAsia="Microsoft YaHei" w:cs="Microsoft YaHei"/>
          <w:sz w:val="23"/>
          <w:szCs w:val="23"/>
        </w:rPr>
      </w:pPr>
      <w:bookmarkStart w:name="bookmark4" w:id="5"/>
      <w:bookmarkEnd w:id="5"/>
      <w:r>
        <w:rPr>
          <w:rFonts w:ascii="Microsoft YaHei" w:hAnsi="Microsoft YaHei" w:eastAsia="Microsoft YaHei" w:cs="Microsoft YaHei"/>
          <w:sz w:val="23"/>
          <w:szCs w:val="23"/>
          <w:spacing w:val="8"/>
          <w:position w:val="-1"/>
        </w:rPr>
        <w:t>二、机构设置情况</w:t>
      </w:r>
    </w:p>
    <w:p>
      <w:pPr>
        <w:ind w:left="1515" w:right="1474" w:firstLine="726"/>
        <w:spacing w:before="221" w:line="354" w:lineRule="auto"/>
        <w:jc w:val="both"/>
        <w:rPr>
          <w:rFonts w:ascii="FangSong" w:hAnsi="FangSong" w:eastAsia="FangSong" w:cs="FangSong"/>
          <w:sz w:val="24"/>
          <w:szCs w:val="24"/>
        </w:rPr>
      </w:pPr>
      <w:r>
        <w:rPr>
          <w:rFonts w:ascii="FangSong" w:hAnsi="FangSong" w:eastAsia="FangSong" w:cs="FangSong"/>
          <w:sz w:val="24"/>
          <w:szCs w:val="24"/>
          <w:spacing w:val="1"/>
        </w:rPr>
        <w:t>长治市市场监督管理局高新技术产业开发区分局</w:t>
      </w:r>
      <w:r>
        <w:rPr>
          <w:rFonts w:ascii="FangSong" w:hAnsi="FangSong" w:eastAsia="FangSong" w:cs="FangSong"/>
          <w:sz w:val="24"/>
          <w:szCs w:val="24"/>
        </w:rPr>
        <w:t>内设机构包括:办公室(含编制</w:t>
      </w:r>
      <w:r>
        <w:rPr>
          <w:rFonts w:ascii="FangSong" w:hAnsi="FangSong" w:eastAsia="FangSong" w:cs="FangSong"/>
          <w:sz w:val="24"/>
          <w:szCs w:val="24"/>
          <w:spacing w:val="1"/>
        </w:rPr>
        <w:t>人事、法规、财务)、行政审批股(含登记注册、信用监督管理</w:t>
      </w:r>
      <w:r>
        <w:rPr>
          <w:rFonts w:ascii="FangSong" w:hAnsi="FangSong" w:eastAsia="FangSong" w:cs="FangSong"/>
          <w:sz w:val="24"/>
          <w:szCs w:val="24"/>
        </w:rPr>
        <w:t>)、市场监督管理股(含</w:t>
      </w:r>
      <w:r>
        <w:rPr>
          <w:rFonts w:ascii="FangSong" w:hAnsi="FangSong" w:eastAsia="FangSong" w:cs="FangSong"/>
          <w:sz w:val="24"/>
          <w:szCs w:val="24"/>
          <w:spacing w:val="1"/>
        </w:rPr>
        <w:t>反不正当竞争、直销监管、网络交易监管、广告监管、价格监管</w:t>
      </w:r>
      <w:r>
        <w:rPr>
          <w:rFonts w:ascii="FangSong" w:hAnsi="FangSong" w:eastAsia="FangSong" w:cs="FangSong"/>
          <w:sz w:val="24"/>
          <w:szCs w:val="24"/>
        </w:rPr>
        <w:t>、消费者权益保护知</w:t>
      </w:r>
      <w:r>
        <w:rPr>
          <w:rFonts w:ascii="FangSong" w:hAnsi="FangSong" w:eastAsia="FangSong" w:cs="FangSong"/>
          <w:sz w:val="24"/>
          <w:szCs w:val="24"/>
          <w:spacing w:val="10"/>
        </w:rPr>
        <w:t>识产权管理)</w:t>
      </w:r>
      <w:r>
        <w:rPr>
          <w:rFonts w:ascii="FangSong" w:hAnsi="FangSong" w:eastAsia="FangSong" w:cs="FangSong"/>
          <w:sz w:val="24"/>
          <w:szCs w:val="24"/>
          <w:spacing w:val="-70"/>
        </w:rPr>
        <w:t xml:space="preserve"> </w:t>
      </w:r>
      <w:r>
        <w:rPr>
          <w:rFonts w:ascii="FangSong" w:hAnsi="FangSong" w:eastAsia="FangSong" w:cs="FangSong"/>
          <w:sz w:val="24"/>
          <w:szCs w:val="24"/>
          <w:spacing w:val="10"/>
        </w:rPr>
        <w:t>、产品质量监督管理股(含质量发展</w:t>
      </w:r>
      <w:r>
        <w:rPr>
          <w:rFonts w:ascii="FangSong" w:hAnsi="FangSong" w:eastAsia="FangSong" w:cs="FangSong"/>
          <w:sz w:val="24"/>
          <w:szCs w:val="24"/>
          <w:spacing w:val="-71"/>
        </w:rPr>
        <w:t xml:space="preserve"> </w:t>
      </w:r>
      <w:r>
        <w:rPr>
          <w:rFonts w:ascii="FangSong" w:hAnsi="FangSong" w:eastAsia="FangSong" w:cs="FangSong"/>
          <w:sz w:val="24"/>
          <w:szCs w:val="24"/>
          <w:spacing w:val="10"/>
        </w:rPr>
        <w:t>、计量标准</w:t>
      </w:r>
      <w:r>
        <w:rPr>
          <w:rFonts w:ascii="FangSong" w:hAnsi="FangSong" w:eastAsia="FangSong" w:cs="FangSong"/>
          <w:sz w:val="24"/>
          <w:szCs w:val="24"/>
          <w:spacing w:val="-71"/>
        </w:rPr>
        <w:t xml:space="preserve"> </w:t>
      </w:r>
      <w:r>
        <w:rPr>
          <w:rFonts w:ascii="FangSong" w:hAnsi="FangSong" w:eastAsia="FangSong" w:cs="FangSong"/>
          <w:sz w:val="24"/>
          <w:szCs w:val="24"/>
          <w:spacing w:val="10"/>
        </w:rPr>
        <w:t>、认证认可与检验检</w:t>
      </w:r>
      <w:r>
        <w:rPr>
          <w:rFonts w:ascii="FangSong" w:hAnsi="FangSong" w:eastAsia="FangSong" w:cs="FangSong"/>
          <w:sz w:val="24"/>
          <w:szCs w:val="24"/>
          <w:spacing w:val="7"/>
        </w:rPr>
        <w:t>测)</w:t>
      </w:r>
      <w:r>
        <w:rPr>
          <w:rFonts w:ascii="FangSong" w:hAnsi="FangSong" w:eastAsia="FangSong" w:cs="FangSong"/>
          <w:sz w:val="24"/>
          <w:szCs w:val="24"/>
          <w:spacing w:val="-62"/>
        </w:rPr>
        <w:t xml:space="preserve"> </w:t>
      </w:r>
      <w:r>
        <w:rPr>
          <w:rFonts w:ascii="FangSong" w:hAnsi="FangSong" w:eastAsia="FangSong" w:cs="FangSong"/>
          <w:sz w:val="24"/>
          <w:szCs w:val="24"/>
          <w:spacing w:val="7"/>
        </w:rPr>
        <w:t>、特种设备安全监察股</w:t>
      </w:r>
      <w:r>
        <w:rPr>
          <w:rFonts w:ascii="FangSong" w:hAnsi="FangSong" w:eastAsia="FangSong" w:cs="FangSong"/>
          <w:sz w:val="24"/>
          <w:szCs w:val="24"/>
          <w:spacing w:val="-71"/>
        </w:rPr>
        <w:t xml:space="preserve"> </w:t>
      </w:r>
      <w:r>
        <w:rPr>
          <w:rFonts w:ascii="FangSong" w:hAnsi="FangSong" w:eastAsia="FangSong" w:cs="FangSong"/>
          <w:sz w:val="24"/>
          <w:szCs w:val="24"/>
          <w:spacing w:val="7"/>
        </w:rPr>
        <w:t>、食品药品监督管理股(含餐饮</w:t>
      </w:r>
      <w:r>
        <w:rPr>
          <w:rFonts w:ascii="FangSong" w:hAnsi="FangSong" w:eastAsia="FangSong" w:cs="FangSong"/>
          <w:sz w:val="24"/>
          <w:szCs w:val="24"/>
          <w:spacing w:val="-72"/>
        </w:rPr>
        <w:t xml:space="preserve"> </w:t>
      </w:r>
      <w:r>
        <w:rPr>
          <w:rFonts w:ascii="FangSong" w:hAnsi="FangSong" w:eastAsia="FangSong" w:cs="FangSong"/>
          <w:sz w:val="24"/>
          <w:szCs w:val="24"/>
          <w:spacing w:val="7"/>
        </w:rPr>
        <w:t>、</w:t>
      </w:r>
      <w:r>
        <w:rPr>
          <w:rFonts w:ascii="FangSong" w:hAnsi="FangSong" w:eastAsia="FangSong" w:cs="FangSong"/>
          <w:sz w:val="24"/>
          <w:szCs w:val="24"/>
          <w:spacing w:val="-68"/>
        </w:rPr>
        <w:t xml:space="preserve"> </w:t>
      </w:r>
      <w:r>
        <w:rPr>
          <w:rFonts w:ascii="FangSong" w:hAnsi="FangSong" w:eastAsia="FangSong" w:cs="FangSong"/>
          <w:sz w:val="24"/>
          <w:szCs w:val="24"/>
          <w:spacing w:val="7"/>
        </w:rPr>
        <w:t>医疗器械</w:t>
      </w:r>
      <w:r>
        <w:rPr>
          <w:rFonts w:ascii="FangSong" w:hAnsi="FangSong" w:eastAsia="FangSong" w:cs="FangSong"/>
          <w:sz w:val="24"/>
          <w:szCs w:val="24"/>
          <w:spacing w:val="-71"/>
        </w:rPr>
        <w:t xml:space="preserve"> </w:t>
      </w:r>
      <w:r>
        <w:rPr>
          <w:rFonts w:ascii="FangSong" w:hAnsi="FangSong" w:eastAsia="FangSong" w:cs="FangSong"/>
          <w:sz w:val="24"/>
          <w:szCs w:val="24"/>
          <w:spacing w:val="7"/>
        </w:rPr>
        <w:t>、化妆品监</w:t>
      </w:r>
      <w:r>
        <w:rPr>
          <w:rFonts w:ascii="FangSong" w:hAnsi="FangSong" w:eastAsia="FangSong" w:cs="FangSong"/>
          <w:sz w:val="24"/>
          <w:szCs w:val="24"/>
          <w:spacing w:val="1"/>
        </w:rPr>
        <w:t>管)、非公经济组织党建工作股，均为股级。分局下设4个派出</w:t>
      </w:r>
      <w:r>
        <w:rPr>
          <w:rFonts w:ascii="FangSong" w:hAnsi="FangSong" w:eastAsia="FangSong" w:cs="FangSong"/>
          <w:sz w:val="24"/>
          <w:szCs w:val="24"/>
        </w:rPr>
        <w:t>机构：科技工业园市场</w:t>
      </w:r>
      <w:r>
        <w:rPr>
          <w:rFonts w:ascii="FangSong" w:hAnsi="FangSong" w:eastAsia="FangSong" w:cs="FangSong"/>
          <w:sz w:val="24"/>
          <w:szCs w:val="24"/>
          <w:spacing w:val="1"/>
        </w:rPr>
        <w:t>监督管理所、漳泽工业园市场监督管理所、翟店工业园市场监督</w:t>
      </w:r>
      <w:r>
        <w:rPr>
          <w:rFonts w:ascii="FangSong" w:hAnsi="FangSong" w:eastAsia="FangSong" w:cs="FangSong"/>
          <w:sz w:val="24"/>
          <w:szCs w:val="24"/>
        </w:rPr>
        <w:t>管理所、老顶山物流</w:t>
      </w:r>
      <w:r>
        <w:rPr>
          <w:rFonts w:ascii="FangSong" w:hAnsi="FangSong" w:eastAsia="FangSong" w:cs="FangSong"/>
          <w:sz w:val="24"/>
          <w:szCs w:val="24"/>
          <w:spacing w:val="-2"/>
        </w:rPr>
        <w:t>园市场监督管理所，负责辖区内的市场监督管理工作，均为股级。</w:t>
      </w:r>
    </w:p>
    <w:p>
      <w:pPr>
        <w:spacing w:line="354" w:lineRule="auto"/>
        <w:sectPr>
          <w:headerReference w:type="default" r:id="rId4"/>
          <w:footerReference w:type="default" r:id="rId5"/>
          <w:pgSz w:w="11900" w:h="16840"/>
          <w:pgMar w:top="642" w:right="0" w:bottom="340" w:left="0" w:header="326" w:footer="110" w:gutter="0"/>
        </w:sectPr>
        <w:rPr>
          <w:rFonts w:ascii="FangSong" w:hAnsi="FangSong" w:eastAsia="FangSong" w:cs="FangSong"/>
          <w:sz w:val="24"/>
          <w:szCs w:val="24"/>
        </w:rPr>
      </w:pPr>
    </w:p>
    <w:p>
      <w:pPr>
        <w:pStyle w:val="BodyText"/>
        <w:spacing w:line="280" w:lineRule="auto"/>
        <w:rPr/>
      </w:pPr>
      <w:r/>
    </w:p>
    <w:p>
      <w:pPr>
        <w:pStyle w:val="BodyText"/>
        <w:spacing w:line="281" w:lineRule="auto"/>
        <w:rPr/>
      </w:pPr>
      <w:r/>
    </w:p>
    <w:p>
      <w:pPr>
        <w:ind w:left="4347"/>
        <w:spacing w:before="99" w:line="237"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2026年单位预算报表</w:t>
      </w:r>
    </w:p>
    <w:p>
      <w:pPr>
        <w:rPr/>
      </w:pPr>
      <w:r/>
    </w:p>
    <w:p>
      <w:pPr>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60"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28"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2026年预算收支总表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3"/>
              <w:spacing w:before="154" w:line="219" w:lineRule="auto"/>
              <w:rPr>
                <w:rFonts w:ascii="SimSun" w:hAnsi="SimSun" w:eastAsia="SimSun" w:cs="SimSun"/>
                <w:sz w:val="18"/>
                <w:szCs w:val="18"/>
              </w:rPr>
            </w:pPr>
            <w:r>
              <w:rPr>
                <w:rFonts w:ascii="SimSun" w:hAnsi="SimSun" w:eastAsia="SimSun" w:cs="SimSun"/>
                <w:sz w:val="18"/>
                <w:szCs w:val="18"/>
                <w:color w:val="212529"/>
                <w:spacing w:val="-1"/>
              </w:rPr>
              <w:t>单位名称：长治市市场监督管理局高新技术产业开发区分局</w:t>
            </w:r>
          </w:p>
        </w:tc>
        <w:tc>
          <w:tcPr>
            <w:tcW w:w="3212" w:type="dxa"/>
            <w:vAlign w:val="top"/>
            <w:gridSpan w:val="3"/>
            <w:tcBorders>
              <w:top w:val="single" w:color="FFFFFF" w:sz="6" w:space="0"/>
              <w:left w:val="single" w:color="FFFFFF" w:sz="2" w:space="0"/>
              <w:right w:val="single" w:color="FFFFFF" w:sz="2" w:space="0"/>
            </w:tcBorders>
          </w:tcPr>
          <w:p>
            <w:pPr>
              <w:ind w:left="2281"/>
              <w:spacing w:before="15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5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2026年</w:t>
            </w:r>
          </w:p>
        </w:tc>
        <w:tc>
          <w:tcPr>
            <w:tcW w:w="2141" w:type="dxa"/>
            <w:vAlign w:val="top"/>
          </w:tcPr>
          <w:p>
            <w:pPr>
              <w:ind w:left="880"/>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2026年合计</w:t>
            </w:r>
          </w:p>
        </w:tc>
        <w:tc>
          <w:tcPr>
            <w:tcW w:w="1138" w:type="dxa"/>
            <w:vAlign w:val="top"/>
          </w:tcPr>
          <w:p>
            <w:pPr>
              <w:ind w:left="29"/>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267" w:right="97" w:hanging="182"/>
              <w:spacing w:before="49"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073"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3"/>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957.72</w:t>
            </w:r>
          </w:p>
        </w:tc>
        <w:tc>
          <w:tcPr>
            <w:tcW w:w="2141" w:type="dxa"/>
            <w:vAlign w:val="top"/>
          </w:tcPr>
          <w:p>
            <w:pPr>
              <w:ind w:left="14"/>
              <w:spacing w:before="157"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18"/>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775.31</w:t>
            </w:r>
          </w:p>
        </w:tc>
        <w:tc>
          <w:tcPr>
            <w:tcW w:w="1138" w:type="dxa"/>
            <w:vAlign w:val="top"/>
          </w:tcPr>
          <w:p>
            <w:pPr>
              <w:ind w:right="18"/>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769.16</w:t>
            </w:r>
          </w:p>
        </w:tc>
        <w:tc>
          <w:tcPr>
            <w:tcW w:w="921" w:type="dxa"/>
            <w:vAlign w:val="top"/>
          </w:tcPr>
          <w:p>
            <w:pPr>
              <w:ind w:right="26"/>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6.15</w:t>
            </w:r>
          </w:p>
        </w:tc>
      </w:tr>
      <w:tr>
        <w:trPr>
          <w:trHeight w:val="524" w:hRule="atLeast"/>
        </w:trPr>
        <w:tc>
          <w:tcPr>
            <w:tcW w:w="2073" w:type="dxa"/>
            <w:vAlign w:val="top"/>
          </w:tcPr>
          <w:p>
            <w:pPr>
              <w:ind w:left="9"/>
              <w:spacing w:before="158"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59"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60"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6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60"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62"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6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62"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58"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4"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7"/>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3"/>
              </w:rPr>
              <w:t>105.29</w:t>
            </w:r>
          </w:p>
        </w:tc>
        <w:tc>
          <w:tcPr>
            <w:tcW w:w="1138" w:type="dxa"/>
            <w:vAlign w:val="top"/>
          </w:tcPr>
          <w:p>
            <w:pPr>
              <w:ind w:right="17"/>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3"/>
              </w:rPr>
              <w:t>105.29</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5"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6"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138" w:type="dxa"/>
            <w:vAlign w:val="top"/>
          </w:tcPr>
          <w:p>
            <w:pPr>
              <w:ind w:right="19"/>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63"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63"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8"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8"/>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138" w:type="dxa"/>
            <w:vAlign w:val="top"/>
          </w:tcPr>
          <w:p>
            <w:pPr>
              <w:ind w:right="18"/>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64"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pStyle w:val="BodyText"/>
        <w:rPr/>
      </w:pPr>
      <w:r/>
    </w:p>
    <w:p>
      <w:pPr>
        <w:sectPr>
          <w:headerReference w:type="default" r:id="rId6"/>
          <w:footerReference w:type="default" r:id="rId7"/>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right="140"/>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51"/>
              <w:spacing w:before="186"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5"/>
              <w:spacing w:before="186" w:line="183" w:lineRule="auto"/>
              <w:rPr>
                <w:sz w:val="15"/>
                <w:szCs w:val="15"/>
              </w:rPr>
            </w:pPr>
            <w:r>
              <w:rPr>
                <w:sz w:val="15"/>
                <w:szCs w:val="15"/>
                <w:color w:val="212529"/>
                <w:spacing w:val="3"/>
              </w:rPr>
              <w:t>963.</w:t>
            </w:r>
            <w:r>
              <w:rPr>
                <w:sz w:val="15"/>
                <w:szCs w:val="15"/>
                <w:color w:val="212529"/>
                <w:spacing w:val="9"/>
              </w:rPr>
              <w:t xml:space="preserve"> </w:t>
            </w:r>
            <w:r>
              <w:rPr>
                <w:sz w:val="15"/>
                <w:szCs w:val="15"/>
                <w:color w:val="212529"/>
                <w:spacing w:val="3"/>
              </w:rPr>
              <w:t>87</w:t>
            </w:r>
          </w:p>
        </w:tc>
        <w:tc>
          <w:tcPr>
            <w:tcW w:w="1138" w:type="dxa"/>
            <w:vAlign w:val="top"/>
          </w:tcPr>
          <w:p>
            <w:pPr>
              <w:pStyle w:val="TableText"/>
              <w:ind w:left="570"/>
              <w:spacing w:before="186"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921" w:type="dxa"/>
            <w:vAlign w:val="top"/>
          </w:tcPr>
          <w:p>
            <w:pPr>
              <w:pStyle w:val="TableText"/>
              <w:ind w:left="525"/>
              <w:spacing w:before="186" w:line="212" w:lineRule="auto"/>
              <w:rPr>
                <w:sz w:val="13"/>
                <w:szCs w:val="13"/>
              </w:rPr>
            </w:pPr>
            <w:r>
              <w:rPr>
                <w:sz w:val="13"/>
                <w:szCs w:val="13"/>
                <w:color w:val="212529"/>
                <w:spacing w:val="10"/>
              </w:rPr>
              <w:t>6.</w:t>
            </w:r>
            <w:r>
              <w:rPr>
                <w:sz w:val="13"/>
                <w:szCs w:val="13"/>
                <w:color w:val="212529"/>
                <w:spacing w:val="17"/>
                <w:w w:val="101"/>
              </w:rPr>
              <w:t xml:space="preserve"> </w:t>
            </w:r>
            <w:r>
              <w:rPr>
                <w:sz w:val="13"/>
                <w:szCs w:val="13"/>
                <w:color w:val="212529"/>
                <w:spacing w:val="10"/>
              </w:rPr>
              <w:t>15</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22"/>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6.15</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51"/>
              <w:spacing w:before="188" w:line="183" w:lineRule="auto"/>
              <w:rPr>
                <w:sz w:val="15"/>
                <w:szCs w:val="15"/>
              </w:rPr>
            </w:pPr>
            <w:r>
              <w:rPr>
                <w:sz w:val="15"/>
                <w:szCs w:val="15"/>
                <w:color w:val="212529"/>
                <w:spacing w:val="3"/>
              </w:rPr>
              <w:t>963.</w:t>
            </w:r>
            <w:r>
              <w:rPr>
                <w:sz w:val="15"/>
                <w:szCs w:val="15"/>
                <w:color w:val="212529"/>
                <w:spacing w:val="9"/>
              </w:rPr>
              <w:t xml:space="preserve"> </w:t>
            </w:r>
            <w:r>
              <w:rPr>
                <w:sz w:val="15"/>
                <w:szCs w:val="15"/>
                <w:color w:val="212529"/>
                <w:spacing w:val="3"/>
              </w:rPr>
              <w:t>87</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5"/>
              <w:spacing w:before="188" w:line="183" w:lineRule="auto"/>
              <w:rPr>
                <w:sz w:val="15"/>
                <w:szCs w:val="15"/>
              </w:rPr>
            </w:pPr>
            <w:r>
              <w:rPr>
                <w:sz w:val="15"/>
                <w:szCs w:val="15"/>
                <w:color w:val="212529"/>
                <w:spacing w:val="3"/>
              </w:rPr>
              <w:t>963.</w:t>
            </w:r>
            <w:r>
              <w:rPr>
                <w:sz w:val="15"/>
                <w:szCs w:val="15"/>
                <w:color w:val="212529"/>
                <w:spacing w:val="9"/>
              </w:rPr>
              <w:t xml:space="preserve"> </w:t>
            </w:r>
            <w:r>
              <w:rPr>
                <w:sz w:val="15"/>
                <w:szCs w:val="15"/>
                <w:color w:val="212529"/>
                <w:spacing w:val="3"/>
              </w:rPr>
              <w:t>87</w:t>
            </w:r>
          </w:p>
        </w:tc>
        <w:tc>
          <w:tcPr>
            <w:tcW w:w="1138" w:type="dxa"/>
            <w:vAlign w:val="top"/>
          </w:tcPr>
          <w:p>
            <w:pPr>
              <w:pStyle w:val="TableText"/>
              <w:ind w:left="570"/>
              <w:spacing w:before="188"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921" w:type="dxa"/>
            <w:vAlign w:val="top"/>
          </w:tcPr>
          <w:p>
            <w:pPr>
              <w:pStyle w:val="TableText"/>
              <w:ind w:left="525"/>
              <w:spacing w:before="188" w:line="212" w:lineRule="auto"/>
              <w:rPr>
                <w:sz w:val="13"/>
                <w:szCs w:val="13"/>
              </w:rPr>
            </w:pPr>
            <w:r>
              <w:rPr>
                <w:sz w:val="13"/>
                <w:szCs w:val="13"/>
                <w:color w:val="212529"/>
                <w:spacing w:val="10"/>
              </w:rPr>
              <w:t>6.</w:t>
            </w:r>
            <w:r>
              <w:rPr>
                <w:sz w:val="13"/>
                <w:szCs w:val="13"/>
                <w:color w:val="212529"/>
                <w:spacing w:val="17"/>
                <w:w w:val="101"/>
              </w:rPr>
              <w:t xml:space="preserve"> </w:t>
            </w:r>
            <w:r>
              <w:rPr>
                <w:sz w:val="13"/>
                <w:szCs w:val="13"/>
                <w:color w:val="212529"/>
                <w:spacing w:val="10"/>
              </w:rPr>
              <w:t>15</w:t>
            </w:r>
          </w:p>
        </w:tc>
      </w:tr>
    </w:tbl>
    <w:p>
      <w:pPr>
        <w:ind w:left="1694"/>
        <w:spacing w:before="152" w:line="22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5"/>
          <w:position w:val="-1"/>
        </w:rPr>
        <w:t>注:</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本套报表因取数时四舍五入,</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部分金额可能存在尾差</w:t>
      </w:r>
    </w:p>
    <w:p>
      <w:pPr>
        <w:spacing w:line="220" w:lineRule="exact"/>
        <w:sectPr>
          <w:headerReference w:type="default" r:id="rId8"/>
          <w:footerReference w:type="default" r:id="rId9"/>
          <w:pgSz w:w="11900" w:h="16840"/>
          <w:pgMar w:top="642" w:right="0" w:bottom="340" w:left="0" w:header="326" w:footer="111" w:gutter="0"/>
        </w:sectPr>
        <w:rPr>
          <w:rFonts w:ascii="Microsoft YaHei" w:hAnsi="Microsoft YaHei" w:eastAsia="Microsoft YaHei" w:cs="Microsoft YaHei"/>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81"/>
        <w:gridCol w:w="3086"/>
        <w:gridCol w:w="1543"/>
        <w:gridCol w:w="1348"/>
        <w:gridCol w:w="1064"/>
        <w:gridCol w:w="1288"/>
        <w:gridCol w:w="1289"/>
        <w:gridCol w:w="1019"/>
        <w:gridCol w:w="1251"/>
      </w:tblGrid>
      <w:tr>
        <w:trPr>
          <w:trHeight w:val="442" w:hRule="atLeast"/>
        </w:trPr>
        <w:tc>
          <w:tcPr>
            <w:tcW w:w="158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308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4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4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6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270" w:type="dxa"/>
            <w:vAlign w:val="top"/>
            <w:gridSpan w:val="2"/>
            <w:tcBorders>
              <w:left w:val="single" w:color="FFFFFF" w:sz="2" w:space="0"/>
              <w:right w:val="single" w:color="FFFFFF" w:sz="2" w:space="0"/>
              <w:bottom w:val="single" w:color="FFFFFF" w:sz="6" w:space="0"/>
              <w:top w:val="single" w:color="FFFFFF" w:sz="6" w:space="0"/>
            </w:tcBorders>
          </w:tcPr>
          <w:p>
            <w:pPr>
              <w:ind w:left="124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8" w:id="9"/>
            <w:bookmarkEnd w:id="9"/>
            <w:bookmarkStart w:name="bookmark7" w:id="10"/>
            <w:bookmarkEnd w:id="10"/>
            <w:r>
              <w:rPr>
                <w:rFonts w:ascii="Microsoft YaHei" w:hAnsi="Microsoft YaHei" w:eastAsia="Microsoft YaHei" w:cs="Microsoft YaHei"/>
                <w:sz w:val="23"/>
                <w:szCs w:val="23"/>
                <w:color w:val="212529"/>
                <w:position w:val="-1"/>
              </w:rPr>
              <w:t>2026年预算收入总表</w:t>
            </w:r>
          </w:p>
        </w:tc>
      </w:tr>
      <w:tr>
        <w:trPr>
          <w:trHeight w:val="434" w:hRule="atLeast"/>
        </w:trPr>
        <w:tc>
          <w:tcPr>
            <w:tcW w:w="4667" w:type="dxa"/>
            <w:vAlign w:val="top"/>
            <w:gridSpan w:val="2"/>
            <w:tcBorders>
              <w:left w:val="single" w:color="FFFFFF" w:sz="2" w:space="0"/>
              <w:right w:val="single" w:color="FFFFFF" w:sz="2" w:space="0"/>
              <w:top w:val="single" w:color="FFFFFF" w:sz="6" w:space="0"/>
            </w:tcBorders>
          </w:tcPr>
          <w:p>
            <w:pPr>
              <w:ind w:left="13" w:right="157"/>
              <w:spacing w:before="20" w:line="207" w:lineRule="auto"/>
              <w:rPr>
                <w:rFonts w:ascii="SimSun" w:hAnsi="SimSun" w:eastAsia="SimSun" w:cs="SimSun"/>
                <w:sz w:val="18"/>
                <w:szCs w:val="18"/>
              </w:rPr>
            </w:pPr>
            <w:r>
              <w:rPr>
                <w:rFonts w:ascii="SimSun" w:hAnsi="SimSun" w:eastAsia="SimSun" w:cs="SimSun"/>
                <w:sz w:val="18"/>
                <w:szCs w:val="18"/>
                <w:color w:val="212529"/>
                <w:spacing w:val="-1"/>
              </w:rPr>
              <w:t>单位名称：长治市市场监督管理局高新技术产业开发区分</w:t>
            </w:r>
            <w:r>
              <w:rPr>
                <w:rFonts w:ascii="SimSun" w:hAnsi="SimSun" w:eastAsia="SimSun" w:cs="SimSun"/>
                <w:sz w:val="18"/>
                <w:szCs w:val="18"/>
                <w:color w:val="212529"/>
              </w:rPr>
              <w:t>局</w:t>
            </w:r>
          </w:p>
        </w:tc>
        <w:tc>
          <w:tcPr>
            <w:tcW w:w="1543" w:type="dxa"/>
            <w:vAlign w:val="top"/>
            <w:tcBorders>
              <w:left w:val="single" w:color="FFFFFF" w:sz="2" w:space="0"/>
              <w:right w:val="single" w:color="FFFFFF" w:sz="2" w:space="0"/>
              <w:top w:val="single" w:color="FFFFFF" w:sz="6" w:space="0"/>
            </w:tcBorders>
          </w:tcPr>
          <w:p>
            <w:pPr>
              <w:pStyle w:val="TableText"/>
              <w:rPr/>
            </w:pPr>
            <w:r/>
          </w:p>
        </w:tc>
        <w:tc>
          <w:tcPr>
            <w:tcW w:w="1348" w:type="dxa"/>
            <w:vAlign w:val="top"/>
            <w:tcBorders>
              <w:left w:val="single" w:color="FFFFFF" w:sz="2" w:space="0"/>
              <w:right w:val="single" w:color="FFFFFF" w:sz="2" w:space="0"/>
              <w:top w:val="single" w:color="FFFFFF" w:sz="6" w:space="0"/>
            </w:tcBorders>
          </w:tcPr>
          <w:p>
            <w:pPr>
              <w:pStyle w:val="TableText"/>
              <w:rPr/>
            </w:pPr>
            <w:r/>
          </w:p>
        </w:tc>
        <w:tc>
          <w:tcPr>
            <w:tcW w:w="1064" w:type="dxa"/>
            <w:vAlign w:val="top"/>
            <w:tcBorders>
              <w:left w:val="single" w:color="FFFFFF" w:sz="2" w:space="0"/>
              <w:right w:val="single" w:color="FFFFFF" w:sz="2" w:space="0"/>
              <w:top w:val="single" w:color="FFFFFF" w:sz="6" w:space="0"/>
            </w:tcBorders>
          </w:tcPr>
          <w:p>
            <w:pPr>
              <w:pStyle w:val="TableText"/>
              <w:rPr/>
            </w:pPr>
            <w:r/>
          </w:p>
        </w:tc>
        <w:tc>
          <w:tcPr>
            <w:tcW w:w="1288" w:type="dxa"/>
            <w:vAlign w:val="top"/>
            <w:tcBorders>
              <w:left w:val="single" w:color="FFFFFF" w:sz="2" w:space="0"/>
              <w:right w:val="single" w:color="FFFFFF" w:sz="2" w:space="0"/>
              <w:top w:val="single" w:color="FFFFFF" w:sz="6" w:space="0"/>
            </w:tcBorders>
          </w:tcPr>
          <w:p>
            <w:pPr>
              <w:pStyle w:val="TableText"/>
              <w:rPr/>
            </w:pPr>
            <w:r/>
          </w:p>
        </w:tc>
        <w:tc>
          <w:tcPr>
            <w:tcW w:w="1289" w:type="dxa"/>
            <w:vAlign w:val="top"/>
            <w:tcBorders>
              <w:left w:val="single" w:color="FFFFFF" w:sz="2" w:space="0"/>
              <w:right w:val="single" w:color="FFFFFF" w:sz="2" w:space="0"/>
              <w:top w:val="single" w:color="FFFFFF" w:sz="6" w:space="0"/>
            </w:tcBorders>
          </w:tcPr>
          <w:p>
            <w:pPr>
              <w:pStyle w:val="TableText"/>
              <w:rPr/>
            </w:pPr>
            <w:r/>
          </w:p>
        </w:tc>
        <w:tc>
          <w:tcPr>
            <w:tcW w:w="2270" w:type="dxa"/>
            <w:vAlign w:val="top"/>
            <w:gridSpan w:val="2"/>
            <w:tcBorders>
              <w:left w:val="single" w:color="FFFFFF" w:sz="2" w:space="0"/>
              <w:right w:val="single" w:color="FFFFFF" w:sz="2" w:space="0"/>
              <w:top w:val="single" w:color="FFFFFF" w:sz="6" w:space="0"/>
            </w:tcBorders>
          </w:tcPr>
          <w:p>
            <w:pPr>
              <w:ind w:left="133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667" w:type="dxa"/>
            <w:vAlign w:val="top"/>
            <w:gridSpan w:val="2"/>
          </w:tcPr>
          <w:p>
            <w:pPr>
              <w:ind w:left="213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551" w:type="dxa"/>
            <w:vAlign w:val="top"/>
            <w:gridSpan w:val="6"/>
          </w:tcPr>
          <w:p>
            <w:pPr>
              <w:ind w:left="3401"/>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251" w:type="dxa"/>
            <w:vAlign w:val="top"/>
            <w:vMerge w:val="restart"/>
            <w:tcBorders>
              <w:bottom w:val="nil"/>
            </w:tcBorders>
          </w:tcPr>
          <w:p>
            <w:pPr>
              <w:pStyle w:val="TableText"/>
              <w:spacing w:line="273" w:lineRule="auto"/>
              <w:rPr/>
            </w:pPr>
            <w:r/>
          </w:p>
          <w:p>
            <w:pPr>
              <w:ind w:left="24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81" w:type="dxa"/>
            <w:vAlign w:val="top"/>
          </w:tcPr>
          <w:p>
            <w:pPr>
              <w:ind w:left="411"/>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3086" w:type="dxa"/>
            <w:vAlign w:val="top"/>
          </w:tcPr>
          <w:p>
            <w:pPr>
              <w:ind w:left="116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543" w:type="dxa"/>
            <w:vAlign w:val="top"/>
          </w:tcPr>
          <w:p>
            <w:pPr>
              <w:ind w:left="57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48" w:type="dxa"/>
            <w:vAlign w:val="top"/>
          </w:tcPr>
          <w:p>
            <w:pPr>
              <w:ind w:left="11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一般公共预算</w:t>
            </w:r>
          </w:p>
        </w:tc>
        <w:tc>
          <w:tcPr>
            <w:tcW w:w="1064" w:type="dxa"/>
            <w:vAlign w:val="top"/>
          </w:tcPr>
          <w:p>
            <w:pPr>
              <w:ind w:left="6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88" w:type="dxa"/>
            <w:vAlign w:val="top"/>
          </w:tcPr>
          <w:p>
            <w:pPr>
              <w:ind w:left="446" w:right="107" w:hanging="337"/>
              <w:spacing w:before="18"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国有资本经营</w:t>
            </w:r>
            <w:r>
              <w:rPr>
                <w:rFonts w:ascii="Microsoft YaHei" w:hAnsi="Microsoft YaHei" w:eastAsia="Microsoft YaHei" w:cs="Microsoft YaHei"/>
                <w:sz w:val="17"/>
                <w:szCs w:val="17"/>
                <w:color w:val="212529"/>
                <w:spacing w:val="11"/>
              </w:rPr>
              <w:t>预算</w:t>
            </w:r>
          </w:p>
        </w:tc>
        <w:tc>
          <w:tcPr>
            <w:tcW w:w="1289" w:type="dxa"/>
            <w:vAlign w:val="top"/>
          </w:tcPr>
          <w:p>
            <w:pPr>
              <w:ind w:left="459" w:right="101" w:hanging="366"/>
              <w:spacing w:before="18"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财政专户管理</w:t>
            </w:r>
            <w:r>
              <w:rPr>
                <w:rFonts w:ascii="Microsoft YaHei" w:hAnsi="Microsoft YaHei" w:eastAsia="Microsoft YaHei" w:cs="Microsoft YaHei"/>
                <w:sz w:val="17"/>
                <w:szCs w:val="17"/>
                <w:color w:val="212529"/>
                <w:spacing w:val="4"/>
              </w:rPr>
              <w:t>资金</w:t>
            </w:r>
          </w:p>
        </w:tc>
        <w:tc>
          <w:tcPr>
            <w:tcW w:w="1019" w:type="dxa"/>
            <w:vAlign w:val="top"/>
          </w:tcPr>
          <w:p>
            <w:pPr>
              <w:ind w:left="133"/>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251" w:type="dxa"/>
            <w:vAlign w:val="top"/>
            <w:vMerge w:val="continue"/>
            <w:tcBorders>
              <w:top w:val="nil"/>
            </w:tcBorders>
          </w:tcPr>
          <w:p>
            <w:pPr>
              <w:pStyle w:val="TableText"/>
              <w:rPr/>
            </w:pPr>
            <w:r/>
          </w:p>
        </w:tc>
      </w:tr>
      <w:tr>
        <w:trPr>
          <w:trHeight w:val="434" w:hRule="atLeast"/>
        </w:trPr>
        <w:tc>
          <w:tcPr>
            <w:tcW w:w="4667" w:type="dxa"/>
            <w:vAlign w:val="top"/>
            <w:gridSpan w:val="2"/>
          </w:tcPr>
          <w:p>
            <w:pPr>
              <w:ind w:left="213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543" w:type="dxa"/>
            <w:vAlign w:val="top"/>
          </w:tcPr>
          <w:p>
            <w:pPr>
              <w:pStyle w:val="TableText"/>
              <w:ind w:left="969"/>
              <w:spacing w:before="149"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1348" w:type="dxa"/>
            <w:vAlign w:val="top"/>
          </w:tcPr>
          <w:p>
            <w:pPr>
              <w:pStyle w:val="TableText"/>
              <w:ind w:left="771"/>
              <w:spacing w:before="149" w:line="183" w:lineRule="auto"/>
              <w:rPr>
                <w:sz w:val="15"/>
                <w:szCs w:val="15"/>
              </w:rPr>
            </w:pPr>
            <w:r>
              <w:rPr>
                <w:sz w:val="15"/>
                <w:szCs w:val="15"/>
                <w:color w:val="212529"/>
                <w:spacing w:val="3"/>
              </w:rPr>
              <w:t>957.</w:t>
            </w:r>
            <w:r>
              <w:rPr>
                <w:sz w:val="15"/>
                <w:szCs w:val="15"/>
                <w:color w:val="212529"/>
                <w:spacing w:val="9"/>
              </w:rPr>
              <w:t xml:space="preserve"> </w:t>
            </w:r>
            <w:r>
              <w:rPr>
                <w:sz w:val="15"/>
                <w:szCs w:val="15"/>
                <w:color w:val="212529"/>
                <w:spacing w:val="3"/>
              </w:rPr>
              <w:t>72</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ind w:left="855"/>
              <w:spacing w:before="149" w:line="212" w:lineRule="auto"/>
              <w:rPr>
                <w:sz w:val="13"/>
                <w:szCs w:val="13"/>
              </w:rPr>
            </w:pPr>
            <w:r>
              <w:rPr>
                <w:sz w:val="13"/>
                <w:szCs w:val="13"/>
                <w:color w:val="212529"/>
                <w:spacing w:val="7"/>
              </w:rPr>
              <w:t>6.</w:t>
            </w:r>
            <w:r>
              <w:rPr>
                <w:sz w:val="13"/>
                <w:szCs w:val="13"/>
                <w:color w:val="212529"/>
                <w:spacing w:val="29"/>
                <w:w w:val="101"/>
              </w:rPr>
              <w:t xml:space="preserve"> </w:t>
            </w:r>
            <w:r>
              <w:rPr>
                <w:sz w:val="13"/>
                <w:szCs w:val="13"/>
                <w:color w:val="212529"/>
                <w:spacing w:val="7"/>
              </w:rPr>
              <w:t>15</w:t>
            </w:r>
          </w:p>
        </w:tc>
      </w:tr>
      <w:tr>
        <w:trPr>
          <w:trHeight w:val="434" w:hRule="atLeast"/>
        </w:trPr>
        <w:tc>
          <w:tcPr>
            <w:tcW w:w="158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3086" w:type="dxa"/>
            <w:vAlign w:val="top"/>
          </w:tcPr>
          <w:p>
            <w:pPr>
              <w:ind w:left="10"/>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43"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769.16</w:t>
            </w:r>
          </w:p>
        </w:tc>
        <w:tc>
          <w:tcPr>
            <w:tcW w:w="1348" w:type="dxa"/>
            <w:vAlign w:val="top"/>
          </w:tcPr>
          <w:p>
            <w:pPr>
              <w:ind w:right="27"/>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769.16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6.15</w:t>
            </w:r>
          </w:p>
        </w:tc>
      </w:tr>
      <w:tr>
        <w:trPr>
          <w:trHeight w:val="434" w:hRule="atLeast"/>
        </w:trPr>
        <w:tc>
          <w:tcPr>
            <w:tcW w:w="158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20138</w:t>
            </w:r>
          </w:p>
        </w:tc>
        <w:tc>
          <w:tcPr>
            <w:tcW w:w="3086" w:type="dxa"/>
            <w:vAlign w:val="top"/>
          </w:tcPr>
          <w:p>
            <w:pPr>
              <w:ind w:left="10"/>
              <w:spacing w:before="129" w:line="219" w:lineRule="auto"/>
              <w:rPr>
                <w:rFonts w:ascii="SimSun" w:hAnsi="SimSun" w:eastAsia="SimSun" w:cs="SimSun"/>
                <w:sz w:val="18"/>
                <w:szCs w:val="18"/>
              </w:rPr>
            </w:pPr>
            <w:r>
              <w:rPr>
                <w:rFonts w:ascii="SimSun" w:hAnsi="SimSun" w:eastAsia="SimSun" w:cs="SimSun"/>
                <w:sz w:val="18"/>
                <w:szCs w:val="18"/>
                <w:color w:val="212529"/>
                <w:spacing w:val="-2"/>
              </w:rPr>
              <w:t>市场监督管理事务</w:t>
            </w:r>
          </w:p>
        </w:tc>
        <w:tc>
          <w:tcPr>
            <w:tcW w:w="1543"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766.16</w:t>
            </w:r>
          </w:p>
        </w:tc>
        <w:tc>
          <w:tcPr>
            <w:tcW w:w="1348" w:type="dxa"/>
            <w:vAlign w:val="top"/>
          </w:tcPr>
          <w:p>
            <w:pPr>
              <w:ind w:right="27"/>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766.16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6.15</w:t>
            </w:r>
          </w:p>
        </w:tc>
      </w:tr>
      <w:tr>
        <w:trPr>
          <w:trHeight w:val="434" w:hRule="atLeast"/>
        </w:trPr>
        <w:tc>
          <w:tcPr>
            <w:tcW w:w="158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2013801</w:t>
            </w:r>
          </w:p>
        </w:tc>
        <w:tc>
          <w:tcPr>
            <w:tcW w:w="3086" w:type="dxa"/>
            <w:vAlign w:val="top"/>
          </w:tcPr>
          <w:p>
            <w:pPr>
              <w:ind w:left="8"/>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543"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351.05</w:t>
            </w:r>
          </w:p>
        </w:tc>
        <w:tc>
          <w:tcPr>
            <w:tcW w:w="1348" w:type="dxa"/>
            <w:vAlign w:val="top"/>
          </w:tcPr>
          <w:p>
            <w:pPr>
              <w:ind w:right="27"/>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351.05</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2013804</w:t>
            </w:r>
          </w:p>
        </w:tc>
        <w:tc>
          <w:tcPr>
            <w:tcW w:w="3086" w:type="dxa"/>
            <w:vAlign w:val="top"/>
          </w:tcPr>
          <w:p>
            <w:pPr>
              <w:ind w:left="9"/>
              <w:spacing w:before="131" w:line="219" w:lineRule="auto"/>
              <w:rPr>
                <w:rFonts w:ascii="SimSun" w:hAnsi="SimSun" w:eastAsia="SimSun" w:cs="SimSun"/>
                <w:sz w:val="18"/>
                <w:szCs w:val="18"/>
              </w:rPr>
            </w:pPr>
            <w:r>
              <w:rPr>
                <w:rFonts w:ascii="SimSun" w:hAnsi="SimSun" w:eastAsia="SimSun" w:cs="SimSun"/>
                <w:sz w:val="18"/>
                <w:szCs w:val="18"/>
                <w:color w:val="212529"/>
                <w:spacing w:val="-2"/>
              </w:rPr>
              <w:t>经营主体管理</w:t>
            </w:r>
          </w:p>
        </w:tc>
        <w:tc>
          <w:tcPr>
            <w:tcW w:w="1543"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348" w:type="dxa"/>
            <w:vAlign w:val="top"/>
          </w:tcPr>
          <w:p>
            <w:pPr>
              <w:ind w:right="25"/>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6.15</w:t>
            </w:r>
          </w:p>
        </w:tc>
      </w:tr>
      <w:tr>
        <w:trPr>
          <w:trHeight w:val="434" w:hRule="atLeast"/>
        </w:trPr>
        <w:tc>
          <w:tcPr>
            <w:tcW w:w="158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2013805</w:t>
            </w:r>
          </w:p>
        </w:tc>
        <w:tc>
          <w:tcPr>
            <w:tcW w:w="3086" w:type="dxa"/>
            <w:vAlign w:val="top"/>
          </w:tcPr>
          <w:p>
            <w:pPr>
              <w:ind w:left="10"/>
              <w:spacing w:before="132" w:line="219" w:lineRule="auto"/>
              <w:rPr>
                <w:rFonts w:ascii="SimSun" w:hAnsi="SimSun" w:eastAsia="SimSun" w:cs="SimSun"/>
                <w:sz w:val="18"/>
                <w:szCs w:val="18"/>
              </w:rPr>
            </w:pPr>
            <w:r>
              <w:rPr>
                <w:rFonts w:ascii="SimSun" w:hAnsi="SimSun" w:eastAsia="SimSun" w:cs="SimSun"/>
                <w:sz w:val="18"/>
                <w:szCs w:val="18"/>
                <w:color w:val="212529"/>
                <w:spacing w:val="-2"/>
              </w:rPr>
              <w:t>市场秩序执法</w:t>
            </w:r>
          </w:p>
        </w:tc>
        <w:tc>
          <w:tcPr>
            <w:tcW w:w="1543"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16.00</w:t>
            </w:r>
          </w:p>
        </w:tc>
        <w:tc>
          <w:tcPr>
            <w:tcW w:w="1348" w:type="dxa"/>
            <w:vAlign w:val="top"/>
          </w:tcPr>
          <w:p>
            <w:pPr>
              <w:ind w:right="25"/>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16.00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2013810</w:t>
            </w:r>
          </w:p>
        </w:tc>
        <w:tc>
          <w:tcPr>
            <w:tcW w:w="3086" w:type="dxa"/>
            <w:vAlign w:val="top"/>
          </w:tcPr>
          <w:p>
            <w:pPr>
              <w:ind w:left="7"/>
              <w:spacing w:before="134" w:line="219" w:lineRule="auto"/>
              <w:rPr>
                <w:rFonts w:ascii="SimSun" w:hAnsi="SimSun" w:eastAsia="SimSun" w:cs="SimSun"/>
                <w:sz w:val="18"/>
                <w:szCs w:val="18"/>
              </w:rPr>
            </w:pPr>
            <w:r>
              <w:rPr>
                <w:rFonts w:ascii="SimSun" w:hAnsi="SimSun" w:eastAsia="SimSun" w:cs="SimSun"/>
                <w:sz w:val="18"/>
                <w:szCs w:val="18"/>
                <w:color w:val="212529"/>
                <w:spacing w:val="-2"/>
              </w:rPr>
              <w:t>质量基础</w:t>
            </w:r>
          </w:p>
        </w:tc>
        <w:tc>
          <w:tcPr>
            <w:tcW w:w="1543"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348"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2013812</w:t>
            </w:r>
          </w:p>
        </w:tc>
        <w:tc>
          <w:tcPr>
            <w:tcW w:w="3086" w:type="dxa"/>
            <w:vAlign w:val="top"/>
          </w:tcPr>
          <w:p>
            <w:pPr>
              <w:ind w:left="10"/>
              <w:spacing w:before="134" w:line="219" w:lineRule="auto"/>
              <w:rPr>
                <w:rFonts w:ascii="SimSun" w:hAnsi="SimSun" w:eastAsia="SimSun" w:cs="SimSun"/>
                <w:sz w:val="18"/>
                <w:szCs w:val="18"/>
              </w:rPr>
            </w:pPr>
            <w:r>
              <w:rPr>
                <w:rFonts w:ascii="SimSun" w:hAnsi="SimSun" w:eastAsia="SimSun" w:cs="SimSun"/>
                <w:sz w:val="18"/>
                <w:szCs w:val="18"/>
                <w:color w:val="212529"/>
                <w:spacing w:val="-2"/>
              </w:rPr>
              <w:t>药品事务</w:t>
            </w:r>
          </w:p>
        </w:tc>
        <w:tc>
          <w:tcPr>
            <w:tcW w:w="1543" w:type="dxa"/>
            <w:vAlign w:val="top"/>
          </w:tcPr>
          <w:p>
            <w:pPr>
              <w:ind w:right="2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34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2013815</w:t>
            </w:r>
          </w:p>
        </w:tc>
        <w:tc>
          <w:tcPr>
            <w:tcW w:w="3086" w:type="dxa"/>
            <w:vAlign w:val="top"/>
          </w:tcPr>
          <w:p>
            <w:pPr>
              <w:ind w:left="7"/>
              <w:spacing w:before="135" w:line="219" w:lineRule="auto"/>
              <w:rPr>
                <w:rFonts w:ascii="SimSun" w:hAnsi="SimSun" w:eastAsia="SimSun" w:cs="SimSun"/>
                <w:sz w:val="18"/>
                <w:szCs w:val="18"/>
              </w:rPr>
            </w:pPr>
            <w:r>
              <w:rPr>
                <w:rFonts w:ascii="SimSun" w:hAnsi="SimSun" w:eastAsia="SimSun" w:cs="SimSun"/>
                <w:sz w:val="18"/>
                <w:szCs w:val="18"/>
                <w:color w:val="212529"/>
                <w:spacing w:val="-1"/>
              </w:rPr>
              <w:t>质量安全监管</w:t>
            </w:r>
          </w:p>
        </w:tc>
        <w:tc>
          <w:tcPr>
            <w:tcW w:w="1543" w:type="dxa"/>
            <w:vAlign w:val="top"/>
          </w:tcPr>
          <w:p>
            <w:pPr>
              <w:ind w:right="2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34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2013816</w:t>
            </w:r>
          </w:p>
        </w:tc>
        <w:tc>
          <w:tcPr>
            <w:tcW w:w="3086" w:type="dxa"/>
            <w:vAlign w:val="top"/>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食品安全监管</w:t>
            </w:r>
          </w:p>
        </w:tc>
        <w:tc>
          <w:tcPr>
            <w:tcW w:w="1543"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51.00</w:t>
            </w:r>
          </w:p>
        </w:tc>
        <w:tc>
          <w:tcPr>
            <w:tcW w:w="1348" w:type="dxa"/>
            <w:vAlign w:val="top"/>
          </w:tcPr>
          <w:p>
            <w:pPr>
              <w:ind w:right="27"/>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51.00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2013899</w:t>
            </w:r>
          </w:p>
        </w:tc>
        <w:tc>
          <w:tcPr>
            <w:tcW w:w="3086" w:type="dxa"/>
            <w:vAlign w:val="top"/>
          </w:tcPr>
          <w:p>
            <w:pPr>
              <w:ind w:left="7"/>
              <w:spacing w:before="137" w:line="219" w:lineRule="auto"/>
              <w:rPr>
                <w:rFonts w:ascii="SimSun" w:hAnsi="SimSun" w:eastAsia="SimSun" w:cs="SimSun"/>
                <w:sz w:val="18"/>
                <w:szCs w:val="18"/>
              </w:rPr>
            </w:pPr>
            <w:r>
              <w:rPr>
                <w:rFonts w:ascii="SimSun" w:hAnsi="SimSun" w:eastAsia="SimSun" w:cs="SimSun"/>
                <w:sz w:val="18"/>
                <w:szCs w:val="18"/>
                <w:color w:val="212529"/>
                <w:spacing w:val="-1"/>
              </w:rPr>
              <w:t>其他市场监督管理事务</w:t>
            </w:r>
          </w:p>
        </w:tc>
        <w:tc>
          <w:tcPr>
            <w:tcW w:w="1543"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334.11</w:t>
            </w:r>
          </w:p>
        </w:tc>
        <w:tc>
          <w:tcPr>
            <w:tcW w:w="1348" w:type="dxa"/>
            <w:vAlign w:val="top"/>
          </w:tcPr>
          <w:p>
            <w:pPr>
              <w:ind w:right="27"/>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334.11</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20139</w:t>
            </w:r>
          </w:p>
        </w:tc>
        <w:tc>
          <w:tcPr>
            <w:tcW w:w="3086" w:type="dxa"/>
            <w:vAlign w:val="top"/>
          </w:tcPr>
          <w:p>
            <w:pPr>
              <w:ind w:left="9"/>
              <w:spacing w:before="138" w:line="218" w:lineRule="auto"/>
              <w:rPr>
                <w:rFonts w:ascii="SimSun" w:hAnsi="SimSun" w:eastAsia="SimSun" w:cs="SimSun"/>
                <w:sz w:val="18"/>
                <w:szCs w:val="18"/>
              </w:rPr>
            </w:pPr>
            <w:r>
              <w:rPr>
                <w:rFonts w:ascii="SimSun" w:hAnsi="SimSun" w:eastAsia="SimSun" w:cs="SimSun"/>
                <w:sz w:val="18"/>
                <w:szCs w:val="18"/>
                <w:color w:val="212529"/>
                <w:spacing w:val="-2"/>
              </w:rPr>
              <w:t>社会工作事务</w:t>
            </w:r>
          </w:p>
        </w:tc>
        <w:tc>
          <w:tcPr>
            <w:tcW w:w="154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34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2013901</w:t>
            </w:r>
          </w:p>
        </w:tc>
        <w:tc>
          <w:tcPr>
            <w:tcW w:w="3086" w:type="dxa"/>
            <w:vAlign w:val="top"/>
          </w:tcPr>
          <w:p>
            <w:pPr>
              <w:ind w:left="8"/>
              <w:spacing w:before="139"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54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34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3086" w:type="dxa"/>
            <w:vAlign w:val="top"/>
          </w:tcPr>
          <w:p>
            <w:pPr>
              <w:ind w:left="9"/>
              <w:spacing w:before="13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54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105.29</w:t>
            </w:r>
          </w:p>
        </w:tc>
        <w:tc>
          <w:tcPr>
            <w:tcW w:w="134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105.29</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086" w:type="dxa"/>
            <w:vAlign w:val="top"/>
          </w:tcPr>
          <w:p>
            <w:pPr>
              <w:ind w:left="8"/>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543"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99.88</w:t>
            </w:r>
          </w:p>
        </w:tc>
        <w:tc>
          <w:tcPr>
            <w:tcW w:w="1348"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99.88</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3086" w:type="dxa"/>
            <w:vAlign w:val="top"/>
          </w:tcPr>
          <w:p>
            <w:pPr>
              <w:ind w:left="8"/>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543"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31.83</w:t>
            </w:r>
          </w:p>
        </w:tc>
        <w:tc>
          <w:tcPr>
            <w:tcW w:w="1348"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31.83</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42"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086" w:type="dxa"/>
            <w:vAlign w:val="top"/>
          </w:tcPr>
          <w:p>
            <w:pPr>
              <w:ind w:left="7"/>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43"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50.19</w:t>
            </w:r>
          </w:p>
        </w:tc>
        <w:tc>
          <w:tcPr>
            <w:tcW w:w="1348"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50.19</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81"/>
        <w:gridCol w:w="3086"/>
        <w:gridCol w:w="1543"/>
        <w:gridCol w:w="1348"/>
        <w:gridCol w:w="1064"/>
        <w:gridCol w:w="1288"/>
        <w:gridCol w:w="1289"/>
        <w:gridCol w:w="1019"/>
        <w:gridCol w:w="1251"/>
      </w:tblGrid>
      <w:tr>
        <w:trPr>
          <w:trHeight w:val="441" w:hRule="atLeast"/>
        </w:trPr>
        <w:tc>
          <w:tcPr>
            <w:tcW w:w="158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3086" w:type="dxa"/>
            <w:vAlign w:val="top"/>
          </w:tcPr>
          <w:p>
            <w:pPr>
              <w:ind w:left="7"/>
              <w:spacing w:before="115"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43"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17.86</w:t>
            </w:r>
          </w:p>
        </w:tc>
        <w:tc>
          <w:tcPr>
            <w:tcW w:w="1348" w:type="dxa"/>
            <w:vAlign w:val="top"/>
          </w:tcPr>
          <w:p>
            <w:pPr>
              <w:ind w:right="2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17.86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3" w:hRule="atLeast"/>
        </w:trPr>
        <w:tc>
          <w:tcPr>
            <w:tcW w:w="158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3086" w:type="dxa"/>
            <w:vAlign w:val="top"/>
          </w:tcPr>
          <w:p>
            <w:pPr>
              <w:ind w:left="7"/>
              <w:spacing w:before="110"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543" w:type="dxa"/>
            <w:vAlign w:val="top"/>
          </w:tcPr>
          <w:p>
            <w:pPr>
              <w:ind w:right="24"/>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4.78</w:t>
            </w:r>
          </w:p>
        </w:tc>
        <w:tc>
          <w:tcPr>
            <w:tcW w:w="1348" w:type="dxa"/>
            <w:vAlign w:val="top"/>
          </w:tcPr>
          <w:p>
            <w:pPr>
              <w:ind w:right="28"/>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4.78</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3" w:hRule="atLeast"/>
        </w:trPr>
        <w:tc>
          <w:tcPr>
            <w:tcW w:w="158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3086" w:type="dxa"/>
            <w:vAlign w:val="top"/>
          </w:tcPr>
          <w:p>
            <w:pPr>
              <w:ind w:left="7"/>
              <w:spacing w:before="112"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543" w:type="dxa"/>
            <w:vAlign w:val="top"/>
          </w:tcPr>
          <w:p>
            <w:pPr>
              <w:ind w:right="24"/>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4.78</w:t>
            </w:r>
          </w:p>
        </w:tc>
        <w:tc>
          <w:tcPr>
            <w:tcW w:w="1348" w:type="dxa"/>
            <w:vAlign w:val="top"/>
          </w:tcPr>
          <w:p>
            <w:pPr>
              <w:ind w:right="28"/>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4.78</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3086" w:type="dxa"/>
            <w:vAlign w:val="top"/>
          </w:tcPr>
          <w:p>
            <w:pPr>
              <w:ind w:left="7"/>
              <w:spacing w:before="113"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543" w:type="dxa"/>
            <w:vAlign w:val="top"/>
          </w:tcPr>
          <w:p>
            <w:pPr>
              <w:ind w:right="24"/>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0.63</w:t>
            </w:r>
          </w:p>
        </w:tc>
        <w:tc>
          <w:tcPr>
            <w:tcW w:w="1348" w:type="dxa"/>
            <w:vAlign w:val="top"/>
          </w:tcPr>
          <w:p>
            <w:pPr>
              <w:ind w:right="27"/>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0.63</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3086" w:type="dxa"/>
            <w:vAlign w:val="top"/>
          </w:tcPr>
          <w:p>
            <w:pPr>
              <w:ind w:left="7"/>
              <w:spacing w:before="114"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543" w:type="dxa"/>
            <w:vAlign w:val="top"/>
          </w:tcPr>
          <w:p>
            <w:pPr>
              <w:ind w:right="24"/>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0.63</w:t>
            </w:r>
          </w:p>
        </w:tc>
        <w:tc>
          <w:tcPr>
            <w:tcW w:w="1348" w:type="dxa"/>
            <w:vAlign w:val="top"/>
          </w:tcPr>
          <w:p>
            <w:pPr>
              <w:ind w:right="27"/>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0.63</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3086" w:type="dxa"/>
            <w:vAlign w:val="top"/>
          </w:tcPr>
          <w:p>
            <w:pPr>
              <w:ind w:left="9"/>
              <w:spacing w:before="11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43" w:type="dxa"/>
            <w:vAlign w:val="top"/>
          </w:tcPr>
          <w:p>
            <w:pPr>
              <w:ind w:right="2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348" w:type="dxa"/>
            <w:vAlign w:val="top"/>
          </w:tcPr>
          <w:p>
            <w:pPr>
              <w:ind w:right="28"/>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086" w:type="dxa"/>
            <w:vAlign w:val="top"/>
          </w:tcPr>
          <w:p>
            <w:pPr>
              <w:ind w:left="8"/>
              <w:spacing w:before="11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543" w:type="dxa"/>
            <w:vAlign w:val="top"/>
          </w:tcPr>
          <w:p>
            <w:pPr>
              <w:ind w:right="25"/>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348" w:type="dxa"/>
            <w:vAlign w:val="top"/>
          </w:tcPr>
          <w:p>
            <w:pPr>
              <w:ind w:right="28"/>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44.32</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3086" w:type="dxa"/>
            <w:vAlign w:val="top"/>
          </w:tcPr>
          <w:p>
            <w:pPr>
              <w:ind w:left="8"/>
              <w:spacing w:before="118"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543" w:type="dxa"/>
            <w:vAlign w:val="top"/>
          </w:tcPr>
          <w:p>
            <w:pPr>
              <w:ind w:right="24"/>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30.52</w:t>
            </w:r>
          </w:p>
        </w:tc>
        <w:tc>
          <w:tcPr>
            <w:tcW w:w="1348" w:type="dxa"/>
            <w:vAlign w:val="top"/>
          </w:tcPr>
          <w:p>
            <w:pPr>
              <w:ind w:right="27"/>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30.52</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3086" w:type="dxa"/>
            <w:vAlign w:val="top"/>
          </w:tcPr>
          <w:p>
            <w:pPr>
              <w:ind w:left="13"/>
              <w:spacing w:before="11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43" w:type="dxa"/>
            <w:vAlign w:val="top"/>
          </w:tcPr>
          <w:p>
            <w:pPr>
              <w:ind w:right="2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13.80</w:t>
            </w:r>
          </w:p>
        </w:tc>
        <w:tc>
          <w:tcPr>
            <w:tcW w:w="1348" w:type="dxa"/>
            <w:vAlign w:val="top"/>
          </w:tcPr>
          <w:p>
            <w:pPr>
              <w:ind w:right="25"/>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13.80</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3086" w:type="dxa"/>
            <w:vAlign w:val="top"/>
          </w:tcPr>
          <w:p>
            <w:pPr>
              <w:ind w:left="9"/>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43" w:type="dxa"/>
            <w:vAlign w:val="top"/>
          </w:tcPr>
          <w:p>
            <w:pPr>
              <w:ind w:right="24"/>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348" w:type="dxa"/>
            <w:vAlign w:val="top"/>
          </w:tcPr>
          <w:p>
            <w:pPr>
              <w:ind w:right="27"/>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086" w:type="dxa"/>
            <w:vAlign w:val="top"/>
          </w:tcPr>
          <w:p>
            <w:pPr>
              <w:ind w:left="9"/>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43" w:type="dxa"/>
            <w:vAlign w:val="top"/>
          </w:tcPr>
          <w:p>
            <w:pPr>
              <w:ind w:right="24"/>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348" w:type="dxa"/>
            <w:vAlign w:val="top"/>
          </w:tcPr>
          <w:p>
            <w:pPr>
              <w:ind w:right="27"/>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41" w:hRule="atLeast"/>
        </w:trPr>
        <w:tc>
          <w:tcPr>
            <w:tcW w:w="158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086" w:type="dxa"/>
            <w:vAlign w:val="top"/>
          </w:tcPr>
          <w:p>
            <w:pPr>
              <w:ind w:left="9"/>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43" w:type="dxa"/>
            <w:vAlign w:val="top"/>
          </w:tcPr>
          <w:p>
            <w:pPr>
              <w:ind w:right="24"/>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348" w:type="dxa"/>
            <w:vAlign w:val="top"/>
          </w:tcPr>
          <w:p>
            <w:pPr>
              <w:ind w:right="27"/>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38.95</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bl>
    <w:p>
      <w:pPr>
        <w:pStyle w:val="BodyText"/>
        <w:rPr/>
      </w:pPr>
      <w:r/>
    </w:p>
    <w:p>
      <w:pPr>
        <w:sectPr>
          <w:headerReference w:type="default" r:id="rId12"/>
          <w:footerReference w:type="default" r:id="rId13"/>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9"/>
        <w:gridCol w:w="3153"/>
        <w:gridCol w:w="1426"/>
        <w:gridCol w:w="1382"/>
        <w:gridCol w:w="1388"/>
      </w:tblGrid>
      <w:tr>
        <w:trPr>
          <w:trHeight w:val="320" w:hRule="atLeast"/>
        </w:trPr>
        <w:tc>
          <w:tcPr>
            <w:tcW w:w="180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8" w:type="dxa"/>
            <w:vAlign w:val="top"/>
            <w:tcBorders>
              <w:bottom w:val="single" w:color="FFFFFF" w:sz="4" w:space="0"/>
              <w:top w:val="single" w:color="FFFFFF" w:sz="4" w:space="0"/>
              <w:left w:val="single" w:color="FFFFFF" w:sz="2" w:space="0"/>
              <w:right w:val="single" w:color="FFFFFF" w:sz="2" w:space="0"/>
            </w:tcBorders>
          </w:tcPr>
          <w:p>
            <w:pPr>
              <w:ind w:left="649"/>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9" w:id="11"/>
            <w:bookmarkEnd w:id="11"/>
            <w:bookmarkStart w:name="bookmark8" w:id="12"/>
            <w:bookmarkEnd w:id="12"/>
            <w:r>
              <w:rPr>
                <w:rFonts w:ascii="Microsoft YaHei" w:hAnsi="Microsoft YaHei" w:eastAsia="Microsoft YaHei" w:cs="Microsoft YaHei"/>
                <w:sz w:val="19"/>
                <w:szCs w:val="19"/>
                <w:color w:val="212529"/>
                <w:spacing w:val="2"/>
                <w:position w:val="-1"/>
              </w:rPr>
              <w:t>2026年预算支出总表</w:t>
            </w:r>
          </w:p>
        </w:tc>
      </w:tr>
      <w:tr>
        <w:trPr>
          <w:trHeight w:val="314" w:hRule="atLeast"/>
        </w:trPr>
        <w:tc>
          <w:tcPr>
            <w:tcW w:w="6388"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388" w:type="dxa"/>
            <w:vAlign w:val="top"/>
            <w:tcBorders>
              <w:top w:val="single" w:color="FFFFFF" w:sz="4" w:space="0"/>
              <w:left w:val="single" w:color="FFFFFF" w:sz="2" w:space="0"/>
              <w:right w:val="single" w:color="FFFFFF" w:sz="2" w:space="0"/>
            </w:tcBorders>
          </w:tcPr>
          <w:p>
            <w:pPr>
              <w:ind w:left="715"/>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62" w:type="dxa"/>
            <w:vAlign w:val="top"/>
            <w:gridSpan w:val="2"/>
          </w:tcPr>
          <w:p>
            <w:pPr>
              <w:ind w:left="2306"/>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6" w:type="dxa"/>
            <w:vAlign w:val="top"/>
            <w:gridSpan w:val="3"/>
          </w:tcPr>
          <w:p>
            <w:pPr>
              <w:ind w:left="1602"/>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14" w:hRule="atLeast"/>
        </w:trPr>
        <w:tc>
          <w:tcPr>
            <w:tcW w:w="1809" w:type="dxa"/>
            <w:vAlign w:val="top"/>
          </w:tcPr>
          <w:p>
            <w:pPr>
              <w:ind w:left="56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53" w:type="dxa"/>
            <w:vAlign w:val="top"/>
          </w:tcPr>
          <w:p>
            <w:pPr>
              <w:ind w:left="1236"/>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26" w:type="dxa"/>
            <w:vAlign w:val="top"/>
          </w:tcPr>
          <w:p>
            <w:pPr>
              <w:ind w:left="544"/>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8"/>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88" w:type="dxa"/>
            <w:vAlign w:val="top"/>
          </w:tcPr>
          <w:p>
            <w:pPr>
              <w:ind w:left="360"/>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62" w:type="dxa"/>
            <w:vAlign w:val="top"/>
            <w:gridSpan w:val="2"/>
          </w:tcPr>
          <w:p>
            <w:pPr>
              <w:ind w:left="2308"/>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26" w:type="dxa"/>
            <w:vAlign w:val="top"/>
          </w:tcPr>
          <w:p>
            <w:pPr>
              <w:pStyle w:val="TableText"/>
              <w:ind w:left="921"/>
              <w:spacing w:before="96" w:line="172" w:lineRule="auto"/>
              <w:rPr>
                <w:sz w:val="14"/>
                <w:szCs w:val="14"/>
              </w:rPr>
            </w:pPr>
            <w:r>
              <w:rPr>
                <w:sz w:val="14"/>
                <w:szCs w:val="14"/>
                <w:color w:val="212529"/>
              </w:rPr>
              <w:t>963.</w:t>
            </w:r>
            <w:r>
              <w:rPr>
                <w:sz w:val="14"/>
                <w:szCs w:val="14"/>
                <w:color w:val="212529"/>
                <w:spacing w:val="7"/>
              </w:rPr>
              <w:t xml:space="preserve"> </w:t>
            </w:r>
            <w:r>
              <w:rPr>
                <w:sz w:val="14"/>
                <w:szCs w:val="14"/>
                <w:color w:val="212529"/>
              </w:rPr>
              <w:t>87</w:t>
            </w:r>
          </w:p>
        </w:tc>
        <w:tc>
          <w:tcPr>
            <w:tcW w:w="1382" w:type="dxa"/>
            <w:vAlign w:val="top"/>
          </w:tcPr>
          <w:p>
            <w:pPr>
              <w:pStyle w:val="TableText"/>
              <w:ind w:left="878"/>
              <w:spacing w:before="96" w:line="186" w:lineRule="auto"/>
              <w:rPr>
                <w:sz w:val="13"/>
                <w:szCs w:val="13"/>
              </w:rPr>
            </w:pPr>
            <w:r>
              <w:rPr>
                <w:sz w:val="13"/>
                <w:szCs w:val="13"/>
                <w:color w:val="212529"/>
                <w:spacing w:val="4"/>
              </w:rPr>
              <w:t>542.</w:t>
            </w:r>
            <w:r>
              <w:rPr>
                <w:sz w:val="13"/>
                <w:szCs w:val="13"/>
                <w:color w:val="212529"/>
                <w:spacing w:val="4"/>
              </w:rPr>
              <w:t xml:space="preserve"> </w:t>
            </w:r>
            <w:r>
              <w:rPr>
                <w:sz w:val="13"/>
                <w:szCs w:val="13"/>
                <w:color w:val="212529"/>
                <w:spacing w:val="4"/>
              </w:rPr>
              <w:t>61</w:t>
            </w:r>
          </w:p>
        </w:tc>
        <w:tc>
          <w:tcPr>
            <w:tcW w:w="1388" w:type="dxa"/>
            <w:vAlign w:val="top"/>
          </w:tcPr>
          <w:p>
            <w:pPr>
              <w:pStyle w:val="TableText"/>
              <w:ind w:left="874"/>
              <w:spacing w:before="96" w:line="173" w:lineRule="auto"/>
              <w:rPr>
                <w:sz w:val="14"/>
                <w:szCs w:val="14"/>
              </w:rPr>
            </w:pPr>
            <w:r>
              <w:rPr>
                <w:sz w:val="14"/>
                <w:szCs w:val="14"/>
                <w:color w:val="212529"/>
              </w:rPr>
              <w:t>421.</w:t>
            </w:r>
            <w:r>
              <w:rPr>
                <w:sz w:val="14"/>
                <w:szCs w:val="14"/>
                <w:color w:val="212529"/>
                <w:spacing w:val="9"/>
              </w:rPr>
              <w:t xml:space="preserve"> </w:t>
            </w:r>
            <w:r>
              <w:rPr>
                <w:sz w:val="14"/>
                <w:szCs w:val="14"/>
                <w:color w:val="212529"/>
              </w:rPr>
              <w:t>26</w:t>
            </w:r>
          </w:p>
        </w:tc>
      </w:tr>
      <w:tr>
        <w:trPr>
          <w:trHeight w:val="314" w:hRule="atLeast"/>
        </w:trPr>
        <w:tc>
          <w:tcPr>
            <w:tcW w:w="180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53" w:type="dxa"/>
            <w:vAlign w:val="top"/>
          </w:tcPr>
          <w:p>
            <w:pPr>
              <w:ind w:left="4"/>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26" w:type="dxa"/>
            <w:vAlign w:val="top"/>
          </w:tcPr>
          <w:p>
            <w:pPr>
              <w:ind w:right="16"/>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775.31</w:t>
            </w:r>
          </w:p>
        </w:tc>
        <w:tc>
          <w:tcPr>
            <w:tcW w:w="1382" w:type="dxa"/>
            <w:vAlign w:val="top"/>
          </w:tcPr>
          <w:p>
            <w:pPr>
              <w:pStyle w:val="TableText"/>
              <w:ind w:left="878"/>
              <w:spacing w:before="96" w:line="186" w:lineRule="auto"/>
              <w:rPr>
                <w:sz w:val="13"/>
                <w:szCs w:val="13"/>
              </w:rPr>
            </w:pPr>
            <w:r>
              <w:rPr>
                <w:sz w:val="13"/>
                <w:szCs w:val="13"/>
                <w:color w:val="212529"/>
                <w:spacing w:val="4"/>
              </w:rPr>
              <w:t>354.</w:t>
            </w:r>
            <w:r>
              <w:rPr>
                <w:sz w:val="13"/>
                <w:szCs w:val="13"/>
                <w:color w:val="212529"/>
                <w:spacing w:val="13"/>
              </w:rPr>
              <w:t xml:space="preserve"> </w:t>
            </w:r>
            <w:r>
              <w:rPr>
                <w:sz w:val="13"/>
                <w:szCs w:val="13"/>
                <w:color w:val="212529"/>
                <w:spacing w:val="4"/>
              </w:rPr>
              <w:t>05</w:t>
            </w:r>
          </w:p>
        </w:tc>
        <w:tc>
          <w:tcPr>
            <w:tcW w:w="1388" w:type="dxa"/>
            <w:vAlign w:val="top"/>
          </w:tcPr>
          <w:p>
            <w:pPr>
              <w:pStyle w:val="TableText"/>
              <w:ind w:left="874"/>
              <w:spacing w:before="96" w:line="173" w:lineRule="auto"/>
              <w:rPr>
                <w:sz w:val="14"/>
                <w:szCs w:val="14"/>
              </w:rPr>
            </w:pPr>
            <w:r>
              <w:rPr>
                <w:sz w:val="14"/>
                <w:szCs w:val="14"/>
                <w:color w:val="212529"/>
              </w:rPr>
              <w:t>421.</w:t>
            </w:r>
            <w:r>
              <w:rPr>
                <w:sz w:val="14"/>
                <w:szCs w:val="14"/>
                <w:color w:val="212529"/>
                <w:spacing w:val="9"/>
              </w:rPr>
              <w:t xml:space="preserve"> </w:t>
            </w:r>
            <w:r>
              <w:rPr>
                <w:sz w:val="14"/>
                <w:szCs w:val="14"/>
                <w:color w:val="212529"/>
              </w:rPr>
              <w:t>26</w:t>
            </w:r>
          </w:p>
        </w:tc>
      </w:tr>
      <w:tr>
        <w:trPr>
          <w:trHeight w:val="314" w:hRule="atLeast"/>
        </w:trPr>
        <w:tc>
          <w:tcPr>
            <w:tcW w:w="180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20138</w:t>
            </w:r>
          </w:p>
        </w:tc>
        <w:tc>
          <w:tcPr>
            <w:tcW w:w="3153" w:type="dxa"/>
            <w:vAlign w:val="top"/>
          </w:tcPr>
          <w:p>
            <w:pPr>
              <w:ind w:left="4"/>
              <w:spacing w:before="77" w:line="229" w:lineRule="auto"/>
              <w:rPr>
                <w:rFonts w:ascii="SimSun" w:hAnsi="SimSun" w:eastAsia="SimSun" w:cs="SimSun"/>
                <w:sz w:val="15"/>
                <w:szCs w:val="15"/>
              </w:rPr>
            </w:pPr>
            <w:r>
              <w:rPr>
                <w:rFonts w:ascii="SimSun" w:hAnsi="SimSun" w:eastAsia="SimSun" w:cs="SimSun"/>
                <w:sz w:val="15"/>
                <w:szCs w:val="15"/>
                <w:color w:val="212529"/>
                <w:spacing w:val="10"/>
              </w:rPr>
              <w:t>市场监督管理事务</w:t>
            </w:r>
          </w:p>
        </w:tc>
        <w:tc>
          <w:tcPr>
            <w:tcW w:w="1426" w:type="dxa"/>
            <w:vAlign w:val="top"/>
          </w:tcPr>
          <w:p>
            <w:pPr>
              <w:ind w:right="16"/>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772.31</w:t>
            </w:r>
          </w:p>
        </w:tc>
        <w:tc>
          <w:tcPr>
            <w:tcW w:w="1382" w:type="dxa"/>
            <w:vAlign w:val="top"/>
          </w:tcPr>
          <w:p>
            <w:pPr>
              <w:pStyle w:val="TableText"/>
              <w:ind w:left="878"/>
              <w:spacing w:before="96" w:line="186" w:lineRule="auto"/>
              <w:rPr>
                <w:sz w:val="13"/>
                <w:szCs w:val="13"/>
              </w:rPr>
            </w:pPr>
            <w:r>
              <w:rPr>
                <w:sz w:val="13"/>
                <w:szCs w:val="13"/>
                <w:color w:val="212529"/>
                <w:spacing w:val="4"/>
              </w:rPr>
              <w:t>351.</w:t>
            </w:r>
            <w:r>
              <w:rPr>
                <w:sz w:val="13"/>
                <w:szCs w:val="13"/>
                <w:color w:val="212529"/>
                <w:spacing w:val="13"/>
              </w:rPr>
              <w:t xml:space="preserve"> </w:t>
            </w:r>
            <w:r>
              <w:rPr>
                <w:sz w:val="13"/>
                <w:szCs w:val="13"/>
                <w:color w:val="212529"/>
                <w:spacing w:val="4"/>
              </w:rPr>
              <w:t>05</w:t>
            </w:r>
          </w:p>
        </w:tc>
        <w:tc>
          <w:tcPr>
            <w:tcW w:w="1388" w:type="dxa"/>
            <w:vAlign w:val="top"/>
          </w:tcPr>
          <w:p>
            <w:pPr>
              <w:pStyle w:val="TableText"/>
              <w:ind w:left="874"/>
              <w:spacing w:before="96" w:line="173" w:lineRule="auto"/>
              <w:rPr>
                <w:sz w:val="14"/>
                <w:szCs w:val="14"/>
              </w:rPr>
            </w:pPr>
            <w:r>
              <w:rPr>
                <w:sz w:val="14"/>
                <w:szCs w:val="14"/>
                <w:color w:val="212529"/>
              </w:rPr>
              <w:t>421.</w:t>
            </w:r>
            <w:r>
              <w:rPr>
                <w:sz w:val="14"/>
                <w:szCs w:val="14"/>
                <w:color w:val="212529"/>
                <w:spacing w:val="9"/>
              </w:rPr>
              <w:t xml:space="preserve"> </w:t>
            </w:r>
            <w:r>
              <w:rPr>
                <w:sz w:val="14"/>
                <w:szCs w:val="14"/>
                <w:color w:val="212529"/>
              </w:rPr>
              <w:t>26</w:t>
            </w:r>
          </w:p>
        </w:tc>
      </w:tr>
      <w:tr>
        <w:trPr>
          <w:trHeight w:val="314" w:hRule="atLeast"/>
        </w:trPr>
        <w:tc>
          <w:tcPr>
            <w:tcW w:w="180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2013801</w:t>
            </w:r>
          </w:p>
        </w:tc>
        <w:tc>
          <w:tcPr>
            <w:tcW w:w="3153" w:type="dxa"/>
            <w:vAlign w:val="top"/>
          </w:tcPr>
          <w:p>
            <w:pPr>
              <w:ind w:left="2"/>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26" w:type="dxa"/>
            <w:vAlign w:val="top"/>
          </w:tcPr>
          <w:p>
            <w:pPr>
              <w:ind w:right="16"/>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382" w:type="dxa"/>
            <w:vAlign w:val="top"/>
          </w:tcPr>
          <w:p>
            <w:pPr>
              <w:ind w:right="17"/>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388" w:type="dxa"/>
            <w:vAlign w:val="top"/>
          </w:tcPr>
          <w:p>
            <w:pPr>
              <w:pStyle w:val="TableText"/>
              <w:rPr/>
            </w:pPr>
            <w:r/>
          </w:p>
        </w:tc>
      </w:tr>
      <w:tr>
        <w:trPr>
          <w:trHeight w:val="314" w:hRule="atLeast"/>
        </w:trPr>
        <w:tc>
          <w:tcPr>
            <w:tcW w:w="1809"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2013804</w:t>
            </w:r>
          </w:p>
        </w:tc>
        <w:tc>
          <w:tcPr>
            <w:tcW w:w="3153" w:type="dxa"/>
            <w:vAlign w:val="top"/>
          </w:tcPr>
          <w:p>
            <w:pPr>
              <w:ind w:left="4"/>
              <w:spacing w:before="78" w:line="229" w:lineRule="auto"/>
              <w:rPr>
                <w:rFonts w:ascii="SimSun" w:hAnsi="SimSun" w:eastAsia="SimSun" w:cs="SimSun"/>
                <w:sz w:val="15"/>
                <w:szCs w:val="15"/>
              </w:rPr>
            </w:pPr>
            <w:r>
              <w:rPr>
                <w:rFonts w:ascii="SimSun" w:hAnsi="SimSun" w:eastAsia="SimSun" w:cs="SimSun"/>
                <w:sz w:val="15"/>
                <w:szCs w:val="15"/>
                <w:color w:val="212529"/>
                <w:spacing w:val="10"/>
              </w:rPr>
              <w:t>经营主体管理</w:t>
            </w:r>
          </w:p>
        </w:tc>
        <w:tc>
          <w:tcPr>
            <w:tcW w:w="1426" w:type="dxa"/>
            <w:vAlign w:val="top"/>
          </w:tcPr>
          <w:p>
            <w:pPr>
              <w:ind w:right="16"/>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16.15</w:t>
            </w:r>
          </w:p>
        </w:tc>
        <w:tc>
          <w:tcPr>
            <w:tcW w:w="1382" w:type="dxa"/>
            <w:vAlign w:val="top"/>
          </w:tcPr>
          <w:p>
            <w:pPr>
              <w:pStyle w:val="TableText"/>
              <w:rPr/>
            </w:pPr>
            <w:r/>
          </w:p>
        </w:tc>
        <w:tc>
          <w:tcPr>
            <w:tcW w:w="1388"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16.15</w:t>
            </w:r>
          </w:p>
        </w:tc>
      </w:tr>
      <w:tr>
        <w:trPr>
          <w:trHeight w:val="314" w:hRule="atLeast"/>
        </w:trPr>
        <w:tc>
          <w:tcPr>
            <w:tcW w:w="1809"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2013805</w:t>
            </w:r>
          </w:p>
        </w:tc>
        <w:tc>
          <w:tcPr>
            <w:tcW w:w="3153" w:type="dxa"/>
            <w:vAlign w:val="top"/>
          </w:tcPr>
          <w:p>
            <w:pPr>
              <w:ind w:left="4"/>
              <w:spacing w:before="78" w:line="229" w:lineRule="auto"/>
              <w:rPr>
                <w:rFonts w:ascii="SimSun" w:hAnsi="SimSun" w:eastAsia="SimSun" w:cs="SimSun"/>
                <w:sz w:val="15"/>
                <w:szCs w:val="15"/>
              </w:rPr>
            </w:pPr>
            <w:r>
              <w:rPr>
                <w:rFonts w:ascii="SimSun" w:hAnsi="SimSun" w:eastAsia="SimSun" w:cs="SimSun"/>
                <w:sz w:val="15"/>
                <w:szCs w:val="15"/>
                <w:color w:val="212529"/>
                <w:spacing w:val="10"/>
              </w:rPr>
              <w:t>市场秩序执法</w:t>
            </w:r>
          </w:p>
        </w:tc>
        <w:tc>
          <w:tcPr>
            <w:tcW w:w="1426" w:type="dxa"/>
            <w:vAlign w:val="top"/>
          </w:tcPr>
          <w:p>
            <w:pPr>
              <w:ind w:right="16"/>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1382" w:type="dxa"/>
            <w:vAlign w:val="top"/>
          </w:tcPr>
          <w:p>
            <w:pPr>
              <w:pStyle w:val="TableText"/>
              <w:rPr/>
            </w:pPr>
            <w:r/>
          </w:p>
        </w:tc>
        <w:tc>
          <w:tcPr>
            <w:tcW w:w="1388"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r>
      <w:tr>
        <w:trPr>
          <w:trHeight w:val="314" w:hRule="atLeast"/>
        </w:trPr>
        <w:tc>
          <w:tcPr>
            <w:tcW w:w="1809"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2013810</w:t>
            </w:r>
          </w:p>
        </w:tc>
        <w:tc>
          <w:tcPr>
            <w:tcW w:w="3153" w:type="dxa"/>
            <w:vAlign w:val="top"/>
          </w:tcPr>
          <w:p>
            <w:pPr>
              <w:ind w:left="2"/>
              <w:spacing w:before="79" w:line="230" w:lineRule="auto"/>
              <w:rPr>
                <w:rFonts w:ascii="SimSun" w:hAnsi="SimSun" w:eastAsia="SimSun" w:cs="SimSun"/>
                <w:sz w:val="15"/>
                <w:szCs w:val="15"/>
              </w:rPr>
            </w:pPr>
            <w:r>
              <w:rPr>
                <w:rFonts w:ascii="SimSun" w:hAnsi="SimSun" w:eastAsia="SimSun" w:cs="SimSun"/>
                <w:sz w:val="15"/>
                <w:szCs w:val="15"/>
                <w:color w:val="212529"/>
                <w:spacing w:val="9"/>
              </w:rPr>
              <w:t>质量基础</w:t>
            </w:r>
          </w:p>
        </w:tc>
        <w:tc>
          <w:tcPr>
            <w:tcW w:w="1426" w:type="dxa"/>
            <w:vAlign w:val="top"/>
          </w:tcPr>
          <w:p>
            <w:pPr>
              <w:ind w:right="16"/>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82" w:type="dxa"/>
            <w:vAlign w:val="top"/>
          </w:tcPr>
          <w:p>
            <w:pPr>
              <w:pStyle w:val="TableText"/>
              <w:rPr/>
            </w:pPr>
            <w:r/>
          </w:p>
        </w:tc>
        <w:tc>
          <w:tcPr>
            <w:tcW w:w="1388"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314" w:hRule="atLeast"/>
        </w:trPr>
        <w:tc>
          <w:tcPr>
            <w:tcW w:w="1809"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2013812</w:t>
            </w:r>
          </w:p>
        </w:tc>
        <w:tc>
          <w:tcPr>
            <w:tcW w:w="3153" w:type="dxa"/>
            <w:vAlign w:val="top"/>
          </w:tcPr>
          <w:p>
            <w:pPr>
              <w:ind w:left="4"/>
              <w:spacing w:before="79" w:line="229" w:lineRule="auto"/>
              <w:rPr>
                <w:rFonts w:ascii="SimSun" w:hAnsi="SimSun" w:eastAsia="SimSun" w:cs="SimSun"/>
                <w:sz w:val="15"/>
                <w:szCs w:val="15"/>
              </w:rPr>
            </w:pPr>
            <w:r>
              <w:rPr>
                <w:rFonts w:ascii="SimSun" w:hAnsi="SimSun" w:eastAsia="SimSun" w:cs="SimSun"/>
                <w:sz w:val="15"/>
                <w:szCs w:val="15"/>
                <w:color w:val="212529"/>
                <w:spacing w:val="9"/>
              </w:rPr>
              <w:t>药品事务</w:t>
            </w:r>
          </w:p>
        </w:tc>
        <w:tc>
          <w:tcPr>
            <w:tcW w:w="1426" w:type="dxa"/>
            <w:vAlign w:val="top"/>
          </w:tcPr>
          <w:p>
            <w:pPr>
              <w:ind w:right="16"/>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82" w:type="dxa"/>
            <w:vAlign w:val="top"/>
          </w:tcPr>
          <w:p>
            <w:pPr>
              <w:pStyle w:val="TableText"/>
              <w:rPr/>
            </w:pPr>
            <w:r/>
          </w:p>
        </w:tc>
        <w:tc>
          <w:tcPr>
            <w:tcW w:w="1388"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314" w:hRule="atLeast"/>
        </w:trPr>
        <w:tc>
          <w:tcPr>
            <w:tcW w:w="1809"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2013815</w:t>
            </w:r>
          </w:p>
        </w:tc>
        <w:tc>
          <w:tcPr>
            <w:tcW w:w="3153"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10"/>
              </w:rPr>
              <w:t>质量安全监管</w:t>
            </w:r>
          </w:p>
        </w:tc>
        <w:tc>
          <w:tcPr>
            <w:tcW w:w="1426" w:type="dxa"/>
            <w:vAlign w:val="top"/>
          </w:tcPr>
          <w:p>
            <w:pPr>
              <w:ind w:right="16"/>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82" w:type="dxa"/>
            <w:vAlign w:val="top"/>
          </w:tcPr>
          <w:p>
            <w:pPr>
              <w:pStyle w:val="TableText"/>
              <w:rPr/>
            </w:pPr>
            <w:r/>
          </w:p>
        </w:tc>
        <w:tc>
          <w:tcPr>
            <w:tcW w:w="1388" w:type="dxa"/>
            <w:vAlign w:val="top"/>
          </w:tcPr>
          <w:p>
            <w:pPr>
              <w:ind w:right="24"/>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314" w:hRule="atLeast"/>
        </w:trPr>
        <w:tc>
          <w:tcPr>
            <w:tcW w:w="1809"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2013816</w:t>
            </w:r>
          </w:p>
        </w:tc>
        <w:tc>
          <w:tcPr>
            <w:tcW w:w="3153"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10"/>
              </w:rPr>
              <w:t>食品安全监管</w:t>
            </w:r>
          </w:p>
        </w:tc>
        <w:tc>
          <w:tcPr>
            <w:tcW w:w="1426" w:type="dxa"/>
            <w:vAlign w:val="top"/>
          </w:tcPr>
          <w:p>
            <w:pPr>
              <w:ind w:right="1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c>
          <w:tcPr>
            <w:tcW w:w="1382" w:type="dxa"/>
            <w:vAlign w:val="top"/>
          </w:tcPr>
          <w:p>
            <w:pPr>
              <w:pStyle w:val="TableText"/>
              <w:rPr/>
            </w:pPr>
            <w:r/>
          </w:p>
        </w:tc>
        <w:tc>
          <w:tcPr>
            <w:tcW w:w="1388"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r>
      <w:tr>
        <w:trPr>
          <w:trHeight w:val="314" w:hRule="atLeast"/>
        </w:trPr>
        <w:tc>
          <w:tcPr>
            <w:tcW w:w="180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2013899</w:t>
            </w:r>
          </w:p>
        </w:tc>
        <w:tc>
          <w:tcPr>
            <w:tcW w:w="3153"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其他市场监督管理事务</w:t>
            </w:r>
          </w:p>
        </w:tc>
        <w:tc>
          <w:tcPr>
            <w:tcW w:w="1426" w:type="dxa"/>
            <w:vAlign w:val="top"/>
          </w:tcPr>
          <w:p>
            <w:pPr>
              <w:ind w:right="1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334.11</w:t>
            </w:r>
          </w:p>
        </w:tc>
        <w:tc>
          <w:tcPr>
            <w:tcW w:w="1382" w:type="dxa"/>
            <w:vAlign w:val="top"/>
          </w:tcPr>
          <w:p>
            <w:pPr>
              <w:pStyle w:val="TableText"/>
              <w:rPr/>
            </w:pPr>
            <w:r/>
          </w:p>
        </w:tc>
        <w:tc>
          <w:tcPr>
            <w:tcW w:w="1388"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334.11</w:t>
            </w:r>
          </w:p>
        </w:tc>
      </w:tr>
      <w:tr>
        <w:trPr>
          <w:trHeight w:val="314" w:hRule="atLeast"/>
        </w:trPr>
        <w:tc>
          <w:tcPr>
            <w:tcW w:w="180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20139</w:t>
            </w:r>
          </w:p>
        </w:tc>
        <w:tc>
          <w:tcPr>
            <w:tcW w:w="3153" w:type="dxa"/>
            <w:vAlign w:val="top"/>
          </w:tcPr>
          <w:p>
            <w:pPr>
              <w:ind w:left="4"/>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社会工作事务</w:t>
            </w:r>
          </w:p>
        </w:tc>
        <w:tc>
          <w:tcPr>
            <w:tcW w:w="1426" w:type="dxa"/>
            <w:vAlign w:val="top"/>
          </w:tcPr>
          <w:p>
            <w:pPr>
              <w:ind w:right="16"/>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82" w:type="dxa"/>
            <w:vAlign w:val="top"/>
          </w:tcPr>
          <w:p>
            <w:pPr>
              <w:pStyle w:val="TableText"/>
              <w:ind w:left="1041"/>
              <w:spacing w:before="100" w:line="186" w:lineRule="auto"/>
              <w:rPr>
                <w:sz w:val="13"/>
                <w:szCs w:val="13"/>
              </w:rPr>
            </w:pPr>
            <w:r>
              <w:rPr>
                <w:sz w:val="13"/>
                <w:szCs w:val="13"/>
                <w:color w:val="212529"/>
                <w:spacing w:val="2"/>
              </w:rPr>
              <w:t>3.</w:t>
            </w:r>
            <w:r>
              <w:rPr>
                <w:sz w:val="13"/>
                <w:szCs w:val="13"/>
                <w:color w:val="212529"/>
                <w:spacing w:val="14"/>
              </w:rPr>
              <w:t xml:space="preserve"> </w:t>
            </w:r>
            <w:r>
              <w:rPr>
                <w:sz w:val="13"/>
                <w:szCs w:val="13"/>
                <w:color w:val="212529"/>
                <w:spacing w:val="2"/>
              </w:rPr>
              <w:t>00</w:t>
            </w:r>
          </w:p>
        </w:tc>
        <w:tc>
          <w:tcPr>
            <w:tcW w:w="1388" w:type="dxa"/>
            <w:vAlign w:val="top"/>
          </w:tcPr>
          <w:p>
            <w:pPr>
              <w:pStyle w:val="TableText"/>
              <w:rPr/>
            </w:pPr>
            <w:r/>
          </w:p>
        </w:tc>
      </w:tr>
      <w:tr>
        <w:trPr>
          <w:trHeight w:val="314" w:hRule="atLeast"/>
        </w:trPr>
        <w:tc>
          <w:tcPr>
            <w:tcW w:w="180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2013901</w:t>
            </w:r>
          </w:p>
        </w:tc>
        <w:tc>
          <w:tcPr>
            <w:tcW w:w="3153" w:type="dxa"/>
            <w:vAlign w:val="top"/>
          </w:tcPr>
          <w:p>
            <w:pPr>
              <w:ind w:left="2"/>
              <w:spacing w:before="81"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26" w:type="dxa"/>
            <w:vAlign w:val="top"/>
          </w:tcPr>
          <w:p>
            <w:pPr>
              <w:ind w:right="16"/>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82" w:type="dxa"/>
            <w:vAlign w:val="top"/>
          </w:tcPr>
          <w:p>
            <w:pPr>
              <w:ind w:right="17"/>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88" w:type="dxa"/>
            <w:vAlign w:val="top"/>
          </w:tcPr>
          <w:p>
            <w:pPr>
              <w:pStyle w:val="TableText"/>
              <w:rPr/>
            </w:pPr>
            <w:r/>
          </w:p>
        </w:tc>
      </w:tr>
      <w:tr>
        <w:trPr>
          <w:trHeight w:val="314" w:hRule="atLeast"/>
        </w:trPr>
        <w:tc>
          <w:tcPr>
            <w:tcW w:w="1809"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53" w:type="dxa"/>
            <w:vAlign w:val="top"/>
          </w:tcPr>
          <w:p>
            <w:pPr>
              <w:ind w:left="4"/>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26" w:type="dxa"/>
            <w:vAlign w:val="top"/>
          </w:tcPr>
          <w:p>
            <w:pPr>
              <w:ind w:right="16"/>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1382" w:type="dxa"/>
            <w:vAlign w:val="top"/>
          </w:tcPr>
          <w:p>
            <w:pPr>
              <w:pStyle w:val="TableText"/>
              <w:ind w:left="887"/>
              <w:spacing w:before="100" w:line="162" w:lineRule="auto"/>
              <w:rPr>
                <w:sz w:val="15"/>
                <w:szCs w:val="15"/>
              </w:rPr>
            </w:pPr>
            <w:r>
              <w:rPr>
                <w:sz w:val="15"/>
                <w:szCs w:val="15"/>
                <w:color w:val="212529"/>
              </w:rPr>
              <w:t>105.29</w:t>
            </w:r>
          </w:p>
        </w:tc>
        <w:tc>
          <w:tcPr>
            <w:tcW w:w="1388" w:type="dxa"/>
            <w:vAlign w:val="top"/>
          </w:tcPr>
          <w:p>
            <w:pPr>
              <w:pStyle w:val="TableText"/>
              <w:rPr/>
            </w:pPr>
            <w:r/>
          </w:p>
        </w:tc>
      </w:tr>
      <w:tr>
        <w:trPr>
          <w:trHeight w:val="314" w:hRule="atLeast"/>
        </w:trPr>
        <w:tc>
          <w:tcPr>
            <w:tcW w:w="180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53"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26" w:type="dxa"/>
            <w:vAlign w:val="top"/>
          </w:tcPr>
          <w:p>
            <w:pPr>
              <w:ind w:right="16"/>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99.88</w:t>
            </w:r>
          </w:p>
        </w:tc>
        <w:tc>
          <w:tcPr>
            <w:tcW w:w="1382" w:type="dxa"/>
            <w:vAlign w:val="top"/>
          </w:tcPr>
          <w:p>
            <w:pPr>
              <w:pStyle w:val="TableText"/>
              <w:ind w:left="957"/>
              <w:spacing w:before="101" w:line="186" w:lineRule="auto"/>
              <w:rPr>
                <w:sz w:val="13"/>
                <w:szCs w:val="13"/>
              </w:rPr>
            </w:pPr>
            <w:r>
              <w:rPr>
                <w:sz w:val="13"/>
                <w:szCs w:val="13"/>
                <w:color w:val="212529"/>
                <w:spacing w:val="4"/>
              </w:rPr>
              <w:t>99.</w:t>
            </w:r>
            <w:r>
              <w:rPr>
                <w:sz w:val="13"/>
                <w:szCs w:val="13"/>
                <w:color w:val="212529"/>
                <w:spacing w:val="11"/>
                <w:w w:val="101"/>
              </w:rPr>
              <w:t xml:space="preserve"> </w:t>
            </w:r>
            <w:r>
              <w:rPr>
                <w:sz w:val="13"/>
                <w:szCs w:val="13"/>
                <w:color w:val="212529"/>
                <w:spacing w:val="4"/>
              </w:rPr>
              <w:t>88</w:t>
            </w:r>
          </w:p>
        </w:tc>
        <w:tc>
          <w:tcPr>
            <w:tcW w:w="1388" w:type="dxa"/>
            <w:vAlign w:val="top"/>
          </w:tcPr>
          <w:p>
            <w:pPr>
              <w:pStyle w:val="TableText"/>
              <w:rPr/>
            </w:pPr>
            <w:r/>
          </w:p>
        </w:tc>
      </w:tr>
      <w:tr>
        <w:trPr>
          <w:trHeight w:val="314" w:hRule="atLeast"/>
        </w:trPr>
        <w:tc>
          <w:tcPr>
            <w:tcW w:w="180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53"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26" w:type="dxa"/>
            <w:vAlign w:val="top"/>
          </w:tcPr>
          <w:p>
            <w:pPr>
              <w:ind w:right="1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31.83</w:t>
            </w:r>
          </w:p>
        </w:tc>
        <w:tc>
          <w:tcPr>
            <w:tcW w:w="1382"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31.83</w:t>
            </w:r>
          </w:p>
        </w:tc>
        <w:tc>
          <w:tcPr>
            <w:tcW w:w="1388" w:type="dxa"/>
            <w:vAlign w:val="top"/>
          </w:tcPr>
          <w:p>
            <w:pPr>
              <w:pStyle w:val="TableText"/>
              <w:rPr/>
            </w:pPr>
            <w:r/>
          </w:p>
        </w:tc>
      </w:tr>
      <w:tr>
        <w:trPr>
          <w:trHeight w:val="314" w:hRule="atLeast"/>
        </w:trPr>
        <w:tc>
          <w:tcPr>
            <w:tcW w:w="180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53"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26" w:type="dxa"/>
            <w:vAlign w:val="top"/>
          </w:tcPr>
          <w:p>
            <w:pPr>
              <w:ind w:right="1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382"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388" w:type="dxa"/>
            <w:vAlign w:val="top"/>
          </w:tcPr>
          <w:p>
            <w:pPr>
              <w:pStyle w:val="TableText"/>
              <w:rPr/>
            </w:pPr>
            <w:r/>
          </w:p>
        </w:tc>
      </w:tr>
      <w:tr>
        <w:trPr>
          <w:trHeight w:val="314" w:hRule="atLeast"/>
        </w:trPr>
        <w:tc>
          <w:tcPr>
            <w:tcW w:w="180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153"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26" w:type="dxa"/>
            <w:vAlign w:val="top"/>
          </w:tcPr>
          <w:p>
            <w:pPr>
              <w:ind w:right="16"/>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382" w:type="dxa"/>
            <w:vAlign w:val="top"/>
          </w:tcPr>
          <w:p>
            <w:pPr>
              <w:ind w:right="17"/>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388" w:type="dxa"/>
            <w:vAlign w:val="top"/>
          </w:tcPr>
          <w:p>
            <w:pPr>
              <w:pStyle w:val="TableText"/>
              <w:rPr/>
            </w:pPr>
            <w:r/>
          </w:p>
        </w:tc>
      </w:tr>
      <w:tr>
        <w:trPr>
          <w:trHeight w:val="314" w:hRule="atLeast"/>
        </w:trPr>
        <w:tc>
          <w:tcPr>
            <w:tcW w:w="180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153" w:type="dxa"/>
            <w:vAlign w:val="top"/>
          </w:tcPr>
          <w:p>
            <w:pPr>
              <w:ind w:left="2"/>
              <w:spacing w:before="83"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26" w:type="dxa"/>
            <w:vAlign w:val="top"/>
          </w:tcPr>
          <w:p>
            <w:pPr>
              <w:ind w:right="1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82" w:type="dxa"/>
            <w:vAlign w:val="top"/>
          </w:tcPr>
          <w:p>
            <w:pPr>
              <w:pStyle w:val="TableText"/>
              <w:ind w:left="1037"/>
              <w:spacing w:before="102" w:line="186" w:lineRule="auto"/>
              <w:rPr>
                <w:sz w:val="13"/>
                <w:szCs w:val="13"/>
              </w:rPr>
            </w:pPr>
            <w:r>
              <w:rPr>
                <w:sz w:val="13"/>
                <w:szCs w:val="13"/>
                <w:color w:val="212529"/>
                <w:spacing w:val="3"/>
              </w:rPr>
              <w:t>4.</w:t>
            </w:r>
            <w:r>
              <w:rPr>
                <w:sz w:val="13"/>
                <w:szCs w:val="13"/>
                <w:color w:val="212529"/>
                <w:spacing w:val="12"/>
              </w:rPr>
              <w:t xml:space="preserve"> </w:t>
            </w:r>
            <w:r>
              <w:rPr>
                <w:sz w:val="13"/>
                <w:szCs w:val="13"/>
                <w:color w:val="212529"/>
                <w:spacing w:val="3"/>
              </w:rPr>
              <w:t>78</w:t>
            </w:r>
          </w:p>
        </w:tc>
        <w:tc>
          <w:tcPr>
            <w:tcW w:w="1388" w:type="dxa"/>
            <w:vAlign w:val="top"/>
          </w:tcPr>
          <w:p>
            <w:pPr>
              <w:pStyle w:val="TableText"/>
              <w:rPr/>
            </w:pPr>
            <w:r/>
          </w:p>
        </w:tc>
      </w:tr>
      <w:tr>
        <w:trPr>
          <w:trHeight w:val="314" w:hRule="atLeast"/>
        </w:trPr>
        <w:tc>
          <w:tcPr>
            <w:tcW w:w="180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153" w:type="dxa"/>
            <w:vAlign w:val="top"/>
          </w:tcPr>
          <w:p>
            <w:pPr>
              <w:ind w:left="2"/>
              <w:spacing w:before="83"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26" w:type="dxa"/>
            <w:vAlign w:val="top"/>
          </w:tcPr>
          <w:p>
            <w:pPr>
              <w:ind w:right="1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82" w:type="dxa"/>
            <w:vAlign w:val="top"/>
          </w:tcPr>
          <w:p>
            <w:pPr>
              <w:ind w:right="17"/>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88" w:type="dxa"/>
            <w:vAlign w:val="top"/>
          </w:tcPr>
          <w:p>
            <w:pPr>
              <w:pStyle w:val="TableText"/>
              <w:rPr/>
            </w:pPr>
            <w:r/>
          </w:p>
        </w:tc>
      </w:tr>
      <w:tr>
        <w:trPr>
          <w:trHeight w:val="314" w:hRule="atLeast"/>
        </w:trPr>
        <w:tc>
          <w:tcPr>
            <w:tcW w:w="180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153"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26"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82" w:type="dxa"/>
            <w:vAlign w:val="top"/>
          </w:tcPr>
          <w:p>
            <w:pPr>
              <w:pStyle w:val="TableText"/>
              <w:ind w:left="1039"/>
              <w:spacing w:before="103"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63</w:t>
            </w:r>
          </w:p>
        </w:tc>
        <w:tc>
          <w:tcPr>
            <w:tcW w:w="1388" w:type="dxa"/>
            <w:vAlign w:val="top"/>
          </w:tcPr>
          <w:p>
            <w:pPr>
              <w:pStyle w:val="TableText"/>
              <w:rPr/>
            </w:pPr>
            <w:r/>
          </w:p>
        </w:tc>
      </w:tr>
      <w:tr>
        <w:trPr>
          <w:trHeight w:val="314" w:hRule="atLeast"/>
        </w:trPr>
        <w:tc>
          <w:tcPr>
            <w:tcW w:w="180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153"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26"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82"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88" w:type="dxa"/>
            <w:vAlign w:val="top"/>
          </w:tcPr>
          <w:p>
            <w:pPr>
              <w:pStyle w:val="TableText"/>
              <w:rPr/>
            </w:pPr>
            <w:r/>
          </w:p>
        </w:tc>
      </w:tr>
      <w:tr>
        <w:trPr>
          <w:trHeight w:val="314" w:hRule="atLeast"/>
        </w:trPr>
        <w:tc>
          <w:tcPr>
            <w:tcW w:w="180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53" w:type="dxa"/>
            <w:vAlign w:val="top"/>
          </w:tcPr>
          <w:p>
            <w:pPr>
              <w:ind w:left="4"/>
              <w:spacing w:before="8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26"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382" w:type="dxa"/>
            <w:vAlign w:val="top"/>
          </w:tcPr>
          <w:p>
            <w:pPr>
              <w:pStyle w:val="TableText"/>
              <w:ind w:left="956"/>
              <w:spacing w:before="103" w:line="186" w:lineRule="auto"/>
              <w:rPr>
                <w:sz w:val="13"/>
                <w:szCs w:val="13"/>
              </w:rPr>
            </w:pPr>
            <w:r>
              <w:rPr>
                <w:sz w:val="13"/>
                <w:szCs w:val="13"/>
                <w:color w:val="212529"/>
                <w:spacing w:val="4"/>
              </w:rPr>
              <w:t>44.</w:t>
            </w:r>
            <w:r>
              <w:rPr>
                <w:sz w:val="13"/>
                <w:szCs w:val="13"/>
                <w:color w:val="212529"/>
                <w:spacing w:val="12"/>
                <w:w w:val="102"/>
              </w:rPr>
              <w:t xml:space="preserve"> </w:t>
            </w:r>
            <w:r>
              <w:rPr>
                <w:sz w:val="13"/>
                <w:szCs w:val="13"/>
                <w:color w:val="212529"/>
                <w:spacing w:val="4"/>
              </w:rPr>
              <w:t>32</w:t>
            </w:r>
          </w:p>
        </w:tc>
        <w:tc>
          <w:tcPr>
            <w:tcW w:w="1388" w:type="dxa"/>
            <w:vAlign w:val="top"/>
          </w:tcPr>
          <w:p>
            <w:pPr>
              <w:pStyle w:val="TableText"/>
              <w:rPr/>
            </w:pPr>
            <w:r/>
          </w:p>
        </w:tc>
      </w:tr>
      <w:tr>
        <w:trPr>
          <w:trHeight w:val="314" w:hRule="atLeast"/>
        </w:trPr>
        <w:tc>
          <w:tcPr>
            <w:tcW w:w="180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53"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26" w:type="dxa"/>
            <w:vAlign w:val="top"/>
          </w:tcPr>
          <w:p>
            <w:pPr>
              <w:ind w:right="1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382" w:type="dxa"/>
            <w:vAlign w:val="top"/>
          </w:tcPr>
          <w:p>
            <w:pPr>
              <w:pStyle w:val="TableText"/>
              <w:ind w:left="956"/>
              <w:spacing w:before="104" w:line="186" w:lineRule="auto"/>
              <w:rPr>
                <w:sz w:val="13"/>
                <w:szCs w:val="13"/>
              </w:rPr>
            </w:pPr>
            <w:r>
              <w:rPr>
                <w:sz w:val="13"/>
                <w:szCs w:val="13"/>
                <w:color w:val="212529"/>
                <w:spacing w:val="4"/>
              </w:rPr>
              <w:t>44.</w:t>
            </w:r>
            <w:r>
              <w:rPr>
                <w:sz w:val="13"/>
                <w:szCs w:val="13"/>
                <w:color w:val="212529"/>
                <w:spacing w:val="12"/>
                <w:w w:val="102"/>
              </w:rPr>
              <w:t xml:space="preserve"> </w:t>
            </w:r>
            <w:r>
              <w:rPr>
                <w:sz w:val="13"/>
                <w:szCs w:val="13"/>
                <w:color w:val="212529"/>
                <w:spacing w:val="4"/>
              </w:rPr>
              <w:t>32</w:t>
            </w:r>
          </w:p>
        </w:tc>
        <w:tc>
          <w:tcPr>
            <w:tcW w:w="1388" w:type="dxa"/>
            <w:vAlign w:val="top"/>
          </w:tcPr>
          <w:p>
            <w:pPr>
              <w:pStyle w:val="TableText"/>
              <w:rPr/>
            </w:pPr>
            <w:r/>
          </w:p>
        </w:tc>
      </w:tr>
      <w:tr>
        <w:trPr>
          <w:trHeight w:val="314" w:hRule="atLeast"/>
        </w:trPr>
        <w:tc>
          <w:tcPr>
            <w:tcW w:w="180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53" w:type="dxa"/>
            <w:vAlign w:val="top"/>
          </w:tcPr>
          <w:p>
            <w:pPr>
              <w:ind w:left="2"/>
              <w:spacing w:before="85"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26" w:type="dxa"/>
            <w:vAlign w:val="top"/>
          </w:tcPr>
          <w:p>
            <w:pPr>
              <w:ind w:right="1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30.52</w:t>
            </w:r>
          </w:p>
        </w:tc>
        <w:tc>
          <w:tcPr>
            <w:tcW w:w="1382"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30.52</w:t>
            </w:r>
          </w:p>
        </w:tc>
        <w:tc>
          <w:tcPr>
            <w:tcW w:w="1388" w:type="dxa"/>
            <w:vAlign w:val="top"/>
          </w:tcPr>
          <w:p>
            <w:pPr>
              <w:pStyle w:val="TableText"/>
              <w:rPr/>
            </w:pPr>
            <w:r/>
          </w:p>
        </w:tc>
      </w:tr>
      <w:tr>
        <w:trPr>
          <w:trHeight w:val="314" w:hRule="atLeast"/>
        </w:trPr>
        <w:tc>
          <w:tcPr>
            <w:tcW w:w="1809"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53"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26" w:type="dxa"/>
            <w:vAlign w:val="top"/>
          </w:tcPr>
          <w:p>
            <w:pPr>
              <w:ind w:right="1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382"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388" w:type="dxa"/>
            <w:vAlign w:val="top"/>
          </w:tcPr>
          <w:p>
            <w:pPr>
              <w:pStyle w:val="TableText"/>
              <w:rPr/>
            </w:pPr>
            <w:r/>
          </w:p>
        </w:tc>
      </w:tr>
      <w:tr>
        <w:trPr>
          <w:trHeight w:val="314" w:hRule="atLeast"/>
        </w:trPr>
        <w:tc>
          <w:tcPr>
            <w:tcW w:w="1809"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53" w:type="dxa"/>
            <w:vAlign w:val="top"/>
          </w:tcPr>
          <w:p>
            <w:pPr>
              <w:ind w:left="3"/>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26" w:type="dxa"/>
            <w:vAlign w:val="top"/>
          </w:tcPr>
          <w:p>
            <w:pPr>
              <w:ind w:right="16"/>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82" w:type="dxa"/>
            <w:vAlign w:val="top"/>
          </w:tcPr>
          <w:p>
            <w:pPr>
              <w:pStyle w:val="TableText"/>
              <w:ind w:left="960"/>
              <w:spacing w:before="105" w:line="186" w:lineRule="auto"/>
              <w:rPr>
                <w:sz w:val="13"/>
                <w:szCs w:val="13"/>
              </w:rPr>
            </w:pPr>
            <w:r>
              <w:rPr>
                <w:sz w:val="13"/>
                <w:szCs w:val="13"/>
                <w:color w:val="212529"/>
                <w:spacing w:val="4"/>
              </w:rPr>
              <w:t>38.</w:t>
            </w:r>
            <w:r>
              <w:rPr>
                <w:sz w:val="13"/>
                <w:szCs w:val="13"/>
                <w:color w:val="212529"/>
                <w:spacing w:val="9"/>
              </w:rPr>
              <w:t xml:space="preserve"> </w:t>
            </w:r>
            <w:r>
              <w:rPr>
                <w:sz w:val="13"/>
                <w:szCs w:val="13"/>
                <w:color w:val="212529"/>
                <w:spacing w:val="4"/>
              </w:rPr>
              <w:t>95</w:t>
            </w:r>
          </w:p>
        </w:tc>
        <w:tc>
          <w:tcPr>
            <w:tcW w:w="1388" w:type="dxa"/>
            <w:vAlign w:val="top"/>
          </w:tcPr>
          <w:p>
            <w:pPr>
              <w:pStyle w:val="TableText"/>
              <w:rPr/>
            </w:pPr>
            <w:r/>
          </w:p>
        </w:tc>
      </w:tr>
      <w:tr>
        <w:trPr>
          <w:trHeight w:val="314" w:hRule="atLeast"/>
        </w:trPr>
        <w:tc>
          <w:tcPr>
            <w:tcW w:w="1809"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53" w:type="dxa"/>
            <w:vAlign w:val="top"/>
          </w:tcPr>
          <w:p>
            <w:pPr>
              <w:ind w:left="3"/>
              <w:spacing w:before="8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26" w:type="dxa"/>
            <w:vAlign w:val="top"/>
          </w:tcPr>
          <w:p>
            <w:pPr>
              <w:ind w:right="16"/>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82" w:type="dxa"/>
            <w:vAlign w:val="top"/>
          </w:tcPr>
          <w:p>
            <w:pPr>
              <w:pStyle w:val="TableText"/>
              <w:ind w:left="960"/>
              <w:spacing w:before="105" w:line="186" w:lineRule="auto"/>
              <w:rPr>
                <w:sz w:val="13"/>
                <w:szCs w:val="13"/>
              </w:rPr>
            </w:pPr>
            <w:r>
              <w:rPr>
                <w:sz w:val="13"/>
                <w:szCs w:val="13"/>
                <w:color w:val="212529"/>
                <w:spacing w:val="4"/>
              </w:rPr>
              <w:t>38.</w:t>
            </w:r>
            <w:r>
              <w:rPr>
                <w:sz w:val="13"/>
                <w:szCs w:val="13"/>
                <w:color w:val="212529"/>
                <w:spacing w:val="9"/>
              </w:rPr>
              <w:t xml:space="preserve"> </w:t>
            </w:r>
            <w:r>
              <w:rPr>
                <w:sz w:val="13"/>
                <w:szCs w:val="13"/>
                <w:color w:val="212529"/>
                <w:spacing w:val="4"/>
              </w:rPr>
              <w:t>95</w:t>
            </w:r>
          </w:p>
        </w:tc>
        <w:tc>
          <w:tcPr>
            <w:tcW w:w="1388" w:type="dxa"/>
            <w:vAlign w:val="top"/>
          </w:tcPr>
          <w:p>
            <w:pPr>
              <w:pStyle w:val="TableText"/>
              <w:rPr/>
            </w:pPr>
            <w:r/>
          </w:p>
        </w:tc>
      </w:tr>
      <w:tr>
        <w:trPr>
          <w:trHeight w:val="320" w:hRule="atLeast"/>
        </w:trPr>
        <w:tc>
          <w:tcPr>
            <w:tcW w:w="1809"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53" w:type="dxa"/>
            <w:vAlign w:val="top"/>
          </w:tcPr>
          <w:p>
            <w:pPr>
              <w:ind w:left="3"/>
              <w:spacing w:before="86"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26" w:type="dxa"/>
            <w:vAlign w:val="top"/>
          </w:tcPr>
          <w:p>
            <w:pPr>
              <w:ind w:right="16"/>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82" w:type="dxa"/>
            <w:vAlign w:val="top"/>
          </w:tcPr>
          <w:p>
            <w:pPr>
              <w:ind w:right="17"/>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88"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4" w:hRule="atLeast"/>
        </w:trPr>
        <w:tc>
          <w:tcPr>
            <w:tcW w:w="19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9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0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40" w:id="13"/>
            <w:bookmarkEnd w:id="13"/>
            <w:bookmarkStart w:name="bookmark9" w:id="14"/>
            <w:bookmarkEnd w:id="14"/>
            <w:r>
              <w:rPr>
                <w:rFonts w:ascii="Microsoft YaHei" w:hAnsi="Microsoft YaHei" w:eastAsia="Microsoft YaHei" w:cs="Microsoft YaHei"/>
                <w:sz w:val="20"/>
                <w:szCs w:val="20"/>
                <w:color w:val="212529"/>
                <w:spacing w:val="-5"/>
                <w:position w:val="-1"/>
              </w:rPr>
              <w:t>2026年财政拨款收支总表</w:t>
            </w:r>
          </w:p>
        </w:tc>
      </w:tr>
      <w:tr>
        <w:trPr>
          <w:trHeight w:val="379" w:hRule="atLeast"/>
        </w:trPr>
        <w:tc>
          <w:tcPr>
            <w:tcW w:w="8040"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1118" w:type="dxa"/>
            <w:vAlign w:val="top"/>
            <w:tcBorders>
              <w:top w:val="single" w:color="FFFFFF" w:sz="4" w:space="0"/>
              <w:left w:val="single" w:color="FFFFFF" w:sz="2" w:space="0"/>
              <w:right w:val="single" w:color="FFFFFF" w:sz="2" w:space="0"/>
            </w:tcBorders>
          </w:tcPr>
          <w:p>
            <w:pPr>
              <w:ind w:left="445"/>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86"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72" w:type="dxa"/>
            <w:vAlign w:val="top"/>
            <w:gridSpan w:val="5"/>
          </w:tcPr>
          <w:p>
            <w:pPr>
              <w:ind w:left="291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17" w:type="dxa"/>
            <w:vAlign w:val="top"/>
            <w:vMerge w:val="restart"/>
            <w:tcBorders>
              <w:bottom w:val="nil"/>
            </w:tcBorders>
          </w:tcPr>
          <w:p>
            <w:pPr>
              <w:ind w:left="78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69" w:type="dxa"/>
            <w:vAlign w:val="top"/>
            <w:vMerge w:val="restart"/>
            <w:tcBorders>
              <w:bottom w:val="nil"/>
            </w:tcBorders>
          </w:tcPr>
          <w:p>
            <w:pPr>
              <w:ind w:left="35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98" w:type="dxa"/>
            <w:vAlign w:val="top"/>
            <w:vMerge w:val="restart"/>
            <w:tcBorders>
              <w:bottom w:val="nil"/>
            </w:tcBorders>
          </w:tcPr>
          <w:p>
            <w:pPr>
              <w:ind w:left="82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74" w:type="dxa"/>
            <w:vAlign w:val="top"/>
            <w:gridSpan w:val="4"/>
          </w:tcPr>
          <w:p>
            <w:pPr>
              <w:ind w:left="191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17"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998" w:type="dxa"/>
            <w:vAlign w:val="top"/>
            <w:vMerge w:val="continue"/>
            <w:tcBorders>
              <w:top w:val="nil"/>
            </w:tcBorders>
          </w:tcPr>
          <w:p>
            <w:pPr>
              <w:pStyle w:val="TableText"/>
              <w:rPr/>
            </w:pPr>
            <w:r/>
          </w:p>
        </w:tc>
        <w:tc>
          <w:tcPr>
            <w:tcW w:w="1069" w:type="dxa"/>
            <w:vAlign w:val="top"/>
          </w:tcPr>
          <w:p>
            <w:pPr>
              <w:ind w:left="368"/>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01" w:type="dxa"/>
            <w:vAlign w:val="top"/>
          </w:tcPr>
          <w:p>
            <w:pPr>
              <w:ind w:left="5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86" w:type="dxa"/>
            <w:vAlign w:val="top"/>
          </w:tcPr>
          <w:p>
            <w:pPr>
              <w:ind w:left="273" w:right="3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118" w:type="dxa"/>
            <w:vAlign w:val="top"/>
          </w:tcPr>
          <w:p>
            <w:pPr>
              <w:ind w:left="386" w:right="77"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957.72</w:t>
            </w:r>
          </w:p>
        </w:tc>
        <w:tc>
          <w:tcPr>
            <w:tcW w:w="1998"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69" w:type="dxa"/>
            <w:vAlign w:val="top"/>
          </w:tcPr>
          <w:p>
            <w:pPr>
              <w:ind w:right="1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775.31</w:t>
            </w:r>
          </w:p>
        </w:tc>
        <w:tc>
          <w:tcPr>
            <w:tcW w:w="1101" w:type="dxa"/>
            <w:vAlign w:val="top"/>
          </w:tcPr>
          <w:p>
            <w:pPr>
              <w:ind w:right="1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775.31</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ind w:left="1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ind w:left="9"/>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2" w:right="41"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rPr>
              <w:t>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69"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1101"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69"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101"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69"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101"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1" w:right="4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spacing w:val="8"/>
              </w:rPr>
              <w:t>理支出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4" w:hRule="atLeast"/>
        </w:trPr>
        <w:tc>
          <w:tcPr>
            <w:tcW w:w="1917" w:type="dxa"/>
            <w:vAlign w:val="top"/>
          </w:tcPr>
          <w:p>
            <w:pPr>
              <w:ind w:left="46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69" w:type="dxa"/>
            <w:vAlign w:val="top"/>
          </w:tcPr>
          <w:p>
            <w:pPr>
              <w:pStyle w:val="TableText"/>
              <w:ind w:left="281"/>
              <w:spacing w:before="138" w:line="172" w:lineRule="auto"/>
              <w:rPr>
                <w:sz w:val="14"/>
                <w:szCs w:val="14"/>
              </w:rPr>
            </w:pPr>
            <w:r>
              <w:rPr>
                <w:sz w:val="14"/>
                <w:szCs w:val="14"/>
                <w:color w:val="212529"/>
              </w:rPr>
              <w:t>957.</w:t>
            </w:r>
            <w:r>
              <w:rPr>
                <w:sz w:val="14"/>
                <w:szCs w:val="14"/>
                <w:color w:val="212529"/>
                <w:spacing w:val="6"/>
              </w:rPr>
              <w:t xml:space="preserve"> </w:t>
            </w:r>
            <w:r>
              <w:rPr>
                <w:sz w:val="14"/>
                <w:szCs w:val="14"/>
                <w:color w:val="212529"/>
              </w:rPr>
              <w:t>72</w:t>
            </w:r>
          </w:p>
        </w:tc>
        <w:tc>
          <w:tcPr>
            <w:tcW w:w="1998" w:type="dxa"/>
            <w:vAlign w:val="top"/>
          </w:tcPr>
          <w:p>
            <w:pPr>
              <w:ind w:left="504"/>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69" w:type="dxa"/>
            <w:vAlign w:val="top"/>
          </w:tcPr>
          <w:p>
            <w:pPr>
              <w:pStyle w:val="TableText"/>
              <w:ind w:left="284"/>
              <w:spacing w:before="138" w:line="172" w:lineRule="auto"/>
              <w:rPr>
                <w:sz w:val="14"/>
                <w:szCs w:val="14"/>
              </w:rPr>
            </w:pPr>
            <w:r>
              <w:rPr>
                <w:sz w:val="14"/>
                <w:szCs w:val="14"/>
                <w:color w:val="212529"/>
              </w:rPr>
              <w:t>963.</w:t>
            </w:r>
            <w:r>
              <w:rPr>
                <w:sz w:val="14"/>
                <w:szCs w:val="14"/>
                <w:color w:val="212529"/>
                <w:spacing w:val="7"/>
              </w:rPr>
              <w:t xml:space="preserve"> </w:t>
            </w:r>
            <w:r>
              <w:rPr>
                <w:sz w:val="14"/>
                <w:szCs w:val="14"/>
                <w:color w:val="212529"/>
              </w:rPr>
              <w:t>87</w:t>
            </w:r>
          </w:p>
        </w:tc>
        <w:tc>
          <w:tcPr>
            <w:tcW w:w="1101" w:type="dxa"/>
            <w:vAlign w:val="top"/>
          </w:tcPr>
          <w:p>
            <w:pPr>
              <w:pStyle w:val="TableText"/>
              <w:ind w:left="304"/>
              <w:spacing w:before="138" w:line="172" w:lineRule="auto"/>
              <w:rPr>
                <w:sz w:val="14"/>
                <w:szCs w:val="14"/>
              </w:rPr>
            </w:pPr>
            <w:r>
              <w:rPr>
                <w:sz w:val="14"/>
                <w:szCs w:val="14"/>
                <w:color w:val="212529"/>
                <w:spacing w:val="1"/>
              </w:rPr>
              <w:t>963.</w:t>
            </w:r>
            <w:r>
              <w:rPr>
                <w:sz w:val="14"/>
                <w:szCs w:val="14"/>
                <w:color w:val="212529"/>
                <w:spacing w:val="1"/>
              </w:rPr>
              <w:t xml:space="preserve"> </w:t>
            </w:r>
            <w:r>
              <w:rPr>
                <w:sz w:val="14"/>
                <w:szCs w:val="14"/>
                <w:color w:val="212529"/>
                <w:spacing w:val="1"/>
              </w:rPr>
              <w:t>87</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3" w:hRule="atLeast"/>
        </w:trPr>
        <w:tc>
          <w:tcPr>
            <w:tcW w:w="1917" w:type="dxa"/>
            <w:vAlign w:val="top"/>
          </w:tcPr>
          <w:p>
            <w:pPr>
              <w:ind w:left="7"/>
              <w:spacing w:before="113" w:line="229" w:lineRule="auto"/>
              <w:rPr>
                <w:rFonts w:ascii="SimSun" w:hAnsi="SimSun" w:eastAsia="SimSun" w:cs="SimSun"/>
                <w:sz w:val="15"/>
                <w:szCs w:val="15"/>
              </w:rPr>
            </w:pPr>
            <w:bookmarkStart w:name="bookmark41" w:id="15"/>
            <w:bookmarkEnd w:id="15"/>
            <w:r>
              <w:rPr>
                <w:rFonts w:ascii="SimSun" w:hAnsi="SimSun" w:eastAsia="SimSun" w:cs="SimSun"/>
                <w:sz w:val="15"/>
                <w:szCs w:val="15"/>
                <w:color w:val="212529"/>
                <w:spacing w:val="10"/>
              </w:rPr>
              <w:t>上年财政拨款结转</w:t>
            </w:r>
          </w:p>
        </w:tc>
        <w:tc>
          <w:tcPr>
            <w:tcW w:w="1069"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3" w:hRule="atLeast"/>
        </w:trPr>
        <w:tc>
          <w:tcPr>
            <w:tcW w:w="1917" w:type="dxa"/>
            <w:vAlign w:val="top"/>
          </w:tcPr>
          <w:p>
            <w:pPr>
              <w:ind w:left="62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69" w:type="dxa"/>
            <w:vAlign w:val="top"/>
          </w:tcPr>
          <w:p>
            <w:pPr>
              <w:pStyle w:val="TableText"/>
              <w:ind w:left="281"/>
              <w:spacing w:before="136" w:line="172" w:lineRule="auto"/>
              <w:rPr>
                <w:sz w:val="14"/>
                <w:szCs w:val="14"/>
              </w:rPr>
            </w:pPr>
            <w:r>
              <w:rPr>
                <w:sz w:val="14"/>
                <w:szCs w:val="14"/>
                <w:color w:val="212529"/>
              </w:rPr>
              <w:t>963.</w:t>
            </w:r>
            <w:r>
              <w:rPr>
                <w:sz w:val="14"/>
                <w:szCs w:val="14"/>
                <w:color w:val="212529"/>
                <w:spacing w:val="7"/>
              </w:rPr>
              <w:t xml:space="preserve"> </w:t>
            </w:r>
            <w:r>
              <w:rPr>
                <w:sz w:val="14"/>
                <w:szCs w:val="14"/>
                <w:color w:val="212529"/>
              </w:rPr>
              <w:t>87</w:t>
            </w:r>
          </w:p>
        </w:tc>
        <w:tc>
          <w:tcPr>
            <w:tcW w:w="1998" w:type="dxa"/>
            <w:vAlign w:val="top"/>
          </w:tcPr>
          <w:p>
            <w:pPr>
              <w:ind w:left="665"/>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69" w:type="dxa"/>
            <w:vAlign w:val="top"/>
          </w:tcPr>
          <w:p>
            <w:pPr>
              <w:pStyle w:val="TableText"/>
              <w:ind w:left="284"/>
              <w:spacing w:before="136" w:line="172" w:lineRule="auto"/>
              <w:rPr>
                <w:sz w:val="14"/>
                <w:szCs w:val="14"/>
              </w:rPr>
            </w:pPr>
            <w:r>
              <w:rPr>
                <w:sz w:val="14"/>
                <w:szCs w:val="14"/>
                <w:color w:val="212529"/>
              </w:rPr>
              <w:t>963.</w:t>
            </w:r>
            <w:r>
              <w:rPr>
                <w:sz w:val="14"/>
                <w:szCs w:val="14"/>
                <w:color w:val="212529"/>
                <w:spacing w:val="7"/>
              </w:rPr>
              <w:t xml:space="preserve"> </w:t>
            </w:r>
            <w:r>
              <w:rPr>
                <w:sz w:val="14"/>
                <w:szCs w:val="14"/>
                <w:color w:val="212529"/>
              </w:rPr>
              <w:t>87</w:t>
            </w:r>
          </w:p>
        </w:tc>
        <w:tc>
          <w:tcPr>
            <w:tcW w:w="1101" w:type="dxa"/>
            <w:vAlign w:val="top"/>
          </w:tcPr>
          <w:p>
            <w:pPr>
              <w:pStyle w:val="TableText"/>
              <w:ind w:left="304"/>
              <w:spacing w:before="136" w:line="172" w:lineRule="auto"/>
              <w:rPr>
                <w:sz w:val="14"/>
                <w:szCs w:val="14"/>
              </w:rPr>
            </w:pPr>
            <w:r>
              <w:rPr>
                <w:sz w:val="14"/>
                <w:szCs w:val="14"/>
                <w:color w:val="212529"/>
                <w:spacing w:val="1"/>
              </w:rPr>
              <w:t>963.</w:t>
            </w:r>
            <w:r>
              <w:rPr>
                <w:sz w:val="14"/>
                <w:szCs w:val="14"/>
                <w:color w:val="212529"/>
                <w:spacing w:val="1"/>
              </w:rPr>
              <w:t xml:space="preserve"> </w:t>
            </w:r>
            <w:r>
              <w:rPr>
                <w:sz w:val="14"/>
                <w:szCs w:val="14"/>
                <w:color w:val="212529"/>
                <w:spacing w:val="1"/>
              </w:rPr>
              <w:t>87</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2" w:id="16"/>
            <w:bookmarkEnd w:id="16"/>
            <w:bookmarkStart w:name="bookmark10" w:id="17"/>
            <w:bookmarkEnd w:id="17"/>
            <w:r>
              <w:rPr>
                <w:rFonts w:ascii="Microsoft YaHei" w:hAnsi="Microsoft YaHei" w:eastAsia="Microsoft YaHei" w:cs="Microsoft YaHei"/>
                <w:sz w:val="20"/>
                <w:szCs w:val="20"/>
                <w:color w:val="212529"/>
                <w:position w:val="-1"/>
              </w:rPr>
              <w:t>2026年一般公共预算支出预算表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8"/>
              <w:spacing w:before="87" w:line="172" w:lineRule="auto"/>
              <w:rPr>
                <w:sz w:val="14"/>
                <w:szCs w:val="14"/>
              </w:rPr>
            </w:pPr>
            <w:r>
              <w:rPr>
                <w:sz w:val="14"/>
                <w:szCs w:val="14"/>
                <w:color w:val="212529"/>
              </w:rPr>
              <w:t>957.</w:t>
            </w:r>
            <w:r>
              <w:rPr>
                <w:sz w:val="14"/>
                <w:szCs w:val="14"/>
                <w:color w:val="212529"/>
                <w:spacing w:val="6"/>
              </w:rPr>
              <w:t xml:space="preserve"> </w:t>
            </w:r>
            <w:r>
              <w:rPr>
                <w:sz w:val="14"/>
                <w:szCs w:val="14"/>
                <w:color w:val="212529"/>
              </w:rPr>
              <w:t>72</w:t>
            </w:r>
          </w:p>
        </w:tc>
        <w:tc>
          <w:tcPr>
            <w:tcW w:w="1393" w:type="dxa"/>
            <w:vAlign w:val="top"/>
          </w:tcPr>
          <w:p>
            <w:pPr>
              <w:pStyle w:val="TableText"/>
              <w:ind w:left="890"/>
              <w:spacing w:before="87" w:line="186" w:lineRule="auto"/>
              <w:rPr>
                <w:sz w:val="13"/>
                <w:szCs w:val="13"/>
              </w:rPr>
            </w:pPr>
            <w:r>
              <w:rPr>
                <w:sz w:val="13"/>
                <w:szCs w:val="13"/>
                <w:color w:val="212529"/>
                <w:spacing w:val="3"/>
              </w:rPr>
              <w:t>542.</w:t>
            </w:r>
            <w:r>
              <w:rPr>
                <w:sz w:val="13"/>
                <w:szCs w:val="13"/>
                <w:color w:val="212529"/>
                <w:spacing w:val="13"/>
              </w:rPr>
              <w:t xml:space="preserve"> </w:t>
            </w:r>
            <w:r>
              <w:rPr>
                <w:sz w:val="13"/>
                <w:szCs w:val="13"/>
                <w:color w:val="212529"/>
                <w:spacing w:val="3"/>
              </w:rPr>
              <w:t>61</w:t>
            </w:r>
          </w:p>
        </w:tc>
        <w:tc>
          <w:tcPr>
            <w:tcW w:w="1453" w:type="dxa"/>
            <w:vAlign w:val="top"/>
          </w:tcPr>
          <w:p>
            <w:pPr>
              <w:pStyle w:val="TableText"/>
              <w:ind w:left="939"/>
              <w:spacing w:before="87" w:line="186" w:lineRule="auto"/>
              <w:rPr>
                <w:sz w:val="13"/>
                <w:szCs w:val="13"/>
              </w:rPr>
            </w:pPr>
            <w:r>
              <w:rPr>
                <w:sz w:val="13"/>
                <w:szCs w:val="13"/>
                <w:color w:val="212529"/>
                <w:spacing w:val="1"/>
              </w:rPr>
              <w:t>415.</w:t>
            </w:r>
            <w:r>
              <w:rPr>
                <w:sz w:val="13"/>
                <w:szCs w:val="13"/>
                <w:color w:val="212529"/>
                <w:spacing w:val="28"/>
                <w:w w:val="102"/>
              </w:rPr>
              <w:t xml:space="preserve"> </w:t>
            </w:r>
            <w:r>
              <w:rPr>
                <w:sz w:val="13"/>
                <w:szCs w:val="13"/>
                <w:color w:val="212529"/>
                <w:spacing w:val="1"/>
              </w:rPr>
              <w:t>11</w:t>
            </w:r>
          </w:p>
        </w:tc>
      </w:tr>
      <w:tr>
        <w:trPr>
          <w:trHeight w:val="292" w:hRule="atLeast"/>
        </w:trPr>
        <w:tc>
          <w:tcPr>
            <w:tcW w:w="1658"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21"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769.16</w:t>
            </w:r>
          </w:p>
        </w:tc>
        <w:tc>
          <w:tcPr>
            <w:tcW w:w="1393"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354.05</w:t>
            </w:r>
          </w:p>
        </w:tc>
        <w:tc>
          <w:tcPr>
            <w:tcW w:w="145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20138</w:t>
            </w:r>
          </w:p>
        </w:tc>
        <w:tc>
          <w:tcPr>
            <w:tcW w:w="3121"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市场监督管理事务</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766.16</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2013801</w:t>
            </w:r>
          </w:p>
        </w:tc>
        <w:tc>
          <w:tcPr>
            <w:tcW w:w="3121" w:type="dxa"/>
            <w:vAlign w:val="top"/>
          </w:tcPr>
          <w:p>
            <w:pPr>
              <w:ind w:left="7"/>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351.05</w:t>
            </w:r>
          </w:p>
        </w:tc>
        <w:tc>
          <w:tcPr>
            <w:tcW w:w="1453" w:type="dxa"/>
            <w:vAlign w:val="top"/>
          </w:tcPr>
          <w:p>
            <w:pPr>
              <w:pStyle w:val="TableText"/>
              <w:rPr/>
            </w:pPr>
            <w:r/>
          </w:p>
        </w:tc>
      </w:tr>
      <w:tr>
        <w:trPr>
          <w:trHeight w:val="293"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2013804</w:t>
            </w:r>
          </w:p>
        </w:tc>
        <w:tc>
          <w:tcPr>
            <w:tcW w:w="3121" w:type="dxa"/>
            <w:vAlign w:val="top"/>
          </w:tcPr>
          <w:p>
            <w:pPr>
              <w:ind w:left="8"/>
              <w:spacing w:before="71" w:line="229" w:lineRule="auto"/>
              <w:rPr>
                <w:rFonts w:ascii="SimSun" w:hAnsi="SimSun" w:eastAsia="SimSun" w:cs="SimSun"/>
                <w:sz w:val="15"/>
                <w:szCs w:val="15"/>
              </w:rPr>
            </w:pPr>
            <w:r>
              <w:rPr>
                <w:rFonts w:ascii="SimSun" w:hAnsi="SimSun" w:eastAsia="SimSun" w:cs="SimSun"/>
                <w:sz w:val="15"/>
                <w:szCs w:val="15"/>
                <w:color w:val="212529"/>
                <w:spacing w:val="10"/>
              </w:rPr>
              <w:t>经营主体管理</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93"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2013805</w:t>
            </w:r>
          </w:p>
        </w:tc>
        <w:tc>
          <w:tcPr>
            <w:tcW w:w="3121"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市场秩序执法</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c>
          <w:tcPr>
            <w:tcW w:w="1393"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w:t>
            </w:r>
          </w:p>
        </w:tc>
      </w:tr>
      <w:tr>
        <w:trPr>
          <w:trHeight w:val="292"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2013810</w:t>
            </w:r>
          </w:p>
        </w:tc>
        <w:tc>
          <w:tcPr>
            <w:tcW w:w="3121" w:type="dxa"/>
            <w:vAlign w:val="top"/>
          </w:tcPr>
          <w:p>
            <w:pPr>
              <w:ind w:left="6"/>
              <w:spacing w:before="70" w:line="230" w:lineRule="auto"/>
              <w:rPr>
                <w:rFonts w:ascii="SimSun" w:hAnsi="SimSun" w:eastAsia="SimSun" w:cs="SimSun"/>
                <w:sz w:val="15"/>
                <w:szCs w:val="15"/>
              </w:rPr>
            </w:pPr>
            <w:r>
              <w:rPr>
                <w:rFonts w:ascii="SimSun" w:hAnsi="SimSun" w:eastAsia="SimSun" w:cs="SimSun"/>
                <w:sz w:val="15"/>
                <w:szCs w:val="15"/>
                <w:color w:val="212529"/>
                <w:spacing w:val="9"/>
              </w:rPr>
              <w:t>质量基础</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93"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3"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2013812</w:t>
            </w:r>
          </w:p>
        </w:tc>
        <w:tc>
          <w:tcPr>
            <w:tcW w:w="3121"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9"/>
              </w:rPr>
              <w:t>药品事务</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93"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3"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2013815</w:t>
            </w:r>
          </w:p>
        </w:tc>
        <w:tc>
          <w:tcPr>
            <w:tcW w:w="3121"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10"/>
              </w:rPr>
              <w:t>质量安全监管</w:t>
            </w:r>
          </w:p>
        </w:tc>
        <w:tc>
          <w:tcPr>
            <w:tcW w:w="1533" w:type="dxa"/>
            <w:vAlign w:val="top"/>
          </w:tcPr>
          <w:p>
            <w:pPr>
              <w:ind w:right="26"/>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93" w:type="dxa"/>
            <w:vAlign w:val="top"/>
          </w:tcPr>
          <w:p>
            <w:pPr>
              <w:pStyle w:val="TableText"/>
              <w:rPr/>
            </w:pPr>
            <w:r/>
          </w:p>
        </w:tc>
        <w:tc>
          <w:tcPr>
            <w:tcW w:w="1453" w:type="dxa"/>
            <w:vAlign w:val="top"/>
          </w:tcPr>
          <w:p>
            <w:pPr>
              <w:ind w:right="24"/>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2013816</w:t>
            </w:r>
          </w:p>
        </w:tc>
        <w:tc>
          <w:tcPr>
            <w:tcW w:w="3121"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0"/>
              </w:rPr>
              <w:t>食品安全监管</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c>
          <w:tcPr>
            <w:tcW w:w="1393"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2013899</w:t>
            </w:r>
          </w:p>
        </w:tc>
        <w:tc>
          <w:tcPr>
            <w:tcW w:w="3121" w:type="dxa"/>
            <w:vAlign w:val="top"/>
          </w:tcPr>
          <w:p>
            <w:pPr>
              <w:ind w:left="6"/>
              <w:spacing w:before="70" w:line="229" w:lineRule="auto"/>
              <w:rPr>
                <w:rFonts w:ascii="SimSun" w:hAnsi="SimSun" w:eastAsia="SimSun" w:cs="SimSun"/>
                <w:sz w:val="15"/>
                <w:szCs w:val="15"/>
              </w:rPr>
            </w:pPr>
            <w:r>
              <w:rPr>
                <w:rFonts w:ascii="SimSun" w:hAnsi="SimSun" w:eastAsia="SimSun" w:cs="SimSun"/>
                <w:sz w:val="15"/>
                <w:szCs w:val="15"/>
                <w:color w:val="212529"/>
                <w:spacing w:val="11"/>
              </w:rPr>
              <w:t>其他市场监督管理事务</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334.11</w:t>
            </w:r>
          </w:p>
        </w:tc>
        <w:tc>
          <w:tcPr>
            <w:tcW w:w="1393"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334.11</w:t>
            </w:r>
          </w:p>
        </w:tc>
      </w:tr>
      <w:tr>
        <w:trPr>
          <w:trHeight w:val="293"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20139</w:t>
            </w:r>
          </w:p>
        </w:tc>
        <w:tc>
          <w:tcPr>
            <w:tcW w:w="3121" w:type="dxa"/>
            <w:vAlign w:val="top"/>
          </w:tcPr>
          <w:p>
            <w:pPr>
              <w:ind w:left="8"/>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社会工作事务</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453" w:type="dxa"/>
            <w:vAlign w:val="top"/>
          </w:tcPr>
          <w:p>
            <w:pPr>
              <w:pStyle w:val="TableText"/>
              <w:rPr/>
            </w:pPr>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2013901</w:t>
            </w:r>
          </w:p>
        </w:tc>
        <w:tc>
          <w:tcPr>
            <w:tcW w:w="3121" w:type="dxa"/>
            <w:vAlign w:val="top"/>
          </w:tcPr>
          <w:p>
            <w:pPr>
              <w:ind w:left="7"/>
              <w:spacing w:before="69"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453" w:type="dxa"/>
            <w:vAlign w:val="top"/>
          </w:tcPr>
          <w:p>
            <w:pPr>
              <w:pStyle w:val="TableText"/>
              <w:rPr/>
            </w:pPr>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105.29</w:t>
            </w:r>
          </w:p>
        </w:tc>
        <w:tc>
          <w:tcPr>
            <w:tcW w:w="1453" w:type="dxa"/>
            <w:vAlign w:val="top"/>
          </w:tcPr>
          <w:p>
            <w:pPr>
              <w:pStyle w:val="TableText"/>
              <w:rPr/>
            </w:pPr>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99.88</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99.88</w:t>
            </w:r>
          </w:p>
        </w:tc>
        <w:tc>
          <w:tcPr>
            <w:tcW w:w="1453" w:type="dxa"/>
            <w:vAlign w:val="top"/>
          </w:tcPr>
          <w:p>
            <w:pPr>
              <w:pStyle w:val="TableText"/>
              <w:rPr/>
            </w:pPr>
            <w:r/>
          </w:p>
        </w:tc>
      </w:tr>
      <w:tr>
        <w:trPr>
          <w:trHeight w:val="293"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21" w:type="dxa"/>
            <w:vAlign w:val="top"/>
          </w:tcPr>
          <w:p>
            <w:pPr>
              <w:ind w:left="7"/>
              <w:spacing w:before="71"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31.83</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31.83</w:t>
            </w:r>
          </w:p>
        </w:tc>
        <w:tc>
          <w:tcPr>
            <w:tcW w:w="1453" w:type="dxa"/>
            <w:vAlign w:val="top"/>
          </w:tcPr>
          <w:p>
            <w:pPr>
              <w:pStyle w:val="TableText"/>
              <w:rPr/>
            </w:pPr>
            <w:r/>
          </w:p>
        </w:tc>
      </w:tr>
      <w:tr>
        <w:trPr>
          <w:trHeight w:val="293"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21" w:type="dxa"/>
            <w:vAlign w:val="top"/>
          </w:tcPr>
          <w:p>
            <w:pPr>
              <w:ind w:left="6"/>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453" w:type="dxa"/>
            <w:vAlign w:val="top"/>
          </w:tcPr>
          <w:p>
            <w:pPr>
              <w:pStyle w:val="TableText"/>
              <w:rPr/>
            </w:pPr>
            <w:r/>
          </w:p>
        </w:tc>
      </w:tr>
      <w:tr>
        <w:trPr>
          <w:trHeight w:val="292" w:hRule="atLeast"/>
        </w:trPr>
        <w:tc>
          <w:tcPr>
            <w:tcW w:w="1658"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121" w:type="dxa"/>
            <w:vAlign w:val="top"/>
          </w:tcPr>
          <w:p>
            <w:pPr>
              <w:ind w:left="6"/>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453" w:type="dxa"/>
            <w:vAlign w:val="top"/>
          </w:tcPr>
          <w:p>
            <w:pPr>
              <w:pStyle w:val="TableText"/>
              <w:rPr/>
            </w:pPr>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121" w:type="dxa"/>
            <w:vAlign w:val="top"/>
          </w:tcPr>
          <w:p>
            <w:pPr>
              <w:ind w:left="6"/>
              <w:spacing w:before="71"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453" w:type="dxa"/>
            <w:vAlign w:val="top"/>
          </w:tcPr>
          <w:p>
            <w:pPr>
              <w:pStyle w:val="TableText"/>
              <w:rPr/>
            </w:pPr>
            <w:r/>
          </w:p>
        </w:tc>
      </w:tr>
      <w:tr>
        <w:trPr>
          <w:trHeight w:val="293" w:hRule="atLeast"/>
        </w:trPr>
        <w:tc>
          <w:tcPr>
            <w:tcW w:w="1658"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121" w:type="dxa"/>
            <w:vAlign w:val="top"/>
          </w:tcPr>
          <w:p>
            <w:pPr>
              <w:ind w:left="6"/>
              <w:spacing w:before="71"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533" w:type="dxa"/>
            <w:vAlign w:val="top"/>
          </w:tcPr>
          <w:p>
            <w:pPr>
              <w:ind w:right="26"/>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393" w:type="dxa"/>
            <w:vAlign w:val="top"/>
          </w:tcPr>
          <w:p>
            <w:pPr>
              <w:ind w:right="16"/>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4.78</w:t>
            </w:r>
          </w:p>
        </w:tc>
        <w:tc>
          <w:tcPr>
            <w:tcW w:w="1453" w:type="dxa"/>
            <w:vAlign w:val="top"/>
          </w:tcPr>
          <w:p>
            <w:pPr>
              <w:pStyle w:val="TableText"/>
              <w:rPr/>
            </w:pPr>
            <w:r/>
          </w:p>
        </w:tc>
      </w:tr>
      <w:tr>
        <w:trPr>
          <w:trHeight w:val="292" w:hRule="atLeast"/>
        </w:trPr>
        <w:tc>
          <w:tcPr>
            <w:tcW w:w="1658"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121" w:type="dxa"/>
            <w:vAlign w:val="top"/>
          </w:tcPr>
          <w:p>
            <w:pPr>
              <w:ind w:left="6"/>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453" w:type="dxa"/>
            <w:vAlign w:val="top"/>
          </w:tcPr>
          <w:p>
            <w:pPr>
              <w:pStyle w:val="TableText"/>
              <w:rPr/>
            </w:pPr>
            <w:r/>
          </w:p>
        </w:tc>
      </w:tr>
      <w:tr>
        <w:trPr>
          <w:trHeight w:val="292" w:hRule="atLeast"/>
        </w:trPr>
        <w:tc>
          <w:tcPr>
            <w:tcW w:w="1658"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121" w:type="dxa"/>
            <w:vAlign w:val="top"/>
          </w:tcPr>
          <w:p>
            <w:pPr>
              <w:ind w:left="6"/>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453" w:type="dxa"/>
            <w:vAlign w:val="top"/>
          </w:tcPr>
          <w:p>
            <w:pPr>
              <w:pStyle w:val="TableText"/>
              <w:rPr/>
            </w:pPr>
            <w:r/>
          </w:p>
        </w:tc>
      </w:tr>
      <w:tr>
        <w:trPr>
          <w:trHeight w:val="293" w:hRule="atLeast"/>
        </w:trPr>
        <w:tc>
          <w:tcPr>
            <w:tcW w:w="1658"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21" w:type="dxa"/>
            <w:vAlign w:val="top"/>
          </w:tcPr>
          <w:p>
            <w:pPr>
              <w:ind w:left="8"/>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453" w:type="dxa"/>
            <w:vAlign w:val="top"/>
          </w:tcPr>
          <w:p>
            <w:pPr>
              <w:pStyle w:val="TableText"/>
              <w:rPr/>
            </w:pPr>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21" w:type="dxa"/>
            <w:vAlign w:val="top"/>
          </w:tcPr>
          <w:p>
            <w:pPr>
              <w:ind w:left="7"/>
              <w:spacing w:before="7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44.32</w:t>
            </w:r>
          </w:p>
        </w:tc>
        <w:tc>
          <w:tcPr>
            <w:tcW w:w="1453" w:type="dxa"/>
            <w:vAlign w:val="top"/>
          </w:tcPr>
          <w:p>
            <w:pPr>
              <w:pStyle w:val="TableText"/>
              <w:rPr/>
            </w:pPr>
            <w:r/>
          </w:p>
        </w:tc>
      </w:tr>
      <w:tr>
        <w:trPr>
          <w:trHeight w:val="292" w:hRule="atLeast"/>
        </w:trPr>
        <w:tc>
          <w:tcPr>
            <w:tcW w:w="1658"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21" w:type="dxa"/>
            <w:vAlign w:val="top"/>
          </w:tcPr>
          <w:p>
            <w:pPr>
              <w:ind w:left="7"/>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30.52</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30.52</w:t>
            </w:r>
          </w:p>
        </w:tc>
        <w:tc>
          <w:tcPr>
            <w:tcW w:w="1453" w:type="dxa"/>
            <w:vAlign w:val="top"/>
          </w:tcPr>
          <w:p>
            <w:pPr>
              <w:pStyle w:val="TableText"/>
              <w:rPr/>
            </w:pPr>
            <w:r/>
          </w:p>
        </w:tc>
      </w:tr>
      <w:tr>
        <w:trPr>
          <w:trHeight w:val="293"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21" w:type="dxa"/>
            <w:vAlign w:val="top"/>
          </w:tcPr>
          <w:p>
            <w:pPr>
              <w:ind w:left="12"/>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93"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453" w:type="dxa"/>
            <w:vAlign w:val="top"/>
          </w:tcPr>
          <w:p>
            <w:pPr>
              <w:pStyle w:val="TableText"/>
              <w:rPr/>
            </w:pPr>
            <w:r/>
          </w:p>
        </w:tc>
      </w:tr>
      <w:tr>
        <w:trPr>
          <w:trHeight w:val="298"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453"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3"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2026年一般公共预算安排基本支出分经济科目表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86" w:lineRule="auto"/>
              <w:rPr>
                <w:sz w:val="13"/>
                <w:szCs w:val="13"/>
              </w:rPr>
            </w:pPr>
            <w:r>
              <w:rPr>
                <w:sz w:val="13"/>
                <w:szCs w:val="13"/>
                <w:color w:val="212529"/>
                <w:spacing w:val="3"/>
              </w:rPr>
              <w:t>542.</w:t>
            </w:r>
            <w:r>
              <w:rPr>
                <w:sz w:val="13"/>
                <w:szCs w:val="13"/>
                <w:color w:val="212529"/>
                <w:spacing w:val="13"/>
              </w:rPr>
              <w:t xml:space="preserve"> </w:t>
            </w:r>
            <w:r>
              <w:rPr>
                <w:sz w:val="13"/>
                <w:szCs w:val="13"/>
                <w:color w:val="212529"/>
                <w:spacing w:val="3"/>
              </w:rPr>
              <w:t>61</w:t>
            </w:r>
          </w:p>
        </w:tc>
        <w:tc>
          <w:tcPr>
            <w:tcW w:w="1188" w:type="dxa"/>
            <w:vAlign w:val="top"/>
          </w:tcPr>
          <w:p>
            <w:pPr>
              <w:pStyle w:val="TableText"/>
              <w:ind w:right="15"/>
              <w:spacing w:before="87" w:line="186" w:lineRule="auto"/>
              <w:jc w:val="right"/>
              <w:rPr>
                <w:sz w:val="13"/>
                <w:szCs w:val="13"/>
              </w:rPr>
            </w:pPr>
            <w:r>
              <w:rPr>
                <w:sz w:val="13"/>
                <w:szCs w:val="13"/>
                <w:color w:val="212529"/>
                <w:spacing w:val="3"/>
              </w:rPr>
              <w:t>496.</w:t>
            </w:r>
            <w:r>
              <w:rPr>
                <w:sz w:val="13"/>
                <w:szCs w:val="13"/>
                <w:color w:val="212529"/>
                <w:spacing w:val="27"/>
                <w:w w:val="101"/>
              </w:rPr>
              <w:t xml:space="preserve"> </w:t>
            </w:r>
            <w:r>
              <w:rPr>
                <w:sz w:val="13"/>
                <w:szCs w:val="13"/>
                <w:color w:val="212529"/>
                <w:spacing w:val="3"/>
              </w:rPr>
              <w:t>14</w:t>
            </w:r>
          </w:p>
        </w:tc>
        <w:tc>
          <w:tcPr>
            <w:tcW w:w="1118" w:type="dxa"/>
            <w:vAlign w:val="top"/>
          </w:tcPr>
          <w:p>
            <w:pPr>
              <w:pStyle w:val="TableText"/>
              <w:ind w:left="687"/>
              <w:spacing w:before="87" w:line="186" w:lineRule="auto"/>
              <w:rPr>
                <w:sz w:val="13"/>
                <w:szCs w:val="13"/>
              </w:rPr>
            </w:pPr>
            <w:r>
              <w:rPr>
                <w:sz w:val="13"/>
                <w:szCs w:val="13"/>
                <w:color w:val="212529"/>
                <w:spacing w:val="4"/>
              </w:rPr>
              <w:t>46.</w:t>
            </w:r>
            <w:r>
              <w:rPr>
                <w:sz w:val="13"/>
                <w:szCs w:val="13"/>
                <w:color w:val="212529"/>
                <w:spacing w:val="12"/>
                <w:w w:val="102"/>
              </w:rPr>
              <w:t xml:space="preserve"> </w:t>
            </w:r>
            <w:r>
              <w:rPr>
                <w:sz w:val="13"/>
                <w:szCs w:val="13"/>
                <w:color w:val="212529"/>
                <w:spacing w:val="4"/>
              </w:rPr>
              <w:t>47</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464.11</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464.11</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145.98</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145.98</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81.50</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81.50</w:t>
            </w:r>
          </w:p>
        </w:tc>
        <w:tc>
          <w:tcPr>
            <w:tcW w:w="1118" w:type="dxa"/>
            <w:vAlign w:val="top"/>
          </w:tcPr>
          <w:p>
            <w:pPr>
              <w:pStyle w:val="TableText"/>
              <w:rPr/>
            </w:pPr>
            <w:r/>
          </w:p>
        </w:tc>
      </w:tr>
      <w:tr>
        <w:trPr>
          <w:trHeight w:val="292" w:hRule="atLeast"/>
        </w:trPr>
        <w:tc>
          <w:tcPr>
            <w:tcW w:w="3310"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64.64</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64.64</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50.19</w:t>
            </w:r>
          </w:p>
        </w:tc>
        <w:tc>
          <w:tcPr>
            <w:tcW w:w="1118" w:type="dxa"/>
            <w:vAlign w:val="top"/>
          </w:tcPr>
          <w:p>
            <w:pPr>
              <w:pStyle w:val="TableText"/>
              <w:rPr/>
            </w:pPr>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17.86</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30.03</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30.03</w:t>
            </w:r>
          </w:p>
        </w:tc>
        <w:tc>
          <w:tcPr>
            <w:tcW w:w="1118" w:type="dxa"/>
            <w:vAlign w:val="top"/>
          </w:tcPr>
          <w:p>
            <w:pPr>
              <w:pStyle w:val="TableText"/>
              <w:rPr/>
            </w:pPr>
            <w:r/>
          </w:p>
        </w:tc>
      </w:tr>
      <w:tr>
        <w:trPr>
          <w:trHeight w:val="293" w:hRule="atLeast"/>
        </w:trPr>
        <w:tc>
          <w:tcPr>
            <w:tcW w:w="3310"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188" w:type="dxa"/>
            <w:vAlign w:val="top"/>
          </w:tcPr>
          <w:p>
            <w:pPr>
              <w:ind w:right="16"/>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13.80</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0.98</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0.98</w:t>
            </w:r>
          </w:p>
        </w:tc>
        <w:tc>
          <w:tcPr>
            <w:tcW w:w="1118" w:type="dxa"/>
            <w:vAlign w:val="top"/>
          </w:tcPr>
          <w:p>
            <w:pPr>
              <w:pStyle w:val="TableText"/>
              <w:rPr/>
            </w:pPr>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38.95</w:t>
            </w:r>
          </w:p>
        </w:tc>
        <w:tc>
          <w:tcPr>
            <w:tcW w:w="1118" w:type="dxa"/>
            <w:vAlign w:val="top"/>
          </w:tcPr>
          <w:p>
            <w:pPr>
              <w:pStyle w:val="TableText"/>
              <w:rPr/>
            </w:pPr>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20.17</w:t>
            </w:r>
          </w:p>
        </w:tc>
        <w:tc>
          <w:tcPr>
            <w:tcW w:w="1118" w:type="dxa"/>
            <w:vAlign w:val="top"/>
          </w:tcPr>
          <w:p>
            <w:pPr>
              <w:pStyle w:val="TableText"/>
              <w:rPr/>
            </w:pPr>
            <w:r/>
          </w:p>
        </w:tc>
      </w:tr>
      <w:tr>
        <w:trPr>
          <w:trHeight w:val="292" w:hRule="atLeast"/>
        </w:trPr>
        <w:tc>
          <w:tcPr>
            <w:tcW w:w="3310"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r>
      <w:tr>
        <w:trPr>
          <w:trHeight w:val="293" w:hRule="atLeast"/>
        </w:trPr>
        <w:tc>
          <w:tcPr>
            <w:tcW w:w="3310"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310"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3" w:hRule="atLeast"/>
        </w:trPr>
        <w:tc>
          <w:tcPr>
            <w:tcW w:w="3310"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3" w:hRule="atLeast"/>
        </w:trPr>
        <w:tc>
          <w:tcPr>
            <w:tcW w:w="3310" w:type="dxa"/>
            <w:vAlign w:val="top"/>
          </w:tcPr>
          <w:p>
            <w:pPr>
              <w:ind w:left="333"/>
              <w:spacing w:before="72"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2"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2278" w:type="dxa"/>
            <w:vAlign w:val="top"/>
          </w:tcPr>
          <w:p>
            <w:pPr>
              <w:ind w:left="326"/>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r>
      <w:tr>
        <w:trPr>
          <w:trHeight w:val="292" w:hRule="atLeast"/>
        </w:trPr>
        <w:tc>
          <w:tcPr>
            <w:tcW w:w="331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2278" w:type="dxa"/>
            <w:vAlign w:val="top"/>
          </w:tcPr>
          <w:p>
            <w:pPr>
              <w:ind w:left="325"/>
              <w:spacing w:before="73"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3" w:hRule="atLeast"/>
        </w:trPr>
        <w:tc>
          <w:tcPr>
            <w:tcW w:w="3310"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2"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21.39</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21.39</w:t>
            </w:r>
          </w:p>
        </w:tc>
      </w:tr>
      <w:tr>
        <w:trPr>
          <w:trHeight w:val="292" w:hRule="atLeast"/>
        </w:trPr>
        <w:tc>
          <w:tcPr>
            <w:tcW w:w="331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5"/>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6.98</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6.98</w:t>
            </w:r>
          </w:p>
        </w:tc>
      </w:tr>
      <w:tr>
        <w:trPr>
          <w:trHeight w:val="293"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32.03</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32.03</w:t>
            </w:r>
          </w:p>
        </w:tc>
        <w:tc>
          <w:tcPr>
            <w:tcW w:w="1118" w:type="dxa"/>
            <w:vAlign w:val="top"/>
          </w:tcPr>
          <w:p>
            <w:pPr>
              <w:pStyle w:val="TableText"/>
              <w:rPr/>
            </w:pPr>
            <w:r/>
          </w:p>
        </w:tc>
      </w:tr>
      <w:tr>
        <w:trPr>
          <w:trHeight w:val="292" w:hRule="atLeast"/>
        </w:trPr>
        <w:tc>
          <w:tcPr>
            <w:tcW w:w="3310"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31.97</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31.97</w:t>
            </w:r>
          </w:p>
        </w:tc>
        <w:tc>
          <w:tcPr>
            <w:tcW w:w="1118" w:type="dxa"/>
            <w:vAlign w:val="top"/>
          </w:tcPr>
          <w:p>
            <w:pPr>
              <w:pStyle w:val="TableText"/>
              <w:rPr/>
            </w:pPr>
            <w:r/>
          </w:p>
        </w:tc>
      </w:tr>
      <w:tr>
        <w:trPr>
          <w:trHeight w:val="298" w:hRule="atLeast"/>
        </w:trPr>
        <w:tc>
          <w:tcPr>
            <w:tcW w:w="3310"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278" w:type="dxa"/>
            <w:vAlign w:val="top"/>
          </w:tcPr>
          <w:p>
            <w:pPr>
              <w:ind w:left="327"/>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0.06</w:t>
            </w:r>
          </w:p>
        </w:tc>
        <w:tc>
          <w:tcPr>
            <w:tcW w:w="1118" w:type="dxa"/>
            <w:vAlign w:val="top"/>
          </w:tcPr>
          <w:p>
            <w:pPr>
              <w:pStyle w:val="TableText"/>
              <w:rPr/>
            </w:pPr>
            <w:r/>
          </w:p>
        </w:tc>
      </w:tr>
    </w:tbl>
    <w:p>
      <w:pPr>
        <w:pStyle w:val="BodyText"/>
        <w:rPr/>
      </w:pPr>
      <w:r/>
    </w:p>
    <w:p>
      <w:pPr>
        <w:sectPr>
          <w:headerReference w:type="default" r:id="rId22"/>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ind w:left="122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2"/>
            <w:bookmarkEnd w:id="22"/>
            <w:bookmarkStart w:name="bookmark13" w:id="23"/>
            <w:bookmarkEnd w:id="23"/>
            <w:r>
              <w:rPr>
                <w:rFonts w:ascii="Microsoft YaHei" w:hAnsi="Microsoft YaHei" w:eastAsia="Microsoft YaHei" w:cs="Microsoft YaHei"/>
                <w:sz w:val="20"/>
                <w:szCs w:val="20"/>
                <w:color w:val="212529"/>
                <w:position w:val="-1"/>
              </w:rPr>
              <w:t>2026年政府性基金预算收入表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8"/>
          <w:footerReference w:type="default" r:id="rId24"/>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44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5" w:id="24"/>
            <w:bookmarkEnd w:id="24"/>
            <w:bookmarkStart w:name="bookmark14" w:id="25"/>
            <w:bookmarkEnd w:id="25"/>
            <w:r>
              <w:rPr>
                <w:rFonts w:ascii="Microsoft YaHei" w:hAnsi="Microsoft YaHei" w:eastAsia="Microsoft YaHei" w:cs="Microsoft YaHei"/>
                <w:sz w:val="20"/>
                <w:szCs w:val="20"/>
                <w:color w:val="212529"/>
                <w:position w:val="-1"/>
              </w:rPr>
              <w:t>2026年政府性基金预算支出表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5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8" w:type="dxa"/>
            <w:vAlign w:val="top"/>
            <w:tcBorders>
              <w:bottom w:val="single" w:color="FFFFFF" w:sz="4" w:space="0"/>
              <w:top w:val="single" w:color="FFFFFF" w:sz="4" w:space="0"/>
              <w:left w:val="single" w:color="FFFFFF" w:sz="2" w:space="0"/>
              <w:right w:val="single" w:color="FFFFFF" w:sz="2" w:space="0"/>
            </w:tcBorders>
          </w:tcPr>
          <w:p>
            <w:pPr>
              <w:ind w:left="251"/>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outlineLvl w:val="0"/>
              <w:rPr>
                <w:rFonts w:ascii="Microsoft YaHei" w:hAnsi="Microsoft YaHei" w:eastAsia="Microsoft YaHei" w:cs="Microsoft YaHei"/>
                <w:sz w:val="20"/>
                <w:szCs w:val="20"/>
              </w:rPr>
            </w:pPr>
            <w:bookmarkStart w:name="bookmark15" w:id="26"/>
            <w:bookmarkEnd w:id="26"/>
            <w:r>
              <w:rPr>
                <w:rFonts w:ascii="Microsoft YaHei" w:hAnsi="Microsoft YaHei" w:eastAsia="Microsoft YaHei" w:cs="Microsoft YaHei"/>
                <w:sz w:val="20"/>
                <w:szCs w:val="20"/>
                <w:color w:val="212529"/>
                <w:position w:val="-1"/>
              </w:rPr>
              <w:t>2026年国有资本经营预算收支预算表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170"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988" w:type="dxa"/>
            <w:vAlign w:val="top"/>
            <w:tcBorders>
              <w:top w:val="single" w:color="FFFFFF" w:sz="4" w:space="0"/>
              <w:left w:val="single" w:color="FFFFFF" w:sz="2" w:space="0"/>
              <w:right w:val="single" w:color="FFFFFF" w:sz="2" w:space="0"/>
            </w:tcBorders>
          </w:tcPr>
          <w:p>
            <w:pPr>
              <w:ind w:left="315"/>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20"/>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99" w:type="dxa"/>
            <w:vAlign w:val="top"/>
            <w:gridSpan w:val="2"/>
          </w:tcPr>
          <w:p>
            <w:pPr>
              <w:ind w:left="1273"/>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58" w:right="77" w:firstLine="15"/>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pStyle w:val="TableText"/>
              <w:rPr/>
            </w:pPr>
            <w:r/>
          </w:p>
          <w:p>
            <w:pPr>
              <w:ind w:left="14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pStyle w:val="TableText"/>
              <w:spacing w:line="241" w:lineRule="auto"/>
              <w:rPr/>
            </w:pPr>
            <w:r/>
          </w:p>
          <w:p>
            <w:pPr>
              <w:ind w:left="32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pStyle w:val="TableText"/>
              <w:rPr/>
            </w:pPr>
            <w:r/>
          </w:p>
          <w:p>
            <w:pPr>
              <w:ind w:left="1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39" w:type="dxa"/>
            <w:vAlign w:val="top"/>
          </w:tcPr>
          <w:p>
            <w:pPr>
              <w:ind w:left="73"/>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8" w:hRule="atLeast"/>
        </w:trPr>
        <w:tc>
          <w:tcPr>
            <w:tcW w:w="2899" w:type="dxa"/>
            <w:vAlign w:val="top"/>
            <w:gridSpan w:val="2"/>
          </w:tcPr>
          <w:p>
            <w:pPr>
              <w:ind w:left="1275"/>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78"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48"/>
        <w:gridCol w:w="1490"/>
        <w:gridCol w:w="1404"/>
        <w:gridCol w:w="1328"/>
        <w:gridCol w:w="1388"/>
      </w:tblGrid>
      <w:tr>
        <w:trPr>
          <w:trHeight w:val="384" w:hRule="atLeast"/>
        </w:trPr>
        <w:tc>
          <w:tcPr>
            <w:tcW w:w="35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8" w:type="dxa"/>
            <w:vAlign w:val="top"/>
            <w:tcBorders>
              <w:bottom w:val="single" w:color="FFFFFF" w:sz="4" w:space="0"/>
              <w:top w:val="single" w:color="FFFFFF" w:sz="4" w:space="0"/>
              <w:left w:val="single" w:color="FFFFFF" w:sz="2" w:space="0"/>
              <w:right w:val="single" w:color="FFFFFF" w:sz="2" w:space="0"/>
            </w:tcBorders>
          </w:tcPr>
          <w:p>
            <w:pPr>
              <w:ind w:left="58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2026年财政拨款安排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442"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388" w:type="dxa"/>
            <w:vAlign w:val="top"/>
            <w:tcBorders>
              <w:top w:val="single" w:color="FFFFFF" w:sz="4" w:space="0"/>
              <w:left w:val="single" w:color="FFFFFF" w:sz="2" w:space="0"/>
              <w:right w:val="single" w:color="FFFFFF" w:sz="2" w:space="0"/>
            </w:tcBorders>
          </w:tcPr>
          <w:p>
            <w:pPr>
              <w:ind w:left="780"/>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48" w:type="dxa"/>
            <w:vAlign w:val="top"/>
            <w:vMerge w:val="restart"/>
            <w:tcBorders>
              <w:bottom w:val="nil"/>
            </w:tcBorders>
          </w:tcPr>
          <w:p>
            <w:pPr>
              <w:pStyle w:val="TableText"/>
              <w:rPr/>
            </w:pPr>
            <w:r/>
          </w:p>
          <w:p>
            <w:pPr>
              <w:ind w:left="160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10" w:type="dxa"/>
            <w:vAlign w:val="top"/>
            <w:gridSpan w:val="4"/>
          </w:tcPr>
          <w:p>
            <w:pPr>
              <w:ind w:left="23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78" w:hRule="atLeast"/>
        </w:trPr>
        <w:tc>
          <w:tcPr>
            <w:tcW w:w="3548" w:type="dxa"/>
            <w:vAlign w:val="top"/>
            <w:vMerge w:val="continue"/>
            <w:tcBorders>
              <w:top w:val="nil"/>
            </w:tcBorders>
          </w:tcPr>
          <w:p>
            <w:pPr>
              <w:pStyle w:val="TableText"/>
              <w:rPr/>
            </w:pPr>
            <w:r/>
          </w:p>
        </w:tc>
        <w:tc>
          <w:tcPr>
            <w:tcW w:w="1490" w:type="dxa"/>
            <w:vAlign w:val="top"/>
          </w:tcPr>
          <w:p>
            <w:pPr>
              <w:ind w:left="574"/>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ind w:left="201"/>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8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388" w:type="dxa"/>
            <w:vAlign w:val="top"/>
          </w:tcPr>
          <w:p>
            <w:pPr>
              <w:ind w:left="5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48" w:type="dxa"/>
            <w:vAlign w:val="top"/>
          </w:tcPr>
          <w:p>
            <w:pPr>
              <w:ind w:left="1130"/>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365"/>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959"/>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90"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40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156"/>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9" w:hRule="atLeast"/>
        </w:trPr>
        <w:tc>
          <w:tcPr>
            <w:tcW w:w="3548" w:type="dxa"/>
            <w:vAlign w:val="top"/>
          </w:tcPr>
          <w:p>
            <w:pPr>
              <w:ind w:left="994"/>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90"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40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328" w:type="dxa"/>
            <w:vAlign w:val="top"/>
          </w:tcPr>
          <w:p>
            <w:pPr>
              <w:pStyle w:val="TableText"/>
              <w:rPr/>
            </w:pPr>
            <w:r/>
          </w:p>
        </w:tc>
        <w:tc>
          <w:tcPr>
            <w:tcW w:w="1388" w:type="dxa"/>
            <w:vAlign w:val="top"/>
          </w:tcPr>
          <w:p>
            <w:pPr>
              <w:pStyle w:val="TableText"/>
              <w:rPr/>
            </w:pPr>
            <w:r/>
          </w:p>
        </w:tc>
      </w:tr>
      <w:tr>
        <w:trPr>
          <w:trHeight w:val="384" w:hRule="atLeast"/>
        </w:trPr>
        <w:tc>
          <w:tcPr>
            <w:tcW w:w="3548" w:type="dxa"/>
            <w:vAlign w:val="top"/>
          </w:tcPr>
          <w:p>
            <w:pPr>
              <w:ind w:left="1603"/>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ind w:right="24"/>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404"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328" w:type="dxa"/>
            <w:vAlign w:val="top"/>
          </w:tcPr>
          <w:p>
            <w:pPr>
              <w:pStyle w:val="TableText"/>
              <w:rPr/>
            </w:pPr>
            <w:r/>
          </w:p>
        </w:tc>
        <w:tc>
          <w:tcPr>
            <w:tcW w:w="1388" w:type="dxa"/>
            <w:vAlign w:val="top"/>
          </w:tcPr>
          <w:p>
            <w:pPr>
              <w:pStyle w:val="TableText"/>
              <w:rPr/>
            </w:pPr>
            <w:r/>
          </w:p>
        </w:tc>
      </w:tr>
    </w:tbl>
    <w:p>
      <w:pPr>
        <w:pStyle w:val="BodyText"/>
        <w:rPr/>
      </w:pPr>
      <w:r/>
    </w:p>
    <w:p>
      <w:pPr>
        <w:sectPr>
          <w:headerReference w:type="default" r:id="rId8"/>
          <w:footerReference w:type="default" r:id="rId2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05"/>
        <w:gridCol w:w="1469"/>
        <w:gridCol w:w="1566"/>
        <w:gridCol w:w="1425"/>
        <w:gridCol w:w="1593"/>
      </w:tblGrid>
      <w:tr>
        <w:trPr>
          <w:trHeight w:val="383" w:hRule="atLeast"/>
        </w:trPr>
        <w:tc>
          <w:tcPr>
            <w:tcW w:w="310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nil"/>
            </w:tcBorders>
          </w:tcPr>
          <w:p>
            <w:pPr>
              <w:pStyle w:val="TableText"/>
              <w:rPr/>
            </w:pPr>
            <w:r/>
          </w:p>
        </w:tc>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7"/>
            <w:bookmarkEnd w:id="27"/>
            <w:bookmarkStart w:name="bookmark17" w:id="28"/>
            <w:bookmarkEnd w:id="28"/>
            <w:r>
              <w:rPr>
                <w:rFonts w:ascii="Microsoft YaHei" w:hAnsi="Microsoft YaHei" w:eastAsia="Microsoft YaHei" w:cs="Microsoft YaHei"/>
                <w:sz w:val="20"/>
                <w:szCs w:val="20"/>
                <w:color w:val="212529"/>
                <w:spacing w:val="-3"/>
                <w:position w:val="-1"/>
              </w:rPr>
              <w:t>2026年财政拨款安排机关运行经费预算表</w:t>
            </w:r>
          </w:p>
        </w:tc>
      </w:tr>
      <w:tr>
        <w:trPr>
          <w:trHeight w:val="378" w:hRule="atLeast"/>
        </w:trPr>
        <w:tc>
          <w:tcPr>
            <w:tcW w:w="3105" w:type="dxa"/>
            <w:vAlign w:val="top"/>
            <w:tcBorders>
              <w:left w:val="single" w:color="FFFFFF" w:sz="2" w:space="0"/>
              <w:right w:val="single" w:color="FFFFFF" w:sz="2" w:space="0"/>
              <w:top w:val="single" w:color="FFFFFF" w:sz="4" w:space="0"/>
            </w:tcBorders>
          </w:tcPr>
          <w:p>
            <w:pPr>
              <w:ind w:left="15" w:right="112" w:hanging="6"/>
              <w:spacing w:before="50"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w:t>
            </w:r>
            <w:r>
              <w:rPr>
                <w:rFonts w:ascii="SimSun" w:hAnsi="SimSun" w:eastAsia="SimSun" w:cs="SimSun"/>
                <w:sz w:val="12"/>
                <w:szCs w:val="12"/>
                <w:color w:val="212529"/>
                <w:spacing w:val="5"/>
              </w:rPr>
              <w:t>区分局</w:t>
            </w:r>
          </w:p>
        </w:tc>
        <w:tc>
          <w:tcPr>
            <w:tcW w:w="1469" w:type="dxa"/>
            <w:vAlign w:val="top"/>
            <w:tcBorders>
              <w:left w:val="single" w:color="FFFFFF" w:sz="2" w:space="0"/>
              <w:right w:val="single" w:color="FFFFFF" w:sz="2" w:space="0"/>
              <w:top w:val="single" w:color="FFFFFF" w:sz="4" w:space="0"/>
            </w:tcBorders>
          </w:tcPr>
          <w:p>
            <w:pPr>
              <w:pStyle w:val="TableText"/>
              <w:rPr/>
            </w:pPr>
            <w:r/>
          </w:p>
        </w:tc>
        <w:tc>
          <w:tcPr>
            <w:tcW w:w="1566" w:type="dxa"/>
            <w:vAlign w:val="top"/>
            <w:tcBorders>
              <w:left w:val="single" w:color="FFFFFF" w:sz="2" w:space="0"/>
              <w:right w:val="single" w:color="FFFFFF" w:sz="2" w:space="0"/>
              <w:top w:val="single" w:color="FFFFFF" w:sz="4" w:space="0"/>
            </w:tcBorders>
          </w:tcPr>
          <w:p>
            <w:pPr>
              <w:pStyle w:val="TableText"/>
              <w:rPr/>
            </w:pPr>
            <w:r/>
          </w:p>
        </w:tc>
        <w:tc>
          <w:tcPr>
            <w:tcW w:w="1425"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05" w:type="dxa"/>
            <w:vAlign w:val="top"/>
            <w:vMerge w:val="restart"/>
            <w:tcBorders>
              <w:bottom w:val="nil"/>
            </w:tcBorders>
          </w:tcPr>
          <w:p>
            <w:pPr>
              <w:ind w:left="121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53" w:type="dxa"/>
            <w:vAlign w:val="top"/>
            <w:gridSpan w:val="4"/>
          </w:tcPr>
          <w:p>
            <w:pPr>
              <w:ind w:left="2612"/>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2026预算数</w:t>
            </w:r>
          </w:p>
        </w:tc>
      </w:tr>
      <w:tr>
        <w:trPr>
          <w:trHeight w:val="378" w:hRule="atLeast"/>
        </w:trPr>
        <w:tc>
          <w:tcPr>
            <w:tcW w:w="3105" w:type="dxa"/>
            <w:vAlign w:val="top"/>
            <w:vMerge w:val="continue"/>
            <w:tcBorders>
              <w:top w:val="nil"/>
            </w:tcBorders>
          </w:tcPr>
          <w:p>
            <w:pPr>
              <w:pStyle w:val="TableText"/>
              <w:rPr/>
            </w:pPr>
            <w:r/>
          </w:p>
        </w:tc>
        <w:tc>
          <w:tcPr>
            <w:tcW w:w="1469" w:type="dxa"/>
            <w:vAlign w:val="top"/>
          </w:tcPr>
          <w:p>
            <w:pPr>
              <w:ind w:left="561"/>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66" w:type="dxa"/>
            <w:vAlign w:val="top"/>
          </w:tcPr>
          <w:p>
            <w:pPr>
              <w:ind w:left="285"/>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25" w:type="dxa"/>
            <w:vAlign w:val="top"/>
          </w:tcPr>
          <w:p>
            <w:pPr>
              <w:ind w:left="139"/>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05" w:type="dxa"/>
            <w:vAlign w:val="top"/>
          </w:tcPr>
          <w:p>
            <w:pPr>
              <w:ind w:left="121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69" w:type="dxa"/>
            <w:vAlign w:val="top"/>
          </w:tcPr>
          <w:p>
            <w:pPr>
              <w:ind w:right="25"/>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566"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425" w:type="dxa"/>
            <w:vAlign w:val="top"/>
          </w:tcPr>
          <w:p>
            <w:pPr>
              <w:pStyle w:val="TableText"/>
              <w:rPr/>
            </w:pPr>
            <w:r/>
          </w:p>
        </w:tc>
        <w:tc>
          <w:tcPr>
            <w:tcW w:w="1593" w:type="dxa"/>
            <w:vAlign w:val="top"/>
          </w:tcPr>
          <w:p>
            <w:pPr>
              <w:pStyle w:val="TableText"/>
              <w:rPr/>
            </w:pPr>
            <w:r/>
          </w:p>
        </w:tc>
      </w:tr>
      <w:tr>
        <w:trPr>
          <w:trHeight w:val="383" w:hRule="atLeast"/>
        </w:trPr>
        <w:tc>
          <w:tcPr>
            <w:tcW w:w="3105" w:type="dxa"/>
            <w:vAlign w:val="top"/>
          </w:tcPr>
          <w:p>
            <w:pPr>
              <w:ind w:left="15" w:right="178" w:hanging="8"/>
              <w:spacing w:before="30" w:line="211" w:lineRule="auto"/>
              <w:rPr>
                <w:rFonts w:ascii="SimSun" w:hAnsi="SimSun" w:eastAsia="SimSun" w:cs="SimSun"/>
                <w:sz w:val="15"/>
                <w:szCs w:val="15"/>
              </w:rPr>
            </w:pPr>
            <w:r>
              <w:rPr>
                <w:rFonts w:ascii="SimSun" w:hAnsi="SimSun" w:eastAsia="SimSun" w:cs="SimSun"/>
                <w:sz w:val="15"/>
                <w:szCs w:val="15"/>
                <w:color w:val="212529"/>
                <w:spacing w:val="11"/>
              </w:rPr>
              <w:t>长治市市场监督管理局高新技术产业开发</w:t>
            </w:r>
            <w:r>
              <w:rPr>
                <w:rFonts w:ascii="SimSun" w:hAnsi="SimSun" w:eastAsia="SimSun" w:cs="SimSun"/>
                <w:sz w:val="15"/>
                <w:szCs w:val="15"/>
                <w:color w:val="212529"/>
                <w:spacing w:val="5"/>
              </w:rPr>
              <w:t>区分局</w:t>
            </w:r>
          </w:p>
        </w:tc>
        <w:tc>
          <w:tcPr>
            <w:tcW w:w="1469"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56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46.47</w:t>
            </w:r>
          </w:p>
        </w:tc>
        <w:tc>
          <w:tcPr>
            <w:tcW w:w="1425" w:type="dxa"/>
            <w:vAlign w:val="top"/>
          </w:tcPr>
          <w:p>
            <w:pPr>
              <w:pStyle w:val="TableText"/>
              <w:rPr/>
            </w:pPr>
            <w:r/>
          </w:p>
        </w:tc>
        <w:tc>
          <w:tcPr>
            <w:tcW w:w="1593" w:type="dxa"/>
            <w:vAlign w:val="top"/>
          </w:tcPr>
          <w:p>
            <w:pPr>
              <w:pStyle w:val="TableText"/>
              <w:rPr/>
            </w:pPr>
            <w:r/>
          </w:p>
        </w:tc>
      </w:tr>
    </w:tbl>
    <w:p>
      <w:pPr>
        <w:pStyle w:val="BodyText"/>
        <w:rPr/>
      </w:pPr>
      <w:r/>
    </w:p>
    <w:p>
      <w:pPr>
        <w:sectPr>
          <w:headerReference w:type="default" r:id="rId18"/>
          <w:footerReference w:type="default" r:id="rId27"/>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21"/>
        <w:gridCol w:w="1253"/>
        <w:gridCol w:w="1242"/>
        <w:gridCol w:w="659"/>
        <w:gridCol w:w="1134"/>
        <w:gridCol w:w="1101"/>
        <w:gridCol w:w="848"/>
      </w:tblGrid>
      <w:tr>
        <w:trPr>
          <w:trHeight w:val="384" w:hRule="atLeast"/>
        </w:trPr>
        <w:tc>
          <w:tcPr>
            <w:tcW w:w="29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49" w:type="dxa"/>
            <w:vAlign w:val="top"/>
            <w:gridSpan w:val="2"/>
            <w:tcBorders>
              <w:bottom w:val="single" w:color="FFFFFF" w:sz="4" w:space="0"/>
              <w:top w:val="single" w:color="FFFFFF" w:sz="4" w:space="0"/>
              <w:left w:val="single" w:color="FFFFFF" w:sz="2" w:space="0"/>
              <w:right w:val="single" w:color="FFFFFF" w:sz="2" w:space="0"/>
            </w:tcBorders>
          </w:tcPr>
          <w:p>
            <w:pPr>
              <w:ind w:left="114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29"/>
            <w:bookmarkEnd w:id="29"/>
            <w:bookmarkStart w:name="bookmark18" w:id="30"/>
            <w:bookmarkEnd w:id="30"/>
            <w:r>
              <w:rPr>
                <w:rFonts w:ascii="Microsoft YaHei" w:hAnsi="Microsoft YaHei" w:eastAsia="Microsoft YaHei" w:cs="Microsoft YaHei"/>
                <w:sz w:val="20"/>
                <w:szCs w:val="20"/>
                <w:color w:val="212529"/>
                <w:spacing w:val="-1"/>
                <w:position w:val="-1"/>
              </w:rPr>
              <w:t>2026年项目支出预算表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09"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1949" w:type="dxa"/>
            <w:vAlign w:val="top"/>
            <w:gridSpan w:val="2"/>
            <w:tcBorders>
              <w:top w:val="single" w:color="FFFFFF" w:sz="4" w:space="0"/>
              <w:left w:val="single" w:color="FFFFFF" w:sz="2" w:space="0"/>
              <w:right w:val="single" w:color="FFFFFF" w:sz="2" w:space="0"/>
            </w:tcBorders>
          </w:tcPr>
          <w:p>
            <w:pPr>
              <w:ind w:left="1276"/>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21" w:type="dxa"/>
            <w:vAlign w:val="top"/>
            <w:vMerge w:val="restart"/>
            <w:tcBorders>
              <w:bottom w:val="nil"/>
            </w:tcBorders>
          </w:tcPr>
          <w:p>
            <w:pPr>
              <w:pStyle w:val="TableText"/>
              <w:spacing w:line="322" w:lineRule="auto"/>
              <w:rPr/>
            </w:pPr>
            <w:r/>
          </w:p>
          <w:p>
            <w:pPr>
              <w:ind w:left="112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53" w:type="dxa"/>
            <w:vAlign w:val="top"/>
            <w:vMerge w:val="restart"/>
            <w:tcBorders>
              <w:bottom w:val="nil"/>
            </w:tcBorders>
          </w:tcPr>
          <w:p>
            <w:pPr>
              <w:pStyle w:val="TableText"/>
              <w:spacing w:line="322" w:lineRule="auto"/>
              <w:rPr/>
            </w:pPr>
            <w:r/>
          </w:p>
          <w:p>
            <w:pPr>
              <w:ind w:left="455"/>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035" w:type="dxa"/>
            <w:vAlign w:val="top"/>
            <w:gridSpan w:val="3"/>
          </w:tcPr>
          <w:p>
            <w:pPr>
              <w:ind w:left="941"/>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c>
          <w:tcPr>
            <w:tcW w:w="1101" w:type="dxa"/>
            <w:vAlign w:val="top"/>
            <w:vMerge w:val="restart"/>
            <w:tcBorders>
              <w:bottom w:val="nil"/>
            </w:tcBorders>
          </w:tcPr>
          <w:p>
            <w:pPr>
              <w:ind w:left="387" w:right="64" w:hanging="329"/>
              <w:spacing w:before="30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48" w:type="dxa"/>
            <w:vAlign w:val="top"/>
            <w:vMerge w:val="restart"/>
            <w:tcBorders>
              <w:bottom w:val="nil"/>
            </w:tcBorders>
          </w:tcPr>
          <w:p>
            <w:pPr>
              <w:pStyle w:val="TableText"/>
              <w:spacing w:line="321" w:lineRule="auto"/>
              <w:rPr/>
            </w:pPr>
            <w:r/>
          </w:p>
          <w:p>
            <w:pPr>
              <w:ind w:left="8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2921"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242" w:type="dxa"/>
            <w:vAlign w:val="top"/>
          </w:tcPr>
          <w:p>
            <w:pPr>
              <w:ind w:left="121"/>
              <w:spacing w:before="19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59" w:type="dxa"/>
            <w:vAlign w:val="top"/>
          </w:tcPr>
          <w:p>
            <w:pPr>
              <w:ind w:left="76"/>
              <w:spacing w:before="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235" w:right="89" w:hanging="162"/>
              <w:spacing w:before="2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2"/>
              </w:rPr>
              <w:t>基金预</w:t>
            </w:r>
            <w:r>
              <w:rPr>
                <w:rFonts w:ascii="Microsoft YaHei" w:hAnsi="Microsoft YaHei" w:eastAsia="Microsoft YaHei" w:cs="Microsoft YaHei"/>
                <w:sz w:val="15"/>
                <w:szCs w:val="15"/>
                <w:color w:val="212529"/>
                <w:spacing w:val="10"/>
              </w:rPr>
              <w:t>算</w:t>
            </w:r>
          </w:p>
        </w:tc>
        <w:tc>
          <w:tcPr>
            <w:tcW w:w="1134" w:type="dxa"/>
            <w:vAlign w:val="top"/>
          </w:tcPr>
          <w:p>
            <w:pPr>
              <w:ind w:left="391" w:right="88" w:hanging="304"/>
              <w:spacing w:before="10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c>
          <w:tcPr>
            <w:tcW w:w="1101"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9" w:hRule="atLeast"/>
        </w:trPr>
        <w:tc>
          <w:tcPr>
            <w:tcW w:w="2921" w:type="dxa"/>
            <w:vAlign w:val="top"/>
          </w:tcPr>
          <w:p>
            <w:pPr>
              <w:ind w:left="1424"/>
              <w:spacing w:before="111"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53" w:type="dxa"/>
            <w:vAlign w:val="top"/>
          </w:tcPr>
          <w:p>
            <w:pPr>
              <w:ind w:left="578"/>
              <w:spacing w:before="111"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42" w:type="dxa"/>
            <w:vAlign w:val="top"/>
          </w:tcPr>
          <w:p>
            <w:pPr>
              <w:ind w:left="573"/>
              <w:spacing w:before="111"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659" w:type="dxa"/>
            <w:vAlign w:val="top"/>
          </w:tcPr>
          <w:p>
            <w:pPr>
              <w:ind w:left="280"/>
              <w:spacing w:before="111"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34" w:type="dxa"/>
            <w:vAlign w:val="top"/>
          </w:tcPr>
          <w:p>
            <w:pPr>
              <w:ind w:left="521"/>
              <w:spacing w:before="111"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01" w:type="dxa"/>
            <w:vAlign w:val="top"/>
          </w:tcPr>
          <w:p>
            <w:pPr>
              <w:ind w:left="505"/>
              <w:spacing w:before="111"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80"/>
              <w:spacing w:before="111"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921" w:type="dxa"/>
            <w:vAlign w:val="top"/>
          </w:tcPr>
          <w:p>
            <w:pPr>
              <w:ind w:left="11" w:right="156" w:firstLine="158"/>
              <w:spacing w:before="24" w:line="212" w:lineRule="auto"/>
              <w:rPr>
                <w:rFonts w:ascii="SimSun" w:hAnsi="SimSun" w:eastAsia="SimSun" w:cs="SimSun"/>
                <w:sz w:val="15"/>
                <w:szCs w:val="15"/>
              </w:rPr>
            </w:pPr>
            <w:r>
              <w:rPr>
                <w:rFonts w:ascii="SimSun" w:hAnsi="SimSun" w:eastAsia="SimSun" w:cs="SimSun"/>
                <w:sz w:val="15"/>
                <w:szCs w:val="15"/>
                <w:color w:val="212529"/>
                <w:spacing w:val="11"/>
              </w:rPr>
              <w:t>长治市市场监督管理局高新技术产业</w:t>
            </w:r>
            <w:r>
              <w:rPr>
                <w:rFonts w:ascii="SimSun" w:hAnsi="SimSun" w:eastAsia="SimSun" w:cs="SimSun"/>
                <w:sz w:val="15"/>
                <w:szCs w:val="15"/>
                <w:color w:val="212529"/>
                <w:spacing w:val="9"/>
              </w:rPr>
              <w:t>开发区分局</w:t>
            </w:r>
          </w:p>
        </w:tc>
        <w:tc>
          <w:tcPr>
            <w:tcW w:w="1253"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c>
          <w:tcPr>
            <w:tcW w:w="1242"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415.11</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4"/>
              <w:spacing w:before="111" w:line="229" w:lineRule="auto"/>
              <w:rPr>
                <w:rFonts w:ascii="SimSun" w:hAnsi="SimSun" w:eastAsia="SimSun" w:cs="SimSun"/>
                <w:sz w:val="15"/>
                <w:szCs w:val="15"/>
              </w:rPr>
            </w:pPr>
            <w:r>
              <w:rPr>
                <w:rFonts w:ascii="SimSun" w:hAnsi="SimSun" w:eastAsia="SimSun" w:cs="SimSun"/>
                <w:sz w:val="15"/>
                <w:szCs w:val="15"/>
                <w:color w:val="212529"/>
                <w:spacing w:val="10"/>
              </w:rPr>
              <w:t>知识产权工作站专项经费1</w:t>
            </w:r>
          </w:p>
        </w:tc>
        <w:tc>
          <w:tcPr>
            <w:tcW w:w="1253"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w:t>
            </w:r>
          </w:p>
        </w:tc>
        <w:tc>
          <w:tcPr>
            <w:tcW w:w="1242"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1" w:line="229" w:lineRule="auto"/>
              <w:rPr>
                <w:rFonts w:ascii="SimSun" w:hAnsi="SimSun" w:eastAsia="SimSun" w:cs="SimSun"/>
                <w:sz w:val="15"/>
                <w:szCs w:val="15"/>
              </w:rPr>
            </w:pPr>
            <w:r>
              <w:rPr>
                <w:rFonts w:ascii="SimSun" w:hAnsi="SimSun" w:eastAsia="SimSun" w:cs="SimSun"/>
                <w:sz w:val="15"/>
                <w:szCs w:val="15"/>
                <w:color w:val="212529"/>
                <w:spacing w:val="9"/>
              </w:rPr>
              <w:t>2026年工商行政管理补助经费</w:t>
            </w:r>
          </w:p>
        </w:tc>
        <w:tc>
          <w:tcPr>
            <w:tcW w:w="1253"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242"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1" w:line="229" w:lineRule="auto"/>
              <w:rPr>
                <w:rFonts w:ascii="SimSun" w:hAnsi="SimSun" w:eastAsia="SimSun" w:cs="SimSun"/>
                <w:sz w:val="15"/>
                <w:szCs w:val="15"/>
              </w:rPr>
            </w:pPr>
            <w:r>
              <w:rPr>
                <w:rFonts w:ascii="SimSun" w:hAnsi="SimSun" w:eastAsia="SimSun" w:cs="SimSun"/>
                <w:sz w:val="15"/>
                <w:szCs w:val="15"/>
                <w:color w:val="212529"/>
                <w:spacing w:val="10"/>
              </w:rPr>
              <w:t>2026年质量技术监督专项补助经费</w:t>
            </w:r>
          </w:p>
        </w:tc>
        <w:tc>
          <w:tcPr>
            <w:tcW w:w="1253"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42"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0"/>
              <w:spacing w:before="112" w:line="229" w:lineRule="auto"/>
              <w:rPr>
                <w:rFonts w:ascii="SimSun" w:hAnsi="SimSun" w:eastAsia="SimSun" w:cs="SimSun"/>
                <w:sz w:val="15"/>
                <w:szCs w:val="15"/>
              </w:rPr>
            </w:pPr>
            <w:r>
              <w:rPr>
                <w:rFonts w:ascii="SimSun" w:hAnsi="SimSun" w:eastAsia="SimSun" w:cs="SimSun"/>
                <w:sz w:val="15"/>
                <w:szCs w:val="15"/>
                <w:color w:val="212529"/>
                <w:spacing w:val="10"/>
              </w:rPr>
              <w:t>职工餐补</w:t>
            </w:r>
          </w:p>
        </w:tc>
        <w:tc>
          <w:tcPr>
            <w:tcW w:w="1253" w:type="dxa"/>
            <w:vAlign w:val="top"/>
          </w:tcPr>
          <w:p>
            <w:pPr>
              <w:ind w:right="26"/>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42" w:type="dxa"/>
            <w:vAlign w:val="top"/>
          </w:tcPr>
          <w:p>
            <w:pPr>
              <w:ind w:right="21"/>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44"/>
              <w:spacing w:before="112"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1253"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42"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0"/>
              <w:spacing w:before="112" w:line="229" w:lineRule="auto"/>
              <w:rPr>
                <w:rFonts w:ascii="SimSun" w:hAnsi="SimSun" w:eastAsia="SimSun" w:cs="SimSun"/>
                <w:sz w:val="15"/>
                <w:szCs w:val="15"/>
              </w:rPr>
            </w:pPr>
            <w:r>
              <w:rPr>
                <w:rFonts w:ascii="SimSun" w:hAnsi="SimSun" w:eastAsia="SimSun" w:cs="SimSun"/>
                <w:sz w:val="15"/>
                <w:szCs w:val="15"/>
                <w:color w:val="212529"/>
                <w:spacing w:val="10"/>
              </w:rPr>
              <w:t>职工体检费</w:t>
            </w:r>
          </w:p>
        </w:tc>
        <w:tc>
          <w:tcPr>
            <w:tcW w:w="1253"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11.55</w:t>
            </w:r>
          </w:p>
        </w:tc>
        <w:tc>
          <w:tcPr>
            <w:tcW w:w="1242"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11.55</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8" w:hRule="atLeast"/>
        </w:trPr>
        <w:tc>
          <w:tcPr>
            <w:tcW w:w="2921" w:type="dxa"/>
            <w:vAlign w:val="top"/>
          </w:tcPr>
          <w:p>
            <w:pPr>
              <w:ind w:left="331"/>
              <w:spacing w:before="112" w:line="229" w:lineRule="auto"/>
              <w:rPr>
                <w:rFonts w:ascii="SimSun" w:hAnsi="SimSun" w:eastAsia="SimSun" w:cs="SimSun"/>
                <w:sz w:val="15"/>
                <w:szCs w:val="15"/>
              </w:rPr>
            </w:pPr>
            <w:r>
              <w:rPr>
                <w:rFonts w:ascii="SimSun" w:hAnsi="SimSun" w:eastAsia="SimSun" w:cs="SimSun"/>
                <w:sz w:val="15"/>
                <w:szCs w:val="15"/>
                <w:color w:val="212529"/>
                <w:spacing w:val="10"/>
              </w:rPr>
              <w:t>婴幼儿保教费</w:t>
            </w:r>
          </w:p>
        </w:tc>
        <w:tc>
          <w:tcPr>
            <w:tcW w:w="1253"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242"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4" w:line="228" w:lineRule="auto"/>
              <w:rPr>
                <w:rFonts w:ascii="SimSun" w:hAnsi="SimSun" w:eastAsia="SimSun" w:cs="SimSun"/>
                <w:sz w:val="15"/>
                <w:szCs w:val="15"/>
              </w:rPr>
            </w:pPr>
            <w:r>
              <w:rPr>
                <w:rFonts w:ascii="SimSun" w:hAnsi="SimSun" w:eastAsia="SimSun" w:cs="SimSun"/>
                <w:sz w:val="15"/>
                <w:szCs w:val="15"/>
                <w:color w:val="212529"/>
                <w:spacing w:val="10"/>
              </w:rPr>
              <w:t>工会经费、职工福利费</w:t>
            </w:r>
          </w:p>
        </w:tc>
        <w:tc>
          <w:tcPr>
            <w:tcW w:w="1253"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21.04</w:t>
            </w:r>
          </w:p>
        </w:tc>
        <w:tc>
          <w:tcPr>
            <w:tcW w:w="1242"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21.04</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61"/>
              <w:spacing w:before="114" w:line="229" w:lineRule="auto"/>
              <w:rPr>
                <w:rFonts w:ascii="SimSun" w:hAnsi="SimSun" w:eastAsia="SimSun" w:cs="SimSun"/>
                <w:sz w:val="15"/>
                <w:szCs w:val="15"/>
              </w:rPr>
            </w:pPr>
            <w:r>
              <w:rPr>
                <w:rFonts w:ascii="SimSun" w:hAnsi="SimSun" w:eastAsia="SimSun" w:cs="SimSun"/>
                <w:sz w:val="15"/>
                <w:szCs w:val="15"/>
                <w:color w:val="212529"/>
                <w:spacing w:val="6"/>
              </w:rPr>
              <w:t>目标责任考核奖</w:t>
            </w:r>
          </w:p>
        </w:tc>
        <w:tc>
          <w:tcPr>
            <w:tcW w:w="1253"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37.70</w:t>
            </w:r>
          </w:p>
        </w:tc>
        <w:tc>
          <w:tcPr>
            <w:tcW w:w="1242"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37.70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4" w:line="229" w:lineRule="auto"/>
              <w:rPr>
                <w:rFonts w:ascii="SimSun" w:hAnsi="SimSun" w:eastAsia="SimSun" w:cs="SimSun"/>
                <w:sz w:val="15"/>
                <w:szCs w:val="15"/>
              </w:rPr>
            </w:pPr>
            <w:r>
              <w:rPr>
                <w:rFonts w:ascii="SimSun" w:hAnsi="SimSun" w:eastAsia="SimSun" w:cs="SimSun"/>
                <w:sz w:val="15"/>
                <w:szCs w:val="15"/>
                <w:color w:val="212529"/>
                <w:spacing w:val="10"/>
              </w:rPr>
              <w:t>退休人员经费</w:t>
            </w:r>
          </w:p>
        </w:tc>
        <w:tc>
          <w:tcPr>
            <w:tcW w:w="1253"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9.80</w:t>
            </w:r>
          </w:p>
        </w:tc>
        <w:tc>
          <w:tcPr>
            <w:tcW w:w="1242"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4"/>
              <w:spacing w:before="114" w:line="229" w:lineRule="auto"/>
              <w:rPr>
                <w:rFonts w:ascii="SimSun" w:hAnsi="SimSun" w:eastAsia="SimSun" w:cs="SimSun"/>
                <w:sz w:val="15"/>
                <w:szCs w:val="15"/>
              </w:rPr>
            </w:pPr>
            <w:r>
              <w:rPr>
                <w:rFonts w:ascii="SimSun" w:hAnsi="SimSun" w:eastAsia="SimSun" w:cs="SimSun"/>
                <w:sz w:val="15"/>
                <w:szCs w:val="15"/>
                <w:color w:val="212529"/>
                <w:spacing w:val="10"/>
              </w:rPr>
              <w:t>办公设备购置</w:t>
            </w:r>
          </w:p>
        </w:tc>
        <w:tc>
          <w:tcPr>
            <w:tcW w:w="1253"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6"/>
              <w:spacing w:before="114" w:line="229" w:lineRule="auto"/>
              <w:rPr>
                <w:rFonts w:ascii="SimSun" w:hAnsi="SimSun" w:eastAsia="SimSun" w:cs="SimSun"/>
                <w:sz w:val="15"/>
                <w:szCs w:val="15"/>
              </w:rPr>
            </w:pPr>
            <w:r>
              <w:rPr>
                <w:rFonts w:ascii="SimSun" w:hAnsi="SimSun" w:eastAsia="SimSun" w:cs="SimSun"/>
                <w:sz w:val="15"/>
                <w:szCs w:val="15"/>
                <w:color w:val="212529"/>
                <w:spacing w:val="10"/>
              </w:rPr>
              <w:t>公益岗、劳务派遣人员经费</w:t>
            </w:r>
          </w:p>
        </w:tc>
        <w:tc>
          <w:tcPr>
            <w:tcW w:w="1253"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8.90</w:t>
            </w:r>
          </w:p>
        </w:tc>
        <w:tc>
          <w:tcPr>
            <w:tcW w:w="1242"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8" w:right="156" w:firstLine="323"/>
              <w:spacing w:before="27" w:line="210" w:lineRule="auto"/>
              <w:rPr>
                <w:rFonts w:ascii="SimSun" w:hAnsi="SimSun" w:eastAsia="SimSun" w:cs="SimSun"/>
                <w:sz w:val="15"/>
                <w:szCs w:val="15"/>
              </w:rPr>
            </w:pPr>
            <w:r>
              <w:rPr>
                <w:rFonts w:ascii="SimSun" w:hAnsi="SimSun" w:eastAsia="SimSun" w:cs="SimSun"/>
                <w:sz w:val="15"/>
                <w:szCs w:val="15"/>
                <w:color w:val="212529"/>
                <w:spacing w:val="11"/>
              </w:rPr>
              <w:t>宣教中心自收自支人员工资及人员</w:t>
            </w:r>
            <w:r>
              <w:rPr>
                <w:rFonts w:ascii="SimSun" w:hAnsi="SimSun" w:eastAsia="SimSun" w:cs="SimSun"/>
                <w:sz w:val="15"/>
                <w:szCs w:val="15"/>
                <w:color w:val="212529"/>
                <w:spacing w:val="6"/>
              </w:rPr>
              <w:t>经费</w:t>
            </w:r>
          </w:p>
        </w:tc>
        <w:tc>
          <w:tcPr>
            <w:tcW w:w="1253" w:type="dxa"/>
            <w:vAlign w:val="top"/>
          </w:tcPr>
          <w:p>
            <w:pPr>
              <w:ind w:right="26"/>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130.92</w:t>
            </w:r>
          </w:p>
        </w:tc>
        <w:tc>
          <w:tcPr>
            <w:tcW w:w="1242" w:type="dxa"/>
            <w:vAlign w:val="top"/>
          </w:tcPr>
          <w:p>
            <w:pPr>
              <w:ind w:right="21"/>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130.92</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5" w:line="229" w:lineRule="auto"/>
              <w:rPr>
                <w:rFonts w:ascii="SimSun" w:hAnsi="SimSun" w:eastAsia="SimSun" w:cs="SimSun"/>
                <w:sz w:val="15"/>
                <w:szCs w:val="15"/>
              </w:rPr>
            </w:pPr>
            <w:r>
              <w:rPr>
                <w:rFonts w:ascii="SimSun" w:hAnsi="SimSun" w:eastAsia="SimSun" w:cs="SimSun"/>
                <w:sz w:val="15"/>
                <w:szCs w:val="15"/>
                <w:color w:val="212529"/>
                <w:spacing w:val="10"/>
              </w:rPr>
              <w:t>库房租赁费</w:t>
            </w:r>
          </w:p>
        </w:tc>
        <w:tc>
          <w:tcPr>
            <w:tcW w:w="1253"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1242"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5" w:line="228" w:lineRule="auto"/>
              <w:rPr>
                <w:rFonts w:ascii="SimSun" w:hAnsi="SimSun" w:eastAsia="SimSun" w:cs="SimSun"/>
                <w:sz w:val="15"/>
                <w:szCs w:val="15"/>
              </w:rPr>
            </w:pPr>
            <w:r>
              <w:rPr>
                <w:rFonts w:ascii="SimSun" w:hAnsi="SimSun" w:eastAsia="SimSun" w:cs="SimSun"/>
                <w:sz w:val="15"/>
                <w:szCs w:val="15"/>
                <w:color w:val="212529"/>
                <w:spacing w:val="11"/>
              </w:rPr>
              <w:t>科技工业园市场所经费</w:t>
            </w:r>
          </w:p>
        </w:tc>
        <w:tc>
          <w:tcPr>
            <w:tcW w:w="1253"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4"/>
              <w:spacing w:before="115" w:line="229" w:lineRule="auto"/>
              <w:rPr>
                <w:rFonts w:ascii="SimSun" w:hAnsi="SimSun" w:eastAsia="SimSun" w:cs="SimSun"/>
                <w:sz w:val="15"/>
                <w:szCs w:val="15"/>
              </w:rPr>
            </w:pPr>
            <w:r>
              <w:rPr>
                <w:rFonts w:ascii="SimSun" w:hAnsi="SimSun" w:eastAsia="SimSun" w:cs="SimSun"/>
                <w:sz w:val="15"/>
                <w:szCs w:val="15"/>
                <w:color w:val="212529"/>
                <w:spacing w:val="10"/>
              </w:rPr>
              <w:t>知识产权工作站专项经费</w:t>
            </w:r>
          </w:p>
        </w:tc>
        <w:tc>
          <w:tcPr>
            <w:tcW w:w="1253"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42"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5" w:line="229" w:lineRule="auto"/>
              <w:rPr>
                <w:rFonts w:ascii="SimSun" w:hAnsi="SimSun" w:eastAsia="SimSun" w:cs="SimSun"/>
                <w:sz w:val="15"/>
                <w:szCs w:val="15"/>
              </w:rPr>
            </w:pPr>
            <w:r>
              <w:rPr>
                <w:rFonts w:ascii="SimSun" w:hAnsi="SimSun" w:eastAsia="SimSun" w:cs="SimSun"/>
                <w:sz w:val="15"/>
                <w:szCs w:val="15"/>
                <w:color w:val="212529"/>
                <w:spacing w:val="10"/>
              </w:rPr>
              <w:t>从业人员健康体检费</w:t>
            </w:r>
          </w:p>
        </w:tc>
        <w:tc>
          <w:tcPr>
            <w:tcW w:w="1253"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42"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4"/>
              <w:spacing w:before="116" w:line="229" w:lineRule="auto"/>
              <w:rPr>
                <w:rFonts w:ascii="SimSun" w:hAnsi="SimSun" w:eastAsia="SimSun" w:cs="SimSun"/>
                <w:sz w:val="15"/>
                <w:szCs w:val="15"/>
              </w:rPr>
            </w:pPr>
            <w:r>
              <w:rPr>
                <w:rFonts w:ascii="SimSun" w:hAnsi="SimSun" w:eastAsia="SimSun" w:cs="SimSun"/>
                <w:sz w:val="15"/>
                <w:szCs w:val="15"/>
                <w:color w:val="212529"/>
                <w:spacing w:val="10"/>
              </w:rPr>
              <w:t>知识产权专项经费</w:t>
            </w:r>
          </w:p>
        </w:tc>
        <w:tc>
          <w:tcPr>
            <w:tcW w:w="1253" w:type="dxa"/>
            <w:vAlign w:val="top"/>
          </w:tcPr>
          <w:p>
            <w:pPr>
              <w:ind w:right="26"/>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6" w:line="229" w:lineRule="auto"/>
              <w:rPr>
                <w:rFonts w:ascii="SimSun" w:hAnsi="SimSun" w:eastAsia="SimSun" w:cs="SimSun"/>
                <w:sz w:val="15"/>
                <w:szCs w:val="15"/>
              </w:rPr>
            </w:pPr>
            <w:r>
              <w:rPr>
                <w:rFonts w:ascii="SimSun" w:hAnsi="SimSun" w:eastAsia="SimSun" w:cs="SimSun"/>
                <w:sz w:val="15"/>
                <w:szCs w:val="15"/>
                <w:color w:val="212529"/>
                <w:spacing w:val="10"/>
              </w:rPr>
              <w:t>市场监管专项经费</w:t>
            </w:r>
          </w:p>
        </w:tc>
        <w:tc>
          <w:tcPr>
            <w:tcW w:w="125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1242"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6" w:line="230" w:lineRule="auto"/>
              <w:rPr>
                <w:rFonts w:ascii="SimSun" w:hAnsi="SimSun" w:eastAsia="SimSun" w:cs="SimSun"/>
                <w:sz w:val="15"/>
                <w:szCs w:val="15"/>
              </w:rPr>
            </w:pPr>
            <w:r>
              <w:rPr>
                <w:rFonts w:ascii="SimSun" w:hAnsi="SimSun" w:eastAsia="SimSun" w:cs="SimSun"/>
                <w:sz w:val="15"/>
                <w:szCs w:val="15"/>
                <w:color w:val="212529"/>
                <w:spacing w:val="10"/>
              </w:rPr>
              <w:t>食品经营专项经费</w:t>
            </w:r>
          </w:p>
        </w:tc>
        <w:tc>
          <w:tcPr>
            <w:tcW w:w="125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6" w:line="228" w:lineRule="auto"/>
              <w:rPr>
                <w:rFonts w:ascii="SimSun" w:hAnsi="SimSun" w:eastAsia="SimSun" w:cs="SimSun"/>
                <w:sz w:val="15"/>
                <w:szCs w:val="15"/>
              </w:rPr>
            </w:pPr>
            <w:r>
              <w:rPr>
                <w:rFonts w:ascii="SimSun" w:hAnsi="SimSun" w:eastAsia="SimSun" w:cs="SimSun"/>
                <w:sz w:val="15"/>
                <w:szCs w:val="15"/>
                <w:color w:val="212529"/>
                <w:spacing w:val="10"/>
              </w:rPr>
              <w:t>打击传销专项经费</w:t>
            </w:r>
          </w:p>
        </w:tc>
        <w:tc>
          <w:tcPr>
            <w:tcW w:w="125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3"/>
              <w:spacing w:before="116" w:line="229" w:lineRule="auto"/>
              <w:rPr>
                <w:rFonts w:ascii="SimSun" w:hAnsi="SimSun" w:eastAsia="SimSun" w:cs="SimSun"/>
                <w:sz w:val="15"/>
                <w:szCs w:val="15"/>
              </w:rPr>
            </w:pPr>
            <w:r>
              <w:rPr>
                <w:rFonts w:ascii="SimSun" w:hAnsi="SimSun" w:eastAsia="SimSun" w:cs="SimSun"/>
                <w:sz w:val="15"/>
                <w:szCs w:val="15"/>
                <w:color w:val="212529"/>
                <w:spacing w:val="10"/>
              </w:rPr>
              <w:t>药品药械专项经费</w:t>
            </w:r>
          </w:p>
        </w:tc>
        <w:tc>
          <w:tcPr>
            <w:tcW w:w="125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0"/>
              <w:spacing w:before="117" w:line="229" w:lineRule="auto"/>
              <w:rPr>
                <w:rFonts w:ascii="SimSun" w:hAnsi="SimSun" w:eastAsia="SimSun" w:cs="SimSun"/>
                <w:sz w:val="15"/>
                <w:szCs w:val="15"/>
              </w:rPr>
            </w:pPr>
            <w:r>
              <w:rPr>
                <w:rFonts w:ascii="SimSun" w:hAnsi="SimSun" w:eastAsia="SimSun" w:cs="SimSun"/>
                <w:sz w:val="15"/>
                <w:szCs w:val="15"/>
                <w:color w:val="212529"/>
                <w:spacing w:val="11"/>
              </w:rPr>
              <w:t>信用监管专项经费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6"/>
              <w:spacing w:before="117" w:line="229" w:lineRule="auto"/>
              <w:rPr>
                <w:rFonts w:ascii="SimSun" w:hAnsi="SimSun" w:eastAsia="SimSun" w:cs="SimSun"/>
                <w:sz w:val="15"/>
                <w:szCs w:val="15"/>
              </w:rPr>
            </w:pPr>
            <w:r>
              <w:rPr>
                <w:rFonts w:ascii="SimSun" w:hAnsi="SimSun" w:eastAsia="SimSun" w:cs="SimSun"/>
                <w:sz w:val="15"/>
                <w:szCs w:val="15"/>
                <w:color w:val="212529"/>
                <w:spacing w:val="10"/>
              </w:rPr>
              <w:t>公平竞争审查专项经费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7" w:line="230" w:lineRule="auto"/>
              <w:rPr>
                <w:rFonts w:ascii="SimSun" w:hAnsi="SimSun" w:eastAsia="SimSun" w:cs="SimSun"/>
                <w:sz w:val="15"/>
                <w:szCs w:val="15"/>
              </w:rPr>
            </w:pPr>
            <w:r>
              <w:rPr>
                <w:rFonts w:ascii="SimSun" w:hAnsi="SimSun" w:eastAsia="SimSun" w:cs="SimSun"/>
                <w:sz w:val="15"/>
                <w:szCs w:val="15"/>
                <w:color w:val="212529"/>
                <w:spacing w:val="10"/>
              </w:rPr>
              <w:t>标准化专项经费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29"/>
              <w:spacing w:before="117" w:line="229" w:lineRule="auto"/>
              <w:rPr>
                <w:rFonts w:ascii="SimSun" w:hAnsi="SimSun" w:eastAsia="SimSun" w:cs="SimSun"/>
                <w:sz w:val="15"/>
                <w:szCs w:val="15"/>
              </w:rPr>
            </w:pPr>
            <w:r>
              <w:rPr>
                <w:rFonts w:ascii="SimSun" w:hAnsi="SimSun" w:eastAsia="SimSun" w:cs="SimSun"/>
                <w:sz w:val="15"/>
                <w:szCs w:val="15"/>
                <w:color w:val="212529"/>
                <w:spacing w:val="11"/>
              </w:rPr>
              <w:t>特种设备专项经费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31"/>
              <w:spacing w:before="117" w:line="229" w:lineRule="auto"/>
              <w:rPr>
                <w:rFonts w:ascii="SimSun" w:hAnsi="SimSun" w:eastAsia="SimSun" w:cs="SimSun"/>
                <w:sz w:val="15"/>
                <w:szCs w:val="15"/>
              </w:rPr>
            </w:pPr>
            <w:r>
              <w:rPr>
                <w:rFonts w:ascii="SimSun" w:hAnsi="SimSun" w:eastAsia="SimSun" w:cs="SimSun"/>
                <w:sz w:val="15"/>
                <w:szCs w:val="15"/>
                <w:color w:val="212529"/>
                <w:spacing w:val="10"/>
              </w:rPr>
              <w:t>产品质量专项经费</w:t>
            </w:r>
          </w:p>
        </w:tc>
        <w:tc>
          <w:tcPr>
            <w:tcW w:w="125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15" w:right="156" w:firstLine="315"/>
              <w:spacing w:before="30" w:line="208" w:lineRule="auto"/>
              <w:rPr>
                <w:rFonts w:ascii="SimSun" w:hAnsi="SimSun" w:eastAsia="SimSun" w:cs="SimSun"/>
                <w:sz w:val="15"/>
                <w:szCs w:val="15"/>
              </w:rPr>
            </w:pPr>
            <w:r>
              <w:rPr>
                <w:rFonts w:ascii="SimSun" w:hAnsi="SimSun" w:eastAsia="SimSun" w:cs="SimSun"/>
                <w:sz w:val="15"/>
                <w:szCs w:val="15"/>
                <w:color w:val="212529"/>
                <w:spacing w:val="11"/>
              </w:rPr>
              <w:t>放心经费消费示范单位培育专项经</w:t>
            </w:r>
            <w:r>
              <w:rPr>
                <w:rFonts w:ascii="SimSun" w:hAnsi="SimSun" w:eastAsia="SimSun" w:cs="SimSun"/>
                <w:sz w:val="15"/>
                <w:szCs w:val="15"/>
                <w:color w:val="212529"/>
              </w:rPr>
              <w:t>费</w:t>
            </w:r>
          </w:p>
        </w:tc>
        <w:tc>
          <w:tcPr>
            <w:tcW w:w="1253"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9" w:hRule="atLeast"/>
        </w:trPr>
        <w:tc>
          <w:tcPr>
            <w:tcW w:w="2921" w:type="dxa"/>
            <w:vAlign w:val="top"/>
          </w:tcPr>
          <w:p>
            <w:pPr>
              <w:ind w:left="346"/>
              <w:spacing w:before="118" w:line="229" w:lineRule="auto"/>
              <w:rPr>
                <w:rFonts w:ascii="SimSun" w:hAnsi="SimSun" w:eastAsia="SimSun" w:cs="SimSun"/>
                <w:sz w:val="15"/>
                <w:szCs w:val="15"/>
              </w:rPr>
            </w:pPr>
            <w:r>
              <w:rPr>
                <w:rFonts w:ascii="SimSun" w:hAnsi="SimSun" w:eastAsia="SimSun" w:cs="SimSun"/>
                <w:sz w:val="15"/>
                <w:szCs w:val="15"/>
                <w:color w:val="212529"/>
                <w:spacing w:val="7"/>
              </w:rPr>
              <w:t>网络服务费</w:t>
            </w:r>
          </w:p>
        </w:tc>
        <w:tc>
          <w:tcPr>
            <w:tcW w:w="1253"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w:t>
            </w:r>
          </w:p>
        </w:tc>
        <w:tc>
          <w:tcPr>
            <w:tcW w:w="1242"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84" w:hRule="atLeast"/>
        </w:trPr>
        <w:tc>
          <w:tcPr>
            <w:tcW w:w="2921" w:type="dxa"/>
            <w:vAlign w:val="top"/>
          </w:tcPr>
          <w:p>
            <w:pPr>
              <w:ind w:left="334"/>
              <w:spacing w:before="118" w:line="229" w:lineRule="auto"/>
              <w:rPr>
                <w:rFonts w:ascii="SimSun" w:hAnsi="SimSun" w:eastAsia="SimSun" w:cs="SimSun"/>
                <w:sz w:val="15"/>
                <w:szCs w:val="15"/>
              </w:rPr>
            </w:pPr>
            <w:r>
              <w:rPr>
                <w:rFonts w:ascii="SimSun" w:hAnsi="SimSun" w:eastAsia="SimSun" w:cs="SimSun"/>
                <w:sz w:val="15"/>
                <w:szCs w:val="15"/>
                <w:color w:val="212529"/>
                <w:spacing w:val="10"/>
              </w:rPr>
              <w:t>办公场所租赁、物业费</w:t>
            </w:r>
          </w:p>
        </w:tc>
        <w:tc>
          <w:tcPr>
            <w:tcW w:w="1253"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42"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28"/>
          <w:footerReference w:type="default" r:id="rId29"/>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21"/>
        <w:gridCol w:w="1253"/>
        <w:gridCol w:w="1242"/>
        <w:gridCol w:w="659"/>
        <w:gridCol w:w="1134"/>
        <w:gridCol w:w="1101"/>
        <w:gridCol w:w="848"/>
      </w:tblGrid>
      <w:tr>
        <w:trPr>
          <w:trHeight w:val="380" w:hRule="atLeast"/>
        </w:trPr>
        <w:tc>
          <w:tcPr>
            <w:tcW w:w="2921" w:type="dxa"/>
            <w:vAlign w:val="top"/>
          </w:tcPr>
          <w:p>
            <w:pPr>
              <w:ind w:left="333"/>
              <w:spacing w:before="113" w:line="229" w:lineRule="auto"/>
              <w:rPr>
                <w:rFonts w:ascii="SimSun" w:hAnsi="SimSun" w:eastAsia="SimSun" w:cs="SimSun"/>
                <w:sz w:val="15"/>
                <w:szCs w:val="15"/>
              </w:rPr>
            </w:pPr>
            <w:bookmarkStart w:name="bookmark48" w:id="31"/>
            <w:bookmarkEnd w:id="31"/>
            <w:r>
              <w:rPr>
                <w:rFonts w:ascii="SimSun" w:hAnsi="SimSun" w:eastAsia="SimSun" w:cs="SimSun"/>
                <w:sz w:val="15"/>
                <w:szCs w:val="15"/>
                <w:color w:val="212529"/>
                <w:spacing w:val="9"/>
              </w:rPr>
              <w:t>2025年度办公场所变更费用</w:t>
            </w:r>
          </w:p>
        </w:tc>
        <w:tc>
          <w:tcPr>
            <w:tcW w:w="1253"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28.50</w:t>
            </w:r>
          </w:p>
        </w:tc>
        <w:tc>
          <w:tcPr>
            <w:tcW w:w="1242"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18"/>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77"/>
        <w:gridCol w:w="1253"/>
        <w:gridCol w:w="1382"/>
        <w:gridCol w:w="1166"/>
        <w:gridCol w:w="1280"/>
      </w:tblGrid>
      <w:tr>
        <w:trPr>
          <w:trHeight w:val="383" w:hRule="atLeast"/>
        </w:trPr>
        <w:tc>
          <w:tcPr>
            <w:tcW w:w="40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47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9" w:id="32"/>
            <w:bookmarkEnd w:id="32"/>
            <w:r>
              <w:rPr>
                <w:rFonts w:ascii="Microsoft YaHei" w:hAnsi="Microsoft YaHei" w:eastAsia="Microsoft YaHei" w:cs="Microsoft YaHei"/>
                <w:sz w:val="20"/>
                <w:szCs w:val="20"/>
                <w:color w:val="212529"/>
                <w:position w:val="-1"/>
              </w:rPr>
              <w:t>2026年项目支出预算表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878"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单位名称：长治市市场监督管理局高新技术产业开发区分局</w:t>
            </w:r>
          </w:p>
        </w:tc>
        <w:tc>
          <w:tcPr>
            <w:tcW w:w="1280" w:type="dxa"/>
            <w:vAlign w:val="top"/>
            <w:tcBorders>
              <w:top w:val="single" w:color="FFFFFF" w:sz="4" w:space="0"/>
              <w:left w:val="single" w:color="FFFFFF" w:sz="2" w:space="0"/>
              <w:right w:val="single" w:color="FFFFFF" w:sz="2" w:space="0"/>
            </w:tcBorders>
          </w:tcPr>
          <w:p>
            <w:pPr>
              <w:ind w:left="607"/>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077" w:type="dxa"/>
            <w:vAlign w:val="top"/>
            <w:vMerge w:val="restart"/>
            <w:tcBorders>
              <w:bottom w:val="nil"/>
            </w:tcBorders>
          </w:tcPr>
          <w:p>
            <w:pPr>
              <w:ind w:left="1701"/>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53" w:type="dxa"/>
            <w:vAlign w:val="top"/>
            <w:vMerge w:val="restart"/>
            <w:tcBorders>
              <w:bottom w:val="nil"/>
            </w:tcBorders>
          </w:tcPr>
          <w:p>
            <w:pPr>
              <w:ind w:left="455"/>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828" w:type="dxa"/>
            <w:vAlign w:val="top"/>
            <w:gridSpan w:val="3"/>
          </w:tcPr>
          <w:p>
            <w:pPr>
              <w:ind w:left="133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r>
      <w:tr>
        <w:trPr>
          <w:trHeight w:val="378" w:hRule="atLeast"/>
        </w:trPr>
        <w:tc>
          <w:tcPr>
            <w:tcW w:w="4077"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382" w:type="dxa"/>
            <w:vAlign w:val="top"/>
          </w:tcPr>
          <w:p>
            <w:pPr>
              <w:ind w:left="192"/>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166" w:type="dxa"/>
            <w:vAlign w:val="top"/>
          </w:tcPr>
          <w:p>
            <w:pPr>
              <w:ind w:left="409" w:right="181"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80" w:type="dxa"/>
            <w:vAlign w:val="top"/>
          </w:tcPr>
          <w:p>
            <w:pPr>
              <w:ind w:left="325"/>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30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077" w:type="dxa"/>
            <w:vAlign w:val="top"/>
          </w:tcPr>
          <w:p>
            <w:pPr>
              <w:ind w:left="1999"/>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53" w:type="dxa"/>
            <w:vAlign w:val="top"/>
          </w:tcPr>
          <w:p>
            <w:pPr>
              <w:ind w:left="578"/>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82" w:type="dxa"/>
            <w:vAlign w:val="top"/>
          </w:tcPr>
          <w:p>
            <w:pPr>
              <w:ind w:left="644"/>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66" w:type="dxa"/>
            <w:vAlign w:val="top"/>
          </w:tcPr>
          <w:p>
            <w:pPr>
              <w:ind w:left="5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80" w:type="dxa"/>
            <w:vAlign w:val="top"/>
          </w:tcPr>
          <w:p>
            <w:pPr>
              <w:ind w:left="597"/>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077" w:type="dxa"/>
            <w:vAlign w:val="top"/>
          </w:tcPr>
          <w:p>
            <w:pPr>
              <w:ind w:left="7"/>
              <w:spacing w:before="116" w:line="229" w:lineRule="auto"/>
              <w:rPr>
                <w:rFonts w:ascii="SimSun" w:hAnsi="SimSun" w:eastAsia="SimSun" w:cs="SimSun"/>
                <w:sz w:val="15"/>
                <w:szCs w:val="15"/>
              </w:rPr>
            </w:pPr>
            <w:r>
              <w:rPr>
                <w:rFonts w:ascii="SimSun" w:hAnsi="SimSun" w:eastAsia="SimSun" w:cs="SimSun"/>
                <w:sz w:val="15"/>
                <w:szCs w:val="15"/>
                <w:color w:val="212529"/>
                <w:spacing w:val="11"/>
              </w:rPr>
              <w:t>长治市市场监督管理局高新技术产业开发区分局</w:t>
            </w:r>
          </w:p>
        </w:tc>
        <w:tc>
          <w:tcPr>
            <w:tcW w:w="1253"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38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166" w:type="dxa"/>
            <w:vAlign w:val="top"/>
          </w:tcPr>
          <w:p>
            <w:pPr>
              <w:pStyle w:val="TableText"/>
              <w:rPr/>
            </w:pPr>
            <w:r/>
          </w:p>
        </w:tc>
        <w:tc>
          <w:tcPr>
            <w:tcW w:w="1280" w:type="dxa"/>
            <w:vAlign w:val="top"/>
          </w:tcPr>
          <w:p>
            <w:pPr>
              <w:pStyle w:val="TableText"/>
              <w:rPr/>
            </w:pPr>
            <w:r/>
          </w:p>
        </w:tc>
      </w:tr>
      <w:tr>
        <w:trPr>
          <w:trHeight w:val="378" w:hRule="atLeast"/>
        </w:trPr>
        <w:tc>
          <w:tcPr>
            <w:tcW w:w="4077" w:type="dxa"/>
            <w:vAlign w:val="top"/>
          </w:tcPr>
          <w:p>
            <w:pPr>
              <w:ind w:left="169"/>
              <w:spacing w:before="117" w:line="229" w:lineRule="auto"/>
              <w:rPr>
                <w:rFonts w:ascii="SimSun" w:hAnsi="SimSun" w:eastAsia="SimSun" w:cs="SimSun"/>
                <w:sz w:val="15"/>
                <w:szCs w:val="15"/>
              </w:rPr>
            </w:pPr>
            <w:r>
              <w:rPr>
                <w:rFonts w:ascii="SimSun" w:hAnsi="SimSun" w:eastAsia="SimSun" w:cs="SimSun"/>
                <w:sz w:val="15"/>
                <w:szCs w:val="15"/>
                <w:color w:val="212529"/>
                <w:spacing w:val="11"/>
              </w:rPr>
              <w:t>长治市市场监督管理局高新技术产业开发区分局</w:t>
            </w:r>
          </w:p>
        </w:tc>
        <w:tc>
          <w:tcPr>
            <w:tcW w:w="1253"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382"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166" w:type="dxa"/>
            <w:vAlign w:val="top"/>
          </w:tcPr>
          <w:p>
            <w:pPr>
              <w:pStyle w:val="TableText"/>
              <w:rPr/>
            </w:pPr>
            <w:r/>
          </w:p>
        </w:tc>
        <w:tc>
          <w:tcPr>
            <w:tcW w:w="1280" w:type="dxa"/>
            <w:vAlign w:val="top"/>
          </w:tcPr>
          <w:p>
            <w:pPr>
              <w:pStyle w:val="TableText"/>
              <w:rPr/>
            </w:pPr>
            <w:r/>
          </w:p>
        </w:tc>
      </w:tr>
      <w:tr>
        <w:trPr>
          <w:trHeight w:val="384" w:hRule="atLeast"/>
        </w:trPr>
        <w:tc>
          <w:tcPr>
            <w:tcW w:w="4077" w:type="dxa"/>
            <w:vAlign w:val="top"/>
          </w:tcPr>
          <w:p>
            <w:pPr>
              <w:ind w:left="333"/>
              <w:spacing w:before="118" w:line="229" w:lineRule="auto"/>
              <w:rPr>
                <w:rFonts w:ascii="SimSun" w:hAnsi="SimSun" w:eastAsia="SimSun" w:cs="SimSun"/>
                <w:sz w:val="15"/>
                <w:szCs w:val="15"/>
              </w:rPr>
            </w:pPr>
            <w:r>
              <w:rPr>
                <w:rFonts w:ascii="SimSun" w:hAnsi="SimSun" w:eastAsia="SimSun" w:cs="SimSun"/>
                <w:sz w:val="15"/>
                <w:szCs w:val="15"/>
                <w:color w:val="212529"/>
                <w:spacing w:val="9"/>
              </w:rPr>
              <w:t>市财政下达“个转企</w:t>
            </w:r>
            <w:r>
              <w:rPr>
                <w:rFonts w:ascii="SimSun" w:hAnsi="SimSun" w:eastAsia="SimSun" w:cs="SimSun"/>
                <w:sz w:val="15"/>
                <w:szCs w:val="15"/>
                <w:color w:val="212529"/>
                <w:spacing w:val="-38"/>
              </w:rPr>
              <w:t xml:space="preserve"> </w:t>
            </w:r>
            <w:r>
              <w:rPr>
                <w:rFonts w:ascii="SimSun" w:hAnsi="SimSun" w:eastAsia="SimSun" w:cs="SimSun"/>
                <w:sz w:val="15"/>
                <w:szCs w:val="15"/>
                <w:color w:val="212529"/>
                <w:spacing w:val="9"/>
              </w:rPr>
              <w:t>”企业补助经费</w:t>
            </w:r>
          </w:p>
        </w:tc>
        <w:tc>
          <w:tcPr>
            <w:tcW w:w="1253"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382" w:type="dxa"/>
            <w:vAlign w:val="top"/>
          </w:tcPr>
          <w:p>
            <w:pPr>
              <w:ind w:right="25"/>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6.15</w:t>
            </w:r>
          </w:p>
        </w:tc>
        <w:tc>
          <w:tcPr>
            <w:tcW w:w="1166" w:type="dxa"/>
            <w:vAlign w:val="top"/>
          </w:tcPr>
          <w:p>
            <w:pPr>
              <w:pStyle w:val="TableText"/>
              <w:rPr/>
            </w:pPr>
            <w:r/>
          </w:p>
        </w:tc>
        <w:tc>
          <w:tcPr>
            <w:tcW w:w="1280" w:type="dxa"/>
            <w:vAlign w:val="top"/>
          </w:tcPr>
          <w:p>
            <w:pPr>
              <w:pStyle w:val="TableText"/>
              <w:rPr/>
            </w:pPr>
            <w:r/>
          </w:p>
        </w:tc>
      </w:tr>
    </w:tbl>
    <w:p>
      <w:pPr>
        <w:pStyle w:val="BodyText"/>
        <w:rPr/>
      </w:pPr>
      <w:r/>
    </w:p>
    <w:p>
      <w:pPr>
        <w:sectPr>
          <w:footerReference w:type="default" r:id="rId31"/>
          <w:pgSz w:w="11900" w:h="16840"/>
          <w:pgMar w:top="642" w:right="0" w:bottom="340" w:left="0" w:header="326" w:footer="111" w:gutter="0"/>
        </w:sectPr>
        <w:rPr/>
      </w:pPr>
    </w:p>
    <w:p>
      <w:pPr>
        <w:pStyle w:val="BodyText"/>
        <w:spacing w:line="355" w:lineRule="auto"/>
        <w:rPr/>
      </w:pPr>
      <w:r/>
    </w:p>
    <w:p>
      <w:pPr>
        <w:pStyle w:val="BodyText"/>
        <w:spacing w:line="355" w:lineRule="auto"/>
        <w:rPr/>
      </w:pPr>
      <w:r/>
    </w:p>
    <w:p>
      <w:pPr>
        <w:ind w:left="4643"/>
        <w:spacing w:before="64" w:line="160" w:lineRule="exact"/>
        <w:outlineLvl w:val="0"/>
        <w:rPr>
          <w:rFonts w:ascii="Microsoft YaHei" w:hAnsi="Microsoft YaHei" w:eastAsia="Microsoft YaHei" w:cs="Microsoft YaHei"/>
          <w:sz w:val="15"/>
          <w:szCs w:val="15"/>
        </w:rPr>
      </w:pPr>
      <w:bookmarkStart w:name="bookmark20" w:id="33"/>
      <w:bookmarkEnd w:id="33"/>
      <w:r>
        <w:rPr>
          <w:rFonts w:ascii="Microsoft YaHei" w:hAnsi="Microsoft YaHei" w:eastAsia="Microsoft YaHei" w:cs="Microsoft YaHei"/>
          <w:sz w:val="15"/>
          <w:szCs w:val="15"/>
          <w:spacing w:val="5"/>
        </w:rPr>
        <w:t>第三部分</w:t>
      </w:r>
      <w:r>
        <w:rPr>
          <w:rFonts w:ascii="Microsoft YaHei" w:hAnsi="Microsoft YaHei" w:eastAsia="Microsoft YaHei" w:cs="Microsoft YaHei"/>
          <w:sz w:val="15"/>
          <w:szCs w:val="15"/>
          <w:spacing w:val="40"/>
          <w:w w:val="101"/>
        </w:rPr>
        <w:t xml:space="preserve"> </w:t>
      </w:r>
      <w:r>
        <w:rPr>
          <w:rFonts w:ascii="Microsoft YaHei" w:hAnsi="Microsoft YaHei" w:eastAsia="Microsoft YaHei" w:cs="Microsoft YaHei"/>
          <w:sz w:val="15"/>
          <w:szCs w:val="15"/>
          <w:spacing w:val="5"/>
        </w:rPr>
        <w:t>2026年度单位预算情况说明</w:t>
      </w:r>
    </w:p>
    <w:p>
      <w:pPr>
        <w:ind w:left="1208"/>
        <w:spacing w:before="290" w:line="159" w:lineRule="exact"/>
        <w:outlineLvl w:val="1"/>
        <w:rPr>
          <w:rFonts w:ascii="Microsoft YaHei" w:hAnsi="Microsoft YaHei" w:eastAsia="Microsoft YaHei" w:cs="Microsoft YaHei"/>
          <w:sz w:val="15"/>
          <w:szCs w:val="15"/>
        </w:rPr>
      </w:pPr>
      <w:bookmarkStart w:name="bookmark21" w:id="34"/>
      <w:bookmarkEnd w:id="34"/>
      <w:r>
        <w:rPr>
          <w:rFonts w:ascii="Microsoft YaHei" w:hAnsi="Microsoft YaHei" w:eastAsia="Microsoft YaHei" w:cs="Microsoft YaHei"/>
          <w:sz w:val="15"/>
          <w:szCs w:val="15"/>
          <w:spacing w:val="8"/>
        </w:rPr>
        <w:t>一、单位预算收支数据变动情况及原因</w:t>
      </w:r>
    </w:p>
    <w:p>
      <w:pPr>
        <w:ind w:left="1207" w:right="1179" w:firstLine="320"/>
        <w:spacing w:before="152" w:line="354" w:lineRule="auto"/>
        <w:jc w:val="both"/>
        <w:rPr>
          <w:rFonts w:ascii="FangSong" w:hAnsi="FangSong" w:eastAsia="FangSong" w:cs="FangSong"/>
          <w:sz w:val="16"/>
          <w:szCs w:val="16"/>
        </w:rPr>
      </w:pPr>
      <w:r>
        <w:rPr>
          <w:rFonts w:ascii="FangSong" w:hAnsi="FangSong" w:eastAsia="FangSong" w:cs="FangSong"/>
          <w:sz w:val="16"/>
          <w:szCs w:val="16"/>
          <w:spacing w:val="1"/>
        </w:rPr>
        <w:t>2026年度长治市市场监督管理局高新技术产业开发区分局预算收入总计963.87万元，其中：本年收入957.72万元，上年结转6.15万</w:t>
      </w:r>
      <w:r>
        <w:rPr>
          <w:rFonts w:ascii="FangSong" w:hAnsi="FangSong" w:eastAsia="FangSong" w:cs="FangSong"/>
          <w:sz w:val="16"/>
          <w:szCs w:val="16"/>
          <w:spacing w:val="5"/>
        </w:rPr>
        <w:t>元，</w:t>
      </w:r>
      <w:r>
        <w:rPr>
          <w:rFonts w:ascii="FangSong" w:hAnsi="FangSong" w:eastAsia="FangSong" w:cs="FangSong"/>
          <w:sz w:val="16"/>
          <w:szCs w:val="16"/>
          <w:spacing w:val="-38"/>
        </w:rPr>
        <w:t xml:space="preserve"> </w:t>
      </w:r>
      <w:r>
        <w:rPr>
          <w:rFonts w:ascii="FangSong" w:hAnsi="FangSong" w:eastAsia="FangSong" w:cs="FangSong"/>
          <w:sz w:val="16"/>
          <w:szCs w:val="16"/>
          <w:spacing w:val="5"/>
        </w:rPr>
        <w:t>比上年减少352.89万元，下降26.80%，主要原因是本年度项目经费减少了</w:t>
      </w:r>
      <w:r>
        <w:rPr>
          <w:rFonts w:ascii="FangSong" w:hAnsi="FangSong" w:eastAsia="FangSong" w:cs="FangSong"/>
          <w:sz w:val="16"/>
          <w:szCs w:val="16"/>
          <w:spacing w:val="-46"/>
        </w:rPr>
        <w:t xml:space="preserve"> </w:t>
      </w:r>
      <w:r>
        <w:rPr>
          <w:rFonts w:ascii="FangSong" w:hAnsi="FangSong" w:eastAsia="FangSong" w:cs="FangSong"/>
          <w:sz w:val="16"/>
          <w:szCs w:val="16"/>
          <w:spacing w:val="5"/>
        </w:rPr>
        <w:t>以前年度尾款项目，在经济下行压力下，压缩项目支</w:t>
      </w:r>
      <w:r>
        <w:rPr>
          <w:rFonts w:ascii="FangSong" w:hAnsi="FangSong" w:eastAsia="FangSong" w:cs="FangSong"/>
          <w:sz w:val="16"/>
          <w:szCs w:val="16"/>
          <w:spacing w:val="4"/>
        </w:rPr>
        <w:t>出</w:t>
      </w:r>
      <w:r>
        <w:rPr>
          <w:rFonts w:ascii="FangSong" w:hAnsi="FangSong" w:eastAsia="FangSong" w:cs="FangSong"/>
          <w:sz w:val="16"/>
          <w:szCs w:val="16"/>
          <w:spacing w:val="-40"/>
        </w:rPr>
        <w:t xml:space="preserve"> </w:t>
      </w:r>
      <w:r>
        <w:rPr>
          <w:rFonts w:ascii="FangSong" w:hAnsi="FangSong" w:eastAsia="FangSong" w:cs="FangSong"/>
          <w:sz w:val="16"/>
          <w:szCs w:val="16"/>
          <w:spacing w:val="4"/>
        </w:rPr>
        <w:t>。</w:t>
      </w:r>
      <w:r>
        <w:rPr>
          <w:rFonts w:ascii="FangSong" w:hAnsi="FangSong" w:eastAsia="FangSong" w:cs="FangSong"/>
          <w:sz w:val="16"/>
          <w:szCs w:val="16"/>
          <w:spacing w:val="-46"/>
        </w:rPr>
        <w:t xml:space="preserve"> </w:t>
      </w:r>
      <w:r>
        <w:rPr>
          <w:rFonts w:ascii="FangSong" w:hAnsi="FangSong" w:eastAsia="FangSong" w:cs="FangSong"/>
          <w:sz w:val="16"/>
          <w:szCs w:val="16"/>
          <w:spacing w:val="4"/>
        </w:rPr>
        <w:t>；本年单位预算支出总计963.87万元</w:t>
      </w:r>
      <w:r>
        <w:rPr>
          <w:rFonts w:ascii="FangSong" w:hAnsi="FangSong" w:eastAsia="FangSong" w:cs="FangSong"/>
          <w:sz w:val="16"/>
          <w:szCs w:val="16"/>
          <w:spacing w:val="-47"/>
        </w:rPr>
        <w:t xml:space="preserve"> </w:t>
      </w:r>
      <w:r>
        <w:rPr>
          <w:rFonts w:ascii="FangSong" w:hAnsi="FangSong" w:eastAsia="FangSong" w:cs="FangSong"/>
          <w:sz w:val="16"/>
          <w:szCs w:val="16"/>
          <w:spacing w:val="4"/>
        </w:rPr>
        <w:t>，其中：</w:t>
      </w:r>
      <w:r>
        <w:rPr>
          <w:rFonts w:ascii="FangSong" w:hAnsi="FangSong" w:eastAsia="FangSong" w:cs="FangSong"/>
          <w:sz w:val="16"/>
          <w:szCs w:val="16"/>
          <w:spacing w:val="-45"/>
        </w:rPr>
        <w:t xml:space="preserve"> </w:t>
      </w:r>
      <w:r>
        <w:rPr>
          <w:rFonts w:ascii="FangSong" w:hAnsi="FangSong" w:eastAsia="FangSong" w:cs="FangSong"/>
          <w:sz w:val="16"/>
          <w:szCs w:val="16"/>
          <w:spacing w:val="4"/>
        </w:rPr>
        <w:t>本年预算安排957.72万元</w:t>
      </w:r>
      <w:r>
        <w:rPr>
          <w:rFonts w:ascii="FangSong" w:hAnsi="FangSong" w:eastAsia="FangSong" w:cs="FangSong"/>
          <w:sz w:val="16"/>
          <w:szCs w:val="16"/>
          <w:spacing w:val="-46"/>
        </w:rPr>
        <w:t xml:space="preserve"> </w:t>
      </w:r>
      <w:r>
        <w:rPr>
          <w:rFonts w:ascii="FangSong" w:hAnsi="FangSong" w:eastAsia="FangSong" w:cs="FangSong"/>
          <w:sz w:val="16"/>
          <w:szCs w:val="16"/>
          <w:spacing w:val="4"/>
        </w:rPr>
        <w:t>，上年结转6.15万元</w:t>
      </w:r>
      <w:r>
        <w:rPr>
          <w:rFonts w:ascii="FangSong" w:hAnsi="FangSong" w:eastAsia="FangSong" w:cs="FangSong"/>
          <w:sz w:val="16"/>
          <w:szCs w:val="16"/>
          <w:spacing w:val="-47"/>
        </w:rPr>
        <w:t xml:space="preserve"> </w:t>
      </w:r>
      <w:r>
        <w:rPr>
          <w:rFonts w:ascii="FangSong" w:hAnsi="FangSong" w:eastAsia="FangSong" w:cs="FangSong"/>
          <w:sz w:val="16"/>
          <w:szCs w:val="16"/>
          <w:spacing w:val="4"/>
        </w:rPr>
        <w:t>，</w:t>
      </w:r>
      <w:r>
        <w:rPr>
          <w:rFonts w:ascii="FangSong" w:hAnsi="FangSong" w:eastAsia="FangSong" w:cs="FangSong"/>
          <w:sz w:val="16"/>
          <w:szCs w:val="16"/>
          <w:spacing w:val="-39"/>
        </w:rPr>
        <w:t xml:space="preserve"> </w:t>
      </w:r>
      <w:r>
        <w:rPr>
          <w:rFonts w:ascii="FangSong" w:hAnsi="FangSong" w:eastAsia="FangSong" w:cs="FangSong"/>
          <w:sz w:val="16"/>
          <w:szCs w:val="16"/>
          <w:spacing w:val="4"/>
        </w:rPr>
        <w:t>比上年减少352.89万元</w:t>
      </w:r>
      <w:r>
        <w:rPr>
          <w:rFonts w:ascii="FangSong" w:hAnsi="FangSong" w:eastAsia="FangSong" w:cs="FangSong"/>
          <w:sz w:val="16"/>
          <w:szCs w:val="16"/>
          <w:spacing w:val="-47"/>
        </w:rPr>
        <w:t xml:space="preserve"> </w:t>
      </w:r>
      <w:r>
        <w:rPr>
          <w:rFonts w:ascii="FangSong" w:hAnsi="FangSong" w:eastAsia="FangSong" w:cs="FangSong"/>
          <w:sz w:val="16"/>
          <w:szCs w:val="16"/>
          <w:spacing w:val="4"/>
        </w:rPr>
        <w:t>，下降</w:t>
      </w:r>
      <w:r>
        <w:rPr>
          <w:rFonts w:ascii="FangSong" w:hAnsi="FangSong" w:eastAsia="FangSong" w:cs="FangSong"/>
          <w:sz w:val="16"/>
          <w:szCs w:val="16"/>
          <w:spacing w:val="-1"/>
        </w:rPr>
        <w:t>26.80%，主要原因是本年度项目经费减少了以前年度尾款项目，在经济下行压力下，压缩项目支出。</w:t>
      </w:r>
    </w:p>
    <w:p>
      <w:pPr>
        <w:ind w:left="1208"/>
        <w:spacing w:before="1" w:line="159" w:lineRule="exact"/>
        <w:outlineLvl w:val="1"/>
        <w:rPr>
          <w:rFonts w:ascii="Microsoft YaHei" w:hAnsi="Microsoft YaHei" w:eastAsia="Microsoft YaHei" w:cs="Microsoft YaHei"/>
          <w:sz w:val="15"/>
          <w:szCs w:val="15"/>
        </w:rPr>
      </w:pPr>
      <w:bookmarkStart w:name="bookmark22" w:id="35"/>
      <w:bookmarkEnd w:id="35"/>
      <w:r>
        <w:rPr>
          <w:rFonts w:ascii="Microsoft YaHei" w:hAnsi="Microsoft YaHei" w:eastAsia="Microsoft YaHei" w:cs="Microsoft YaHei"/>
          <w:sz w:val="15"/>
          <w:szCs w:val="15"/>
          <w:spacing w:val="8"/>
        </w:rPr>
        <w:t>二、收入预算情况说明</w:t>
      </w:r>
    </w:p>
    <w:p>
      <w:pPr>
        <w:ind w:left="1206" w:right="1179" w:firstLine="321"/>
        <w:spacing w:before="143" w:line="357" w:lineRule="auto"/>
        <w:jc w:val="both"/>
        <w:rPr>
          <w:rFonts w:ascii="FangSong" w:hAnsi="FangSong" w:eastAsia="FangSong" w:cs="FangSong"/>
          <w:sz w:val="16"/>
          <w:szCs w:val="16"/>
        </w:rPr>
      </w:pPr>
      <w:r>
        <w:rPr>
          <w:rFonts w:ascii="FangSong" w:hAnsi="FangSong" w:eastAsia="FangSong" w:cs="FangSong"/>
          <w:sz w:val="16"/>
          <w:szCs w:val="16"/>
          <w:spacing w:val="3"/>
        </w:rPr>
        <w:t>2026年度长治市市场监督管理局高新技术产业开发区分局预算收入963.87万元，主要包括一般公共预算拨款收入957.72</w:t>
      </w:r>
      <w:r>
        <w:rPr>
          <w:rFonts w:ascii="FangSong" w:hAnsi="FangSong" w:eastAsia="FangSong" w:cs="FangSong"/>
          <w:sz w:val="16"/>
          <w:szCs w:val="16"/>
          <w:spacing w:val="2"/>
        </w:rPr>
        <w:t>万元，</w:t>
      </w:r>
      <w:r>
        <w:rPr>
          <w:rFonts w:ascii="FangSong" w:hAnsi="FangSong" w:eastAsia="FangSong" w:cs="FangSong"/>
          <w:sz w:val="16"/>
          <w:szCs w:val="16"/>
          <w:spacing w:val="-37"/>
        </w:rPr>
        <w:t xml:space="preserve"> </w:t>
      </w:r>
      <w:r>
        <w:rPr>
          <w:rFonts w:ascii="FangSong" w:hAnsi="FangSong" w:eastAsia="FangSong" w:cs="FangSong"/>
          <w:sz w:val="16"/>
          <w:szCs w:val="16"/>
          <w:spacing w:val="2"/>
        </w:rPr>
        <w:t>占</w:t>
      </w:r>
      <w:r>
        <w:rPr>
          <w:rFonts w:ascii="FangSong" w:hAnsi="FangSong" w:eastAsia="FangSong" w:cs="FangSong"/>
          <w:sz w:val="16"/>
          <w:szCs w:val="16"/>
        </w:rPr>
        <w:t>99.36%；政府性基金预算拨款收入0万元，占0%；国有资本经营预算拨款收入0万元，占0%；财政专户管理资金收入0万元</w:t>
      </w:r>
      <w:r>
        <w:rPr>
          <w:rFonts w:ascii="FangSong" w:hAnsi="FangSong" w:eastAsia="FangSong" w:cs="FangSong"/>
          <w:sz w:val="16"/>
          <w:szCs w:val="16"/>
          <w:spacing w:val="-1"/>
        </w:rPr>
        <w:t>，占0%；单位资</w:t>
      </w:r>
      <w:r>
        <w:rPr>
          <w:rFonts w:ascii="FangSong" w:hAnsi="FangSong" w:eastAsia="FangSong" w:cs="FangSong"/>
          <w:sz w:val="16"/>
          <w:szCs w:val="16"/>
          <w:spacing w:val="-1"/>
        </w:rPr>
        <w:t>金0万元，占0%；上年结转6.15万元，占0.64%。</w:t>
      </w:r>
    </w:p>
    <w:p>
      <w:pPr>
        <w:pStyle w:val="BodyText"/>
        <w:spacing w:line="344" w:lineRule="auto"/>
        <w:rPr/>
      </w:pPr>
      <w:r/>
    </w:p>
    <w:p>
      <w:pPr>
        <w:ind w:firstLine="3340"/>
        <w:spacing w:before="1" w:line="2665" w:lineRule="exact"/>
        <w:rPr/>
      </w:pPr>
      <w:r>
        <w:rPr>
          <w:position w:val="-53"/>
        </w:rPr>
        <w:drawing>
          <wp:inline distT="0" distB="0" distL="0" distR="0">
            <wp:extent cx="2628900" cy="1692292"/>
            <wp:effectExtent l="0" t="0" r="0" b="0"/>
            <wp:docPr id="2" name="IM 2"/>
            <wp:cNvGraphicFramePr/>
            <a:graphic>
              <a:graphicData uri="http://schemas.openxmlformats.org/drawingml/2006/picture">
                <pic:pic>
                  <pic:nvPicPr>
                    <pic:cNvPr id="2" name="IM 2"/>
                    <pic:cNvPicPr/>
                  </pic:nvPicPr>
                  <pic:blipFill>
                    <a:blip r:embed="rId34"/>
                    <a:stretch>
                      <a:fillRect/>
                    </a:stretch>
                  </pic:blipFill>
                  <pic:spPr>
                    <a:xfrm rot="0">
                      <a:off x="0" y="0"/>
                      <a:ext cx="2628900" cy="1692292"/>
                    </a:xfrm>
                    <a:prstGeom prst="rect">
                      <a:avLst/>
                    </a:prstGeom>
                  </pic:spPr>
                </pic:pic>
              </a:graphicData>
            </a:graphic>
          </wp:inline>
        </w:drawing>
      </w:r>
    </w:p>
    <w:p>
      <w:pPr>
        <w:pStyle w:val="BodyText"/>
        <w:spacing w:line="254" w:lineRule="auto"/>
        <w:rPr/>
      </w:pPr>
      <w:r/>
    </w:p>
    <w:p>
      <w:pPr>
        <w:pStyle w:val="BodyText"/>
        <w:spacing w:line="255" w:lineRule="auto"/>
        <w:rPr/>
      </w:pPr>
      <w:r/>
    </w:p>
    <w:p>
      <w:pPr>
        <w:ind w:left="1209"/>
        <w:spacing w:before="64" w:line="160" w:lineRule="exact"/>
        <w:outlineLvl w:val="1"/>
        <w:rPr>
          <w:rFonts w:ascii="Microsoft YaHei" w:hAnsi="Microsoft YaHei" w:eastAsia="Microsoft YaHei" w:cs="Microsoft YaHei"/>
          <w:sz w:val="15"/>
          <w:szCs w:val="15"/>
        </w:rPr>
      </w:pPr>
      <w:bookmarkStart w:name="bookmark23" w:id="36"/>
      <w:bookmarkEnd w:id="36"/>
      <w:r>
        <w:rPr>
          <w:rFonts w:ascii="Microsoft YaHei" w:hAnsi="Microsoft YaHei" w:eastAsia="Microsoft YaHei" w:cs="Microsoft YaHei"/>
          <w:sz w:val="15"/>
          <w:szCs w:val="15"/>
          <w:spacing w:val="8"/>
        </w:rPr>
        <w:t>三、支出预算情况说明</w:t>
      </w:r>
    </w:p>
    <w:p>
      <w:pPr>
        <w:ind w:left="1204" w:right="1179" w:firstLine="322"/>
        <w:spacing w:before="154" w:line="350" w:lineRule="auto"/>
        <w:rPr>
          <w:rFonts w:ascii="FangSong" w:hAnsi="FangSong" w:eastAsia="FangSong" w:cs="FangSong"/>
          <w:sz w:val="16"/>
          <w:szCs w:val="16"/>
        </w:rPr>
      </w:pPr>
      <w:r>
        <w:rPr>
          <w:rFonts w:ascii="FangSong" w:hAnsi="FangSong" w:eastAsia="FangSong" w:cs="FangSong"/>
          <w:sz w:val="16"/>
          <w:szCs w:val="16"/>
          <w:spacing w:val="1"/>
        </w:rPr>
        <w:t>2026年度长治市市场监督管理局高新技术产业开发区分局支出预算</w:t>
      </w:r>
      <w:r>
        <w:rPr>
          <w:rFonts w:ascii="FangSong" w:hAnsi="FangSong" w:eastAsia="FangSong" w:cs="FangSong"/>
          <w:sz w:val="16"/>
          <w:szCs w:val="16"/>
        </w:rPr>
        <w:t>963.87万元，其中：基本支出542.61万元，</w:t>
      </w:r>
      <w:r>
        <w:rPr>
          <w:rFonts w:ascii="FangSong" w:hAnsi="FangSong" w:eastAsia="FangSong" w:cs="FangSong"/>
          <w:sz w:val="16"/>
          <w:szCs w:val="16"/>
          <w:spacing w:val="-40"/>
        </w:rPr>
        <w:t xml:space="preserve"> </w:t>
      </w:r>
      <w:r>
        <w:rPr>
          <w:rFonts w:ascii="FangSong" w:hAnsi="FangSong" w:eastAsia="FangSong" w:cs="FangSong"/>
          <w:sz w:val="16"/>
          <w:szCs w:val="16"/>
        </w:rPr>
        <w:t>占56.29%；项目支出</w:t>
      </w:r>
      <w:r>
        <w:rPr>
          <w:rFonts w:ascii="FangSong" w:hAnsi="FangSong" w:eastAsia="FangSong" w:cs="FangSong"/>
          <w:sz w:val="16"/>
          <w:szCs w:val="16"/>
          <w:spacing w:val="-1"/>
        </w:rPr>
        <w:t>421.26万元，占43.71%。</w:t>
      </w:r>
    </w:p>
    <w:p>
      <w:pPr>
        <w:ind w:left="1215"/>
        <w:spacing w:line="159" w:lineRule="exact"/>
        <w:outlineLvl w:val="1"/>
        <w:rPr>
          <w:rFonts w:ascii="Microsoft YaHei" w:hAnsi="Microsoft YaHei" w:eastAsia="Microsoft YaHei" w:cs="Microsoft YaHei"/>
          <w:sz w:val="15"/>
          <w:szCs w:val="15"/>
        </w:rPr>
      </w:pPr>
      <w:bookmarkStart w:name="bookmark24" w:id="37"/>
      <w:bookmarkEnd w:id="37"/>
      <w:r>
        <w:rPr>
          <w:rFonts w:ascii="Microsoft YaHei" w:hAnsi="Microsoft YaHei" w:eastAsia="Microsoft YaHei" w:cs="Microsoft YaHei"/>
          <w:sz w:val="15"/>
          <w:szCs w:val="15"/>
          <w:spacing w:val="8"/>
        </w:rPr>
        <w:t>四、财政拨款收支预算总体情况说明</w:t>
      </w:r>
    </w:p>
    <w:p>
      <w:pPr>
        <w:ind w:left="1211" w:right="1179" w:firstLine="316"/>
        <w:spacing w:before="154" w:line="352" w:lineRule="auto"/>
        <w:jc w:val="both"/>
        <w:rPr>
          <w:rFonts w:ascii="FangSong" w:hAnsi="FangSong" w:eastAsia="FangSong" w:cs="FangSong"/>
          <w:sz w:val="16"/>
          <w:szCs w:val="16"/>
        </w:rPr>
      </w:pPr>
      <w:r>
        <w:rPr>
          <w:rFonts w:ascii="FangSong" w:hAnsi="FangSong" w:eastAsia="FangSong" w:cs="FangSong"/>
          <w:sz w:val="16"/>
          <w:szCs w:val="16"/>
          <w:spacing w:val="1"/>
        </w:rPr>
        <w:t>2026年度长治市市场监督管理局高新技术产业开发区分局财政拨款收支总预算963.87万元。其中：一般公共预算拨款963.87万元，</w:t>
      </w:r>
      <w:r>
        <w:rPr>
          <w:rFonts w:ascii="FangSong" w:hAnsi="FangSong" w:eastAsia="FangSong" w:cs="FangSong"/>
          <w:sz w:val="16"/>
          <w:szCs w:val="16"/>
          <w:spacing w:val="1"/>
        </w:rPr>
        <w:t>政府性基金预算拨款0万元，国有资本经营预算拨款0万元。其中：当年拨款收入957.72万元，上年结转收入6.15万元。支出包括：一般</w:t>
      </w:r>
      <w:r>
        <w:rPr>
          <w:rFonts w:ascii="FangSong" w:hAnsi="FangSong" w:eastAsia="FangSong" w:cs="FangSong"/>
          <w:sz w:val="16"/>
          <w:szCs w:val="16"/>
        </w:rPr>
        <w:t>公共服务支出775.31万元、社会保障和就业支出105.29万元、卫生健康支出</w:t>
      </w:r>
      <w:r>
        <w:rPr>
          <w:rFonts w:ascii="FangSong" w:hAnsi="FangSong" w:eastAsia="FangSong" w:cs="FangSong"/>
          <w:sz w:val="16"/>
          <w:szCs w:val="16"/>
          <w:spacing w:val="-1"/>
        </w:rPr>
        <w:t>44.32万元、住房保障支出38.95万元等。</w:t>
      </w:r>
    </w:p>
    <w:p>
      <w:pPr>
        <w:ind w:left="1210"/>
        <w:spacing w:before="1" w:line="160" w:lineRule="exact"/>
        <w:outlineLvl w:val="1"/>
        <w:rPr>
          <w:rFonts w:ascii="Microsoft YaHei" w:hAnsi="Microsoft YaHei" w:eastAsia="Microsoft YaHei" w:cs="Microsoft YaHei"/>
          <w:sz w:val="15"/>
          <w:szCs w:val="15"/>
        </w:rPr>
      </w:pPr>
      <w:bookmarkStart w:name="bookmark25" w:id="38"/>
      <w:bookmarkEnd w:id="38"/>
      <w:r>
        <w:rPr>
          <w:rFonts w:ascii="Microsoft YaHei" w:hAnsi="Microsoft YaHei" w:eastAsia="Microsoft YaHei" w:cs="Microsoft YaHei"/>
          <w:sz w:val="15"/>
          <w:szCs w:val="15"/>
          <w:spacing w:val="8"/>
        </w:rPr>
        <w:t>五、一般公共预算支出情况说明</w:t>
      </w:r>
    </w:p>
    <w:p>
      <w:pPr>
        <w:ind w:left="1530"/>
        <w:spacing w:before="143" w:line="222" w:lineRule="auto"/>
        <w:rPr>
          <w:rFonts w:ascii="FangSong" w:hAnsi="FangSong" w:eastAsia="FangSong" w:cs="FangSong"/>
          <w:sz w:val="16"/>
          <w:szCs w:val="16"/>
        </w:rPr>
      </w:pPr>
      <w:r>
        <w:rPr>
          <w:rFonts w:ascii="FangSong" w:hAnsi="FangSong" w:eastAsia="FangSong" w:cs="FangSong"/>
          <w:sz w:val="16"/>
          <w:szCs w:val="16"/>
          <w:spacing w:val="-1"/>
        </w:rPr>
        <w:t>（一）一般公共预算当年支出规模变化情况</w:t>
      </w:r>
    </w:p>
    <w:p>
      <w:pPr>
        <w:ind w:left="1527"/>
        <w:spacing w:before="118" w:line="222" w:lineRule="auto"/>
        <w:rPr>
          <w:rFonts w:ascii="FangSong" w:hAnsi="FangSong" w:eastAsia="FangSong" w:cs="FangSong"/>
          <w:sz w:val="16"/>
          <w:szCs w:val="16"/>
        </w:rPr>
      </w:pPr>
      <w:r>
        <w:rPr>
          <w:rFonts w:ascii="FangSong" w:hAnsi="FangSong" w:eastAsia="FangSong" w:cs="FangSong"/>
          <w:sz w:val="16"/>
          <w:szCs w:val="16"/>
        </w:rPr>
        <w:t>2026年度长治市市场监督管理局高新技术产业开发区分局一般公共预算当年支出957.72万元,比上年减少359.04万元，</w:t>
      </w:r>
      <w:r>
        <w:rPr>
          <w:rFonts w:ascii="FangSong" w:hAnsi="FangSong" w:eastAsia="FangSong" w:cs="FangSong"/>
          <w:sz w:val="16"/>
          <w:szCs w:val="16"/>
          <w:spacing w:val="-1"/>
        </w:rPr>
        <w:t>下降27.27%。</w:t>
      </w:r>
    </w:p>
    <w:p>
      <w:pPr>
        <w:ind w:left="1530"/>
        <w:spacing w:before="117" w:line="222" w:lineRule="auto"/>
        <w:rPr>
          <w:rFonts w:ascii="FangSong" w:hAnsi="FangSong" w:eastAsia="FangSong" w:cs="FangSong"/>
          <w:sz w:val="16"/>
          <w:szCs w:val="16"/>
        </w:rPr>
      </w:pPr>
      <w:r>
        <w:rPr>
          <w:rFonts w:ascii="FangSong" w:hAnsi="FangSong" w:eastAsia="FangSong" w:cs="FangSong"/>
          <w:sz w:val="16"/>
          <w:szCs w:val="16"/>
          <w:spacing w:val="-1"/>
        </w:rPr>
        <w:t>（二）一般公共预算当年支出结构情况</w:t>
      </w:r>
    </w:p>
    <w:p>
      <w:pPr>
        <w:ind w:left="1204" w:right="1180" w:firstLine="322"/>
        <w:spacing w:before="108" w:line="359" w:lineRule="auto"/>
        <w:jc w:val="both"/>
        <w:rPr>
          <w:rFonts w:ascii="FangSong" w:hAnsi="FangSong" w:eastAsia="FangSong" w:cs="FangSong"/>
          <w:sz w:val="16"/>
          <w:szCs w:val="16"/>
        </w:rPr>
      </w:pPr>
      <w:r>
        <w:rPr>
          <w:rFonts w:ascii="FangSong" w:hAnsi="FangSong" w:eastAsia="FangSong" w:cs="FangSong"/>
          <w:sz w:val="16"/>
          <w:szCs w:val="16"/>
        </w:rPr>
        <w:t>2026年度长治市市场监督管理局高新技术产业开发区分局一般公共预算当年支出957.72万元,主要用于以下方面</w:t>
      </w:r>
      <w:r>
        <w:rPr>
          <w:rFonts w:ascii="FangSong" w:hAnsi="FangSong" w:eastAsia="FangSong" w:cs="FangSong"/>
          <w:sz w:val="16"/>
          <w:szCs w:val="16"/>
          <w:spacing w:val="-1"/>
        </w:rPr>
        <w:t>：一般公共服务支出</w:t>
      </w:r>
      <w:r>
        <w:rPr>
          <w:rFonts w:ascii="FangSong" w:hAnsi="FangSong" w:eastAsia="FangSong" w:cs="FangSong"/>
          <w:sz w:val="16"/>
          <w:szCs w:val="16"/>
        </w:rPr>
        <w:t>769.16万元，占80.31%；社会保障和就业支出105.29万元，占10.99%；卫生健康支出44.3</w:t>
      </w:r>
      <w:r>
        <w:rPr>
          <w:rFonts w:ascii="FangSong" w:hAnsi="FangSong" w:eastAsia="FangSong" w:cs="FangSong"/>
          <w:sz w:val="16"/>
          <w:szCs w:val="16"/>
          <w:spacing w:val="-1"/>
        </w:rPr>
        <w:t>2万元，占4.63%；住房保障支出38.95万元，占</w:t>
      </w:r>
      <w:r>
        <w:rPr>
          <w:rFonts w:ascii="FangSong" w:hAnsi="FangSong" w:eastAsia="FangSong" w:cs="FangSong"/>
          <w:sz w:val="16"/>
          <w:szCs w:val="16"/>
          <w:spacing w:val="-3"/>
        </w:rPr>
        <w:t>4.07%等。</w:t>
      </w:r>
    </w:p>
    <w:p>
      <w:pPr>
        <w:ind w:firstLine="3954"/>
        <w:spacing w:before="143" w:line="2126" w:lineRule="exact"/>
        <w:rPr/>
      </w:pPr>
      <w:r>
        <w:rPr>
          <w:position w:val="-42"/>
        </w:rPr>
        <w:drawing>
          <wp:inline distT="0" distB="0" distL="0" distR="0">
            <wp:extent cx="2382595" cy="1349779"/>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2382595" cy="1349779"/>
                    </a:xfrm>
                    <a:prstGeom prst="rect">
                      <a:avLst/>
                    </a:prstGeom>
                  </pic:spPr>
                </pic:pic>
              </a:graphicData>
            </a:graphic>
          </wp:inline>
        </w:drawing>
      </w:r>
    </w:p>
    <w:p>
      <w:pPr>
        <w:pStyle w:val="BodyText"/>
        <w:spacing w:line="323" w:lineRule="auto"/>
        <w:rPr/>
      </w:pPr>
      <w:r/>
    </w:p>
    <w:p>
      <w:pPr>
        <w:pStyle w:val="BodyText"/>
        <w:spacing w:line="324" w:lineRule="auto"/>
        <w:rPr/>
      </w:pPr>
      <w:r/>
    </w:p>
    <w:p>
      <w:pPr>
        <w:ind w:left="1209"/>
        <w:spacing w:before="64" w:line="159" w:lineRule="exact"/>
        <w:outlineLvl w:val="1"/>
        <w:rPr>
          <w:rFonts w:ascii="Microsoft YaHei" w:hAnsi="Microsoft YaHei" w:eastAsia="Microsoft YaHei" w:cs="Microsoft YaHei"/>
          <w:sz w:val="15"/>
          <w:szCs w:val="15"/>
        </w:rPr>
      </w:pPr>
      <w:bookmarkStart w:name="bookmark26" w:id="39"/>
      <w:bookmarkEnd w:id="39"/>
      <w:r>
        <w:rPr>
          <w:rFonts w:ascii="Microsoft YaHei" w:hAnsi="Microsoft YaHei" w:eastAsia="Microsoft YaHei" w:cs="Microsoft YaHei"/>
          <w:sz w:val="15"/>
          <w:szCs w:val="15"/>
          <w:spacing w:val="8"/>
        </w:rPr>
        <w:t>六、一般公共预算基本支出情况说明</w:t>
      </w:r>
    </w:p>
    <w:p>
      <w:pPr>
        <w:ind w:left="1527"/>
        <w:spacing w:before="153" w:line="222" w:lineRule="auto"/>
        <w:rPr>
          <w:rFonts w:ascii="FangSong" w:hAnsi="FangSong" w:eastAsia="FangSong" w:cs="FangSong"/>
          <w:sz w:val="16"/>
          <w:szCs w:val="16"/>
        </w:rPr>
      </w:pPr>
      <w:r>
        <w:rPr>
          <w:rFonts w:ascii="FangSong" w:hAnsi="FangSong" w:eastAsia="FangSong" w:cs="FangSong"/>
          <w:sz w:val="16"/>
          <w:szCs w:val="16"/>
          <w:spacing w:val="-1"/>
        </w:rPr>
        <w:t>2026年度长治市市场监督管理局高新技术产业开发区分局一般公共预算安排基本支出542.61万元，其中：</w:t>
      </w:r>
    </w:p>
    <w:p>
      <w:pPr>
        <w:spacing w:line="222" w:lineRule="auto"/>
        <w:sectPr>
          <w:headerReference w:type="default" r:id="rId32"/>
          <w:footerReference w:type="default" r:id="rId33"/>
          <w:pgSz w:w="11900" w:h="16840"/>
          <w:pgMar w:top="642" w:right="0" w:bottom="340" w:left="0" w:header="326" w:footer="111" w:gutter="0"/>
        </w:sectPr>
        <w:rPr>
          <w:rFonts w:ascii="FangSong" w:hAnsi="FangSong" w:eastAsia="FangSong" w:cs="FangSong"/>
          <w:sz w:val="16"/>
          <w:szCs w:val="16"/>
        </w:rPr>
      </w:pPr>
    </w:p>
    <w:p>
      <w:pPr>
        <w:pStyle w:val="BodyText"/>
        <w:spacing w:line="283" w:lineRule="auto"/>
        <w:rPr/>
      </w:pPr>
      <w:r/>
    </w:p>
    <w:p>
      <w:pPr>
        <w:pStyle w:val="BodyText"/>
        <w:spacing w:line="283" w:lineRule="auto"/>
        <w:rPr/>
      </w:pPr>
      <w:r/>
    </w:p>
    <w:p>
      <w:pPr>
        <w:ind w:left="1211" w:right="1179" w:firstLine="321"/>
        <w:spacing w:before="52" w:line="352" w:lineRule="auto"/>
        <w:rPr>
          <w:rFonts w:ascii="FangSong" w:hAnsi="FangSong" w:eastAsia="FangSong" w:cs="FangSong"/>
          <w:sz w:val="16"/>
          <w:szCs w:val="16"/>
        </w:rPr>
      </w:pPr>
      <w:r>
        <w:rPr>
          <w:rFonts w:ascii="FangSong" w:hAnsi="FangSong" w:eastAsia="FangSong" w:cs="FangSong"/>
          <w:sz w:val="16"/>
          <w:szCs w:val="16"/>
          <w:spacing w:val="1"/>
        </w:rPr>
        <w:t>人员经费496.14万元，主要包括：其他工资福利支出、其他社会保障缴费、公务员医疗补助缴费、基本工资、退休费、机关事业单</w:t>
      </w:r>
      <w:r>
        <w:rPr>
          <w:rFonts w:ascii="FangSong" w:hAnsi="FangSong" w:eastAsia="FangSong" w:cs="FangSong"/>
          <w:sz w:val="16"/>
          <w:szCs w:val="16"/>
          <w:spacing w:val="-1"/>
        </w:rPr>
        <w:t>位基本养老保险缴费、奖金、住房公积金、奖励金、职工基本医疗保险缴费、津贴补贴、职业年金缴费等；</w:t>
      </w:r>
    </w:p>
    <w:p>
      <w:pPr>
        <w:ind w:left="1210" w:right="1180" w:firstLine="323"/>
        <w:spacing w:line="356" w:lineRule="auto"/>
        <w:rPr>
          <w:rFonts w:ascii="FangSong" w:hAnsi="FangSong" w:eastAsia="FangSong" w:cs="FangSong"/>
          <w:sz w:val="16"/>
          <w:szCs w:val="16"/>
        </w:rPr>
      </w:pPr>
      <w:r>
        <w:rPr>
          <w:rFonts w:ascii="FangSong" w:hAnsi="FangSong" w:eastAsia="FangSong" w:cs="FangSong"/>
          <w:sz w:val="16"/>
          <w:szCs w:val="16"/>
        </w:rPr>
        <w:t>公用经费46.47万元，主要包括：办公费、邮电费、公务用车运行维护费、其他商品和服务支出、</w:t>
      </w:r>
      <w:r>
        <w:rPr>
          <w:rFonts w:ascii="FangSong" w:hAnsi="FangSong" w:eastAsia="FangSong" w:cs="FangSong"/>
          <w:sz w:val="16"/>
          <w:szCs w:val="16"/>
          <w:spacing w:val="-1"/>
        </w:rPr>
        <w:t>其他交通费用、维修（护）费、差</w:t>
      </w:r>
      <w:r>
        <w:rPr>
          <w:rFonts w:ascii="FangSong" w:hAnsi="FangSong" w:eastAsia="FangSong" w:cs="FangSong"/>
          <w:sz w:val="16"/>
          <w:szCs w:val="16"/>
          <w:spacing w:val="-2"/>
        </w:rPr>
        <w:t>旅费、委托业务费、培训费等。</w:t>
      </w:r>
    </w:p>
    <w:p>
      <w:pPr>
        <w:ind w:left="1204"/>
        <w:spacing w:line="158" w:lineRule="exact"/>
        <w:outlineLvl w:val="1"/>
        <w:rPr>
          <w:rFonts w:ascii="Microsoft YaHei" w:hAnsi="Microsoft YaHei" w:eastAsia="Microsoft YaHei" w:cs="Microsoft YaHei"/>
          <w:sz w:val="15"/>
          <w:szCs w:val="15"/>
        </w:rPr>
      </w:pPr>
      <w:bookmarkStart w:name="bookmark27" w:id="40"/>
      <w:bookmarkEnd w:id="40"/>
      <w:r>
        <w:rPr>
          <w:rFonts w:ascii="Microsoft YaHei" w:hAnsi="Microsoft YaHei" w:eastAsia="Microsoft YaHei" w:cs="Microsoft YaHei"/>
          <w:sz w:val="15"/>
          <w:szCs w:val="15"/>
          <w:spacing w:val="12"/>
          <w:position w:val="-1"/>
        </w:rPr>
        <w:t>七、</w:t>
      </w:r>
      <w:r>
        <w:rPr>
          <w:rFonts w:ascii="Microsoft YaHei" w:hAnsi="Microsoft YaHei" w:eastAsia="Microsoft YaHei" w:cs="Microsoft YaHei"/>
          <w:sz w:val="15"/>
          <w:szCs w:val="15"/>
          <w:spacing w:val="12"/>
          <w:position w:val="-1"/>
        </w:rPr>
        <w:t xml:space="preserve">  </w:t>
      </w:r>
      <w:r>
        <w:rPr>
          <w:rFonts w:ascii="Microsoft YaHei" w:hAnsi="Microsoft YaHei" w:eastAsia="Microsoft YaHei" w:cs="Microsoft YaHei"/>
          <w:sz w:val="15"/>
          <w:szCs w:val="15"/>
          <w:spacing w:val="12"/>
          <w:position w:val="-1"/>
        </w:rPr>
        <w:t>"三公"经费增减变动原因说明</w:t>
      </w:r>
    </w:p>
    <w:p>
      <w:pPr>
        <w:ind w:left="1226" w:right="1180" w:firstLine="300"/>
        <w:spacing w:before="143" w:line="357" w:lineRule="auto"/>
        <w:rPr>
          <w:rFonts w:ascii="FangSong" w:hAnsi="FangSong" w:eastAsia="FangSong" w:cs="FangSong"/>
          <w:sz w:val="16"/>
          <w:szCs w:val="16"/>
        </w:rPr>
      </w:pPr>
      <w:r>
        <w:rPr>
          <w:rFonts w:ascii="FangSong" w:hAnsi="FangSong" w:eastAsia="FangSong" w:cs="FangSong"/>
          <w:sz w:val="16"/>
          <w:szCs w:val="16"/>
        </w:rPr>
        <w:t>2026年长治市市场监督管理局高新技术产业开发区分局财政拨款安排的“三公”经费预算6.00万元比2025年减少</w:t>
      </w:r>
      <w:r>
        <w:rPr>
          <w:rFonts w:ascii="FangSong" w:hAnsi="FangSong" w:eastAsia="FangSong" w:cs="FangSong"/>
          <w:sz w:val="16"/>
          <w:szCs w:val="16"/>
        </w:rPr>
        <w:t xml:space="preserve"> </w:t>
      </w:r>
      <w:r>
        <w:rPr>
          <w:rFonts w:ascii="FangSong" w:hAnsi="FangSong" w:eastAsia="FangSong" w:cs="FangSong"/>
          <w:sz w:val="16"/>
          <w:szCs w:val="16"/>
        </w:rPr>
        <w:t>2</w:t>
      </w:r>
      <w:r>
        <w:rPr>
          <w:rFonts w:ascii="FangSong" w:hAnsi="FangSong" w:eastAsia="FangSong" w:cs="FangSong"/>
          <w:sz w:val="16"/>
          <w:szCs w:val="16"/>
          <w:spacing w:val="-1"/>
        </w:rPr>
        <w:t>.00万元，主要原</w:t>
      </w:r>
      <w:r>
        <w:rPr>
          <w:rFonts w:ascii="FangSong" w:hAnsi="FangSong" w:eastAsia="FangSong" w:cs="FangSong"/>
          <w:sz w:val="16"/>
          <w:szCs w:val="16"/>
          <w:spacing w:val="-2"/>
        </w:rPr>
        <w:t>因是在经济下行压力下，压缩支出。。</w:t>
      </w:r>
    </w:p>
    <w:p>
      <w:pPr>
        <w:ind w:left="1211" w:right="1179" w:firstLine="320"/>
        <w:spacing w:line="346" w:lineRule="auto"/>
        <w:rPr>
          <w:rFonts w:ascii="FangSong" w:hAnsi="FangSong" w:eastAsia="FangSong" w:cs="FangSong"/>
          <w:sz w:val="16"/>
          <w:szCs w:val="16"/>
        </w:rPr>
      </w:pPr>
      <w:r>
        <w:rPr>
          <w:rFonts w:ascii="FangSong" w:hAnsi="FangSong" w:eastAsia="FangSong" w:cs="FangSong"/>
          <w:sz w:val="16"/>
          <w:szCs w:val="16"/>
          <w:spacing w:val="1"/>
        </w:rPr>
        <w:t>其中：因公出国（境）费0万元，与上年预算数相同；公务接待费0万元，与上年预算数相同；公务用车购置及运行费6.00万元，与</w:t>
      </w:r>
      <w:r>
        <w:rPr>
          <w:rFonts w:ascii="FangSong" w:hAnsi="FangSong" w:eastAsia="FangSong" w:cs="FangSong"/>
          <w:sz w:val="16"/>
          <w:szCs w:val="16"/>
          <w:spacing w:val="4"/>
        </w:rPr>
        <w:t>上年相比预算数减少2.00万元，主要原因是在经济下行压力下，压缩支出。，公务用车运</w:t>
      </w:r>
      <w:r>
        <w:rPr>
          <w:rFonts w:ascii="FangSong" w:hAnsi="FangSong" w:eastAsia="FangSong" w:cs="FangSong"/>
          <w:sz w:val="16"/>
          <w:szCs w:val="16"/>
          <w:spacing w:val="3"/>
        </w:rPr>
        <w:t>行维护费6.00万元，与上年相比预算数减少</w:t>
      </w:r>
    </w:p>
    <w:p>
      <w:pPr>
        <w:ind w:left="1207"/>
        <w:spacing w:before="11" w:line="199" w:lineRule="auto"/>
        <w:rPr>
          <w:rFonts w:ascii="FangSong" w:hAnsi="FangSong" w:eastAsia="FangSong" w:cs="FangSong"/>
          <w:sz w:val="16"/>
          <w:szCs w:val="16"/>
        </w:rPr>
      </w:pPr>
      <w:r>
        <w:rPr>
          <w:rFonts w:ascii="FangSong" w:hAnsi="FangSong" w:eastAsia="FangSong" w:cs="FangSong"/>
          <w:sz w:val="16"/>
          <w:szCs w:val="16"/>
          <w:spacing w:val="-1"/>
        </w:rPr>
        <w:t>2.00万元，主要原因是在经济下行压力下，压缩支出。</w:t>
      </w:r>
      <w:r>
        <w:rPr>
          <w:rFonts w:ascii="FangSong" w:hAnsi="FangSong" w:eastAsia="FangSong" w:cs="FangSong"/>
          <w:sz w:val="16"/>
          <w:szCs w:val="16"/>
          <w:spacing w:val="-47"/>
        </w:rPr>
        <w:t xml:space="preserve"> </w:t>
      </w:r>
      <w:r>
        <w:rPr>
          <w:rFonts w:ascii="FangSong" w:hAnsi="FangSong" w:eastAsia="FangSong" w:cs="FangSong"/>
          <w:sz w:val="16"/>
          <w:szCs w:val="16"/>
          <w:spacing w:val="-1"/>
        </w:rPr>
        <w:t>；公务用车购置费0</w:t>
      </w:r>
      <w:r>
        <w:rPr>
          <w:rFonts w:ascii="FangSong" w:hAnsi="FangSong" w:eastAsia="FangSong" w:cs="FangSong"/>
          <w:sz w:val="16"/>
          <w:szCs w:val="16"/>
          <w:spacing w:val="-2"/>
        </w:rPr>
        <w:t>万元，与上年预算数相同。</w:t>
      </w:r>
    </w:p>
    <w:p>
      <w:pPr>
        <w:ind w:left="9969"/>
        <w:spacing w:line="162" w:lineRule="exact"/>
        <w:rPr>
          <w:rFonts w:ascii="SimSun" w:hAnsi="SimSun" w:eastAsia="SimSun" w:cs="SimSun"/>
          <w:sz w:val="12"/>
          <w:szCs w:val="12"/>
        </w:rPr>
      </w:pPr>
      <w:r>
        <w:pict>
          <v:group id="_x0000_s262" style="position:absolute;margin-left:494pt;margin-top:-2.26599pt;mso-position-vertical-relative:text;mso-position-horizontal-relative:text;width:30pt;height:12pt;z-index:-251658240;" filled="false" stroked="false" coordsize="600,240" coordorigin="0,0">
            <v:shape id="_x0000_s264" style="position:absolute;left:0;top:0;width:240;height:240;" filled="false" strokecolor="#409EFF" strokeweight="0.50pt" coordsize="240,240" coordorigin="0,0" path="m235,120c235,127,234,135,232,142c231,149,229,157,226,164c223,170,219,177,215,183c211,190,206,195,201,201c195,206,190,211,183,215c177,219,170,223,164,226c157,229,149,231,142,232c135,234,127,234,120,235c112,234,104,234,97,232c90,231,82,229,75,226c69,223,62,219,56,215c49,211,44,206,38,201c33,195,28,190,24,183c20,177,16,170,13,164c10,157,8,149,7,142c5,135,5,127,5,120c5,112,5,104,7,97c8,90,10,82,13,75c16,69,20,62,24,56c28,49,33,44,38,38c44,33,49,28,56,24c62,20,69,16,75,13c82,10,90,8,97,7c104,5,112,5,120,5c127,5,135,5,142,7c149,8,157,10,164,13c170,16,177,20,183,24c190,28,195,33,201,38c206,44,211,49,215,56c219,62,223,69,226,75c229,82,231,90,232,97c234,104,235,112,235,120e">
              <v:stroke joinstyle="miter" miterlimit="4"/>
            </v:shape>
            <v:shape id="_x0000_s266" style="position:absolute;left:360;top:0;width:240;height:240;" filled="false" strokecolor="#F56C6C" strokeweight="0.50pt" coordsize="240,240" coordorigin="0,0" path="m235,120c235,127,234,135,232,142c231,149,229,157,226,164c223,170,219,177,215,183c211,190,206,195,201,201c195,206,190,211,183,215c177,219,170,223,164,226c157,229,149,231,142,232c135,234,127,234,120,235c112,234,104,234,97,232c90,231,82,229,75,226c69,223,62,219,56,215c49,211,44,206,38,201c33,195,28,190,24,183c20,177,16,170,13,164c10,157,8,149,7,142c5,135,5,127,5,120c5,112,5,104,7,97c8,90,10,82,13,75c16,69,20,62,24,56c28,49,33,44,38,38c44,33,49,28,56,24c62,20,69,16,75,13c82,10,90,8,97,7c104,5,112,5,120,5c127,5,135,5,142,7c149,8,157,10,164,13c170,16,177,20,183,24c190,28,195,33,201,38c206,44,211,49,215,56c219,62,223,69,226,75c229,82,231,90,232,97c234,104,235,112,235,120e">
              <v:stroke joinstyle="miter" miterlimit="4"/>
            </v:shape>
          </v:group>
        </w:pict>
      </w:r>
      <w:r>
        <w:rPr>
          <w:rFonts w:ascii="SimSun" w:hAnsi="SimSun" w:eastAsia="SimSun" w:cs="SimSun"/>
          <w:sz w:val="12"/>
          <w:szCs w:val="12"/>
          <w:color w:val="409EFF"/>
          <w:position w:val="4"/>
        </w:rPr>
        <w:t>。</w:t>
      </w:r>
      <w:r>
        <w:rPr>
          <w:rFonts w:ascii="SimSun" w:hAnsi="SimSun" w:eastAsia="SimSun" w:cs="SimSun"/>
          <w:sz w:val="12"/>
          <w:szCs w:val="12"/>
          <w:color w:val="409EFF"/>
          <w:spacing w:val="19"/>
          <w:w w:val="101"/>
          <w:position w:val="4"/>
        </w:rPr>
        <w:t xml:space="preserve">   </w:t>
      </w:r>
      <w:r>
        <w:rPr>
          <w:rFonts w:ascii="SimSun" w:hAnsi="SimSun" w:eastAsia="SimSun" w:cs="SimSun"/>
          <w:sz w:val="12"/>
          <w:szCs w:val="12"/>
          <w:color w:val="F56C6C"/>
          <w:position w:val="4"/>
        </w:rPr>
        <w:t>。</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203"/>
        <w:spacing w:before="65" w:line="160" w:lineRule="exact"/>
        <w:outlineLvl w:val="1"/>
        <w:rPr>
          <w:rFonts w:ascii="Microsoft YaHei" w:hAnsi="Microsoft YaHei" w:eastAsia="Microsoft YaHei" w:cs="Microsoft YaHei"/>
          <w:sz w:val="15"/>
          <w:szCs w:val="15"/>
        </w:rPr>
      </w:pPr>
      <w:bookmarkStart w:name="bookmark28" w:id="41"/>
      <w:bookmarkEnd w:id="41"/>
      <w:r>
        <w:rPr>
          <w:rFonts w:ascii="Microsoft YaHei" w:hAnsi="Microsoft YaHei" w:eastAsia="Microsoft YaHei" w:cs="Microsoft YaHei"/>
          <w:sz w:val="15"/>
          <w:szCs w:val="15"/>
          <w:spacing w:val="9"/>
        </w:rPr>
        <w:t>八、机关运行经费增减变动原因说明</w:t>
      </w:r>
    </w:p>
    <w:p>
      <w:pPr>
        <w:ind w:left="1531"/>
        <w:spacing w:before="143" w:line="221" w:lineRule="auto"/>
        <w:rPr>
          <w:rFonts w:ascii="FangSong" w:hAnsi="FangSong" w:eastAsia="FangSong" w:cs="FangSong"/>
          <w:sz w:val="16"/>
          <w:szCs w:val="16"/>
        </w:rPr>
      </w:pPr>
      <w:r>
        <w:rPr>
          <w:rFonts w:ascii="FangSong" w:hAnsi="FangSong" w:eastAsia="FangSong" w:cs="FangSong"/>
          <w:sz w:val="16"/>
          <w:szCs w:val="16"/>
        </w:rPr>
        <w:t>本单位机关运行经费财政拨款预算46.47万元，比2025</w:t>
      </w:r>
      <w:r>
        <w:rPr>
          <w:rFonts w:ascii="FangSong" w:hAnsi="FangSong" w:eastAsia="FangSong" w:cs="FangSong"/>
          <w:sz w:val="16"/>
          <w:szCs w:val="16"/>
          <w:spacing w:val="-1"/>
        </w:rPr>
        <w:t>年预算增加0.9万元，增长0.9%，原因是残保金的预算金额增加。</w:t>
      </w:r>
    </w:p>
    <w:p>
      <w:pPr>
        <w:ind w:left="1206"/>
        <w:spacing w:before="117" w:line="156" w:lineRule="exact"/>
        <w:outlineLvl w:val="1"/>
        <w:rPr>
          <w:rFonts w:ascii="Microsoft YaHei" w:hAnsi="Microsoft YaHei" w:eastAsia="Microsoft YaHei" w:cs="Microsoft YaHei"/>
          <w:sz w:val="15"/>
          <w:szCs w:val="15"/>
        </w:rPr>
      </w:pPr>
      <w:bookmarkStart w:name="bookmark29" w:id="42"/>
      <w:bookmarkEnd w:id="42"/>
      <w:r>
        <w:rPr>
          <w:rFonts w:ascii="Microsoft YaHei" w:hAnsi="Microsoft YaHei" w:eastAsia="Microsoft YaHei" w:cs="Microsoft YaHei"/>
          <w:sz w:val="15"/>
          <w:szCs w:val="15"/>
          <w:spacing w:val="9"/>
          <w:position w:val="-1"/>
        </w:rPr>
        <w:t>九、政府采购情况</w:t>
      </w:r>
    </w:p>
    <w:p>
      <w:pPr>
        <w:ind w:left="1214" w:right="1180" w:firstLine="313"/>
        <w:spacing w:before="155" w:line="347" w:lineRule="auto"/>
        <w:rPr>
          <w:rFonts w:ascii="FangSong" w:hAnsi="FangSong" w:eastAsia="FangSong" w:cs="FangSong"/>
          <w:sz w:val="16"/>
          <w:szCs w:val="16"/>
        </w:rPr>
      </w:pPr>
      <w:r>
        <w:rPr>
          <w:rFonts w:ascii="FangSong" w:hAnsi="FangSong" w:eastAsia="FangSong" w:cs="FangSong"/>
          <w:sz w:val="16"/>
          <w:szCs w:val="16"/>
        </w:rPr>
        <w:t>2026年长治市市场监督管理局高新技术产业开发区分局政府采购预算总额14.80万元。其中：政府采购货物预算9.</w:t>
      </w:r>
      <w:r>
        <w:rPr>
          <w:rFonts w:ascii="FangSong" w:hAnsi="FangSong" w:eastAsia="FangSong" w:cs="FangSong"/>
          <w:sz w:val="16"/>
          <w:szCs w:val="16"/>
          <w:spacing w:val="-1"/>
        </w:rPr>
        <w:t>50万元、政府采购</w:t>
      </w:r>
      <w:r>
        <w:rPr>
          <w:rFonts w:ascii="FangSong" w:hAnsi="FangSong" w:eastAsia="FangSong" w:cs="FangSong"/>
          <w:sz w:val="16"/>
          <w:szCs w:val="16"/>
          <w:spacing w:val="-2"/>
        </w:rPr>
        <w:t>工程预算0万元、政府采购服务预算5.30万元。</w:t>
      </w:r>
    </w:p>
    <w:p>
      <w:pPr>
        <w:ind w:left="1208"/>
        <w:spacing w:before="6" w:line="159" w:lineRule="exact"/>
        <w:outlineLvl w:val="1"/>
        <w:rPr>
          <w:rFonts w:ascii="Microsoft YaHei" w:hAnsi="Microsoft YaHei" w:eastAsia="Microsoft YaHei" w:cs="Microsoft YaHei"/>
          <w:sz w:val="15"/>
          <w:szCs w:val="15"/>
        </w:rPr>
      </w:pPr>
      <w:bookmarkStart w:name="bookmark30" w:id="43"/>
      <w:bookmarkEnd w:id="43"/>
      <w:r>
        <w:rPr>
          <w:rFonts w:ascii="Microsoft YaHei" w:hAnsi="Microsoft YaHei" w:eastAsia="Microsoft YaHei" w:cs="Microsoft YaHei"/>
          <w:sz w:val="15"/>
          <w:szCs w:val="15"/>
          <w:spacing w:val="9"/>
        </w:rPr>
        <w:t>十、绩效管理情况</w:t>
      </w:r>
    </w:p>
    <w:p>
      <w:pPr>
        <w:ind w:left="1537"/>
        <w:spacing w:before="154" w:line="222" w:lineRule="auto"/>
        <w:rPr>
          <w:rFonts w:ascii="FangSong" w:hAnsi="FangSong" w:eastAsia="FangSong" w:cs="FangSong"/>
          <w:sz w:val="16"/>
          <w:szCs w:val="16"/>
        </w:rPr>
      </w:pPr>
      <w:r>
        <w:rPr>
          <w:rFonts w:ascii="FangSong" w:hAnsi="FangSong" w:eastAsia="FangSong" w:cs="FangSong"/>
          <w:sz w:val="16"/>
          <w:szCs w:val="16"/>
          <w:spacing w:val="-2"/>
        </w:rPr>
        <w:t>1、整体绩效目标</w:t>
      </w:r>
    </w:p>
    <w:p>
      <w:pPr>
        <w:ind w:left="1207"/>
        <w:spacing w:before="108" w:line="221" w:lineRule="auto"/>
        <w:rPr>
          <w:rFonts w:ascii="FangSong" w:hAnsi="FangSong" w:eastAsia="FangSong" w:cs="FangSong"/>
          <w:sz w:val="16"/>
          <w:szCs w:val="16"/>
        </w:rPr>
      </w:pPr>
      <w:r>
        <w:rPr>
          <w:rFonts w:ascii="FangSong" w:hAnsi="FangSong" w:eastAsia="FangSong" w:cs="FangSong"/>
          <w:sz w:val="16"/>
          <w:szCs w:val="16"/>
          <w:spacing w:val="-1"/>
        </w:rPr>
        <w:t>2026年长治市市场监督管理局高新技术产业开发区分局单位整体绩效目标，涉及资金0万元。</w:t>
      </w:r>
    </w:p>
    <w:p>
      <w:pPr>
        <w:ind w:left="1527"/>
        <w:spacing w:before="118" w:line="222" w:lineRule="auto"/>
        <w:rPr>
          <w:rFonts w:ascii="FangSong" w:hAnsi="FangSong" w:eastAsia="FangSong" w:cs="FangSong"/>
          <w:sz w:val="16"/>
          <w:szCs w:val="16"/>
        </w:rPr>
      </w:pPr>
      <w:r>
        <w:rPr>
          <w:rFonts w:ascii="FangSong" w:hAnsi="FangSong" w:eastAsia="FangSong" w:cs="FangSong"/>
          <w:sz w:val="16"/>
          <w:szCs w:val="16"/>
          <w:spacing w:val="-1"/>
        </w:rPr>
        <w:t>2、项目绩效目标</w:t>
      </w:r>
    </w:p>
    <w:p>
      <w:pPr>
        <w:ind w:left="1211" w:right="1179" w:firstLine="316"/>
        <w:spacing w:before="107" w:line="355" w:lineRule="auto"/>
        <w:rPr>
          <w:rFonts w:ascii="FangSong" w:hAnsi="FangSong" w:eastAsia="FangSong" w:cs="FangSong"/>
          <w:sz w:val="16"/>
          <w:szCs w:val="16"/>
        </w:rPr>
      </w:pPr>
      <w:r>
        <w:rPr>
          <w:rFonts w:ascii="FangSong" w:hAnsi="FangSong" w:eastAsia="FangSong" w:cs="FangSong"/>
          <w:sz w:val="16"/>
          <w:szCs w:val="16"/>
          <w:spacing w:val="1"/>
        </w:rPr>
        <w:t>2026年长治市市场监督管理局高新技术产业开发区分局纳入绩效目标管理的二级项目31个，共计金额415.11万元。其中：其他运转</w:t>
      </w:r>
      <w:r>
        <w:rPr>
          <w:rFonts w:ascii="FangSong" w:hAnsi="FangSong" w:eastAsia="FangSong" w:cs="FangSong"/>
          <w:sz w:val="16"/>
          <w:szCs w:val="16"/>
          <w:spacing w:val="1"/>
        </w:rPr>
        <w:t>类项目29个，涉及金额380.11万元；特定目标类项目2</w:t>
      </w:r>
      <w:r>
        <w:rPr>
          <w:rFonts w:ascii="FangSong" w:hAnsi="FangSong" w:eastAsia="FangSong" w:cs="FangSong"/>
          <w:sz w:val="16"/>
          <w:szCs w:val="16"/>
        </w:rPr>
        <w:t>个，涉及金额35.00万元。公开项目绩效目标31个，涉及项目金额415.11万元，</w:t>
      </w:r>
      <w:r>
        <w:rPr>
          <w:rFonts w:ascii="FangSong" w:hAnsi="FangSong" w:eastAsia="FangSong" w:cs="FangSong"/>
          <w:sz w:val="16"/>
          <w:szCs w:val="16"/>
          <w:spacing w:val="-40"/>
        </w:rPr>
        <w:t xml:space="preserve"> </w:t>
      </w:r>
      <w:r>
        <w:rPr>
          <w:rFonts w:ascii="FangSong" w:hAnsi="FangSong" w:eastAsia="FangSong" w:cs="FangSong"/>
          <w:sz w:val="16"/>
          <w:szCs w:val="16"/>
        </w:rPr>
        <w:t>占</w:t>
      </w:r>
      <w:r>
        <w:rPr>
          <w:rFonts w:ascii="FangSong" w:hAnsi="FangSong" w:eastAsia="FangSong" w:cs="FangSong"/>
          <w:sz w:val="16"/>
          <w:szCs w:val="16"/>
          <w:spacing w:val="1"/>
        </w:rPr>
        <w:t>部门（单位）项目支出总额的100%。其中：其他运转类项目29个，涉及项目金额380.11万元；特定目标类项目2个，涉及项目金额35.00</w:t>
      </w:r>
      <w:r>
        <w:rPr>
          <w:rFonts w:ascii="FangSong" w:hAnsi="FangSong" w:eastAsia="FangSong" w:cs="FangSong"/>
          <w:sz w:val="16"/>
          <w:szCs w:val="16"/>
          <w:spacing w:val="-8"/>
        </w:rPr>
        <w:t>万元。</w:t>
      </w:r>
    </w:p>
    <w:p>
      <w:pPr>
        <w:ind w:left="1210"/>
        <w:spacing w:line="222" w:lineRule="auto"/>
        <w:rPr>
          <w:rFonts w:ascii="FangSong" w:hAnsi="FangSong" w:eastAsia="FangSong" w:cs="FangSong"/>
          <w:sz w:val="16"/>
          <w:szCs w:val="16"/>
        </w:rPr>
      </w:pPr>
      <w:r>
        <w:rPr>
          <w:rFonts w:ascii="FangSong" w:hAnsi="FangSong" w:eastAsia="FangSong" w:cs="FangSong"/>
          <w:sz w:val="16"/>
          <w:szCs w:val="16"/>
          <w:spacing w:val="-2"/>
        </w:rPr>
        <w:t>（项目绩效目标表公开情况见附件）</w:t>
      </w:r>
    </w:p>
    <w:p>
      <w:pPr>
        <w:spacing w:line="222" w:lineRule="auto"/>
        <w:sectPr>
          <w:headerReference w:type="default" r:id="rId18"/>
          <w:footerReference w:type="default" r:id="rId36"/>
          <w:pgSz w:w="11900" w:h="16840"/>
          <w:pgMar w:top="642" w:right="0" w:bottom="340" w:left="0" w:header="326" w:footer="111" w:gutter="0"/>
        </w:sectPr>
        <w:rPr>
          <w:rFonts w:ascii="FangSong" w:hAnsi="FangSong" w:eastAsia="FangSong" w:cs="FangSong"/>
          <w:sz w:val="16"/>
          <w:szCs w:val="16"/>
        </w:rPr>
      </w:pPr>
    </w:p>
    <w:p>
      <w:pPr>
        <w:pStyle w:val="BodyText"/>
        <w:spacing w:line="277" w:lineRule="auto"/>
        <w:rPr/>
      </w:pPr>
      <w:r/>
    </w:p>
    <w:p>
      <w:pPr>
        <w:pStyle w:val="BodyText"/>
        <w:spacing w:line="278" w:lineRule="auto"/>
        <w:rPr/>
      </w:pPr>
      <w:r/>
    </w:p>
    <w:p>
      <w:pPr>
        <w:ind w:firstLine="2430"/>
        <w:spacing w:line="9825" w:lineRule="exact"/>
        <w:rPr/>
      </w:pPr>
      <w:r>
        <w:pict>
          <v:shape id="_x0000_s282"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284"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4486275" cy="6238875"/>
                    </a:xfrm>
                    <a:prstGeom prst="rect">
                      <a:avLst/>
                    </a:prstGeom>
                  </pic:spPr>
                </pic:pic>
              </a:graphicData>
            </a:graphic>
          </wp:inline>
        </w:drawing>
      </w:r>
    </w:p>
    <w:p>
      <w:pPr>
        <w:spacing w:line="9825" w:lineRule="exact"/>
        <w:sectPr>
          <w:headerReference w:type="default" r:id="rId37"/>
          <w:footerReference w:type="default" r:id="rId3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286"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88"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8" name="IM 8"/>
            <wp:cNvGraphicFramePr/>
            <a:graphic>
              <a:graphicData uri="http://schemas.openxmlformats.org/drawingml/2006/picture">
                <pic:pic>
                  <pic:nvPicPr>
                    <pic:cNvPr id="8" name="IM 8"/>
                    <pic:cNvPicPr/>
                  </pic:nvPicPr>
                  <pic:blipFill>
                    <a:blip r:embed="rId41"/>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4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290"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292"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10" name="IM 10"/>
            <wp:cNvGraphicFramePr/>
            <a:graphic>
              <a:graphicData uri="http://schemas.openxmlformats.org/drawingml/2006/picture">
                <pic:pic>
                  <pic:nvPicPr>
                    <pic:cNvPr id="10" name="IM 10"/>
                    <pic:cNvPicPr/>
                  </pic:nvPicPr>
                  <pic:blipFill>
                    <a:blip r:embed="rId43"/>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42"/>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294"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96"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12" name="IM 12"/>
            <wp:cNvGraphicFramePr/>
            <a:graphic>
              <a:graphicData uri="http://schemas.openxmlformats.org/drawingml/2006/picture">
                <pic:pic>
                  <pic:nvPicPr>
                    <pic:cNvPr id="12" name="IM 12"/>
                    <pic:cNvPicPr/>
                  </pic:nvPicPr>
                  <pic:blipFill>
                    <a:blip r:embed="rId45"/>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298"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300"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14" name="IM 14"/>
            <wp:cNvGraphicFramePr/>
            <a:graphic>
              <a:graphicData uri="http://schemas.openxmlformats.org/drawingml/2006/picture">
                <pic:pic>
                  <pic:nvPicPr>
                    <pic:cNvPr id="14" name="IM 14"/>
                    <pic:cNvPicPr/>
                  </pic:nvPicPr>
                  <pic:blipFill>
                    <a:blip r:embed="rId47"/>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46"/>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02"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304"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16" name="IM 16"/>
            <wp:cNvGraphicFramePr/>
            <a:graphic>
              <a:graphicData uri="http://schemas.openxmlformats.org/drawingml/2006/picture">
                <pic:pic>
                  <pic:nvPicPr>
                    <pic:cNvPr id="16" name="IM 16"/>
                    <pic:cNvPicPr/>
                  </pic:nvPicPr>
                  <pic:blipFill>
                    <a:blip r:embed="rId49"/>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4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06"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308"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18" name="IM 18"/>
            <wp:cNvGraphicFramePr/>
            <a:graphic>
              <a:graphicData uri="http://schemas.openxmlformats.org/drawingml/2006/picture">
                <pic:pic>
                  <pic:nvPicPr>
                    <pic:cNvPr id="18" name="IM 18"/>
                    <pic:cNvPicPr/>
                  </pic:nvPicPr>
                  <pic:blipFill>
                    <a:blip r:embed="rId51"/>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5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10"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312"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20" name="IM 20"/>
            <wp:cNvGraphicFramePr/>
            <a:graphic>
              <a:graphicData uri="http://schemas.openxmlformats.org/drawingml/2006/picture">
                <pic:pic>
                  <pic:nvPicPr>
                    <pic:cNvPr id="20" name="IM 20"/>
                    <pic:cNvPicPr/>
                  </pic:nvPicPr>
                  <pic:blipFill>
                    <a:blip r:embed="rId53"/>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5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14"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316"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22" name="IM 22"/>
            <wp:cNvGraphicFramePr/>
            <a:graphic>
              <a:graphicData uri="http://schemas.openxmlformats.org/drawingml/2006/picture">
                <pic:pic>
                  <pic:nvPicPr>
                    <pic:cNvPr id="22" name="IM 22"/>
                    <pic:cNvPicPr/>
                  </pic:nvPicPr>
                  <pic:blipFill>
                    <a:blip r:embed="rId55"/>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5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18"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320"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24" name="IM 24"/>
            <wp:cNvGraphicFramePr/>
            <a:graphic>
              <a:graphicData uri="http://schemas.openxmlformats.org/drawingml/2006/picture">
                <pic:pic>
                  <pic:nvPicPr>
                    <pic:cNvPr id="24" name="IM 24"/>
                    <pic:cNvPicPr/>
                  </pic:nvPicPr>
                  <pic:blipFill>
                    <a:blip r:embed="rId57"/>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5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22"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324"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26" name="IM 26"/>
            <wp:cNvGraphicFramePr/>
            <a:graphic>
              <a:graphicData uri="http://schemas.openxmlformats.org/drawingml/2006/picture">
                <pic:pic>
                  <pic:nvPicPr>
                    <pic:cNvPr id="26" name="IM 26"/>
                    <pic:cNvPicPr/>
                  </pic:nvPicPr>
                  <pic:blipFill>
                    <a:blip r:embed="rId59"/>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5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26"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328"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28" name="IM 28"/>
            <wp:cNvGraphicFramePr/>
            <a:graphic>
              <a:graphicData uri="http://schemas.openxmlformats.org/drawingml/2006/picture">
                <pic:pic>
                  <pic:nvPicPr>
                    <pic:cNvPr id="28" name="IM 28"/>
                    <pic:cNvPicPr/>
                  </pic:nvPicPr>
                  <pic:blipFill>
                    <a:blip r:embed="rId61"/>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6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30"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332" style="position:absolute;margin-left:391.92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30" name="IM 30"/>
            <wp:cNvGraphicFramePr/>
            <a:graphic>
              <a:graphicData uri="http://schemas.openxmlformats.org/drawingml/2006/picture">
                <pic:pic>
                  <pic:nvPicPr>
                    <pic:cNvPr id="30" name="IM 30"/>
                    <pic:cNvPicPr/>
                  </pic:nvPicPr>
                  <pic:blipFill>
                    <a:blip r:embed="rId63"/>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6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34"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36"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32" name="IM 32"/>
            <wp:cNvGraphicFramePr/>
            <a:graphic>
              <a:graphicData uri="http://schemas.openxmlformats.org/drawingml/2006/picture">
                <pic:pic>
                  <pic:nvPicPr>
                    <pic:cNvPr id="32" name="IM 32"/>
                    <pic:cNvPicPr/>
                  </pic:nvPicPr>
                  <pic:blipFill>
                    <a:blip r:embed="rId65"/>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6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38" style="position:absolute;margin-left:391.92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340"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34" name="IM 34"/>
            <wp:cNvGraphicFramePr/>
            <a:graphic>
              <a:graphicData uri="http://schemas.openxmlformats.org/drawingml/2006/picture">
                <pic:pic>
                  <pic:nvPicPr>
                    <pic:cNvPr id="34" name="IM 34"/>
                    <pic:cNvPicPr/>
                  </pic:nvPicPr>
                  <pic:blipFill>
                    <a:blip r:embed="rId67"/>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6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42"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344" style="position:absolute;margin-left:86.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36" name="IM 36"/>
            <wp:cNvGraphicFramePr/>
            <a:graphic>
              <a:graphicData uri="http://schemas.openxmlformats.org/drawingml/2006/picture">
                <pic:pic>
                  <pic:nvPicPr>
                    <pic:cNvPr id="36" name="IM 36"/>
                    <pic:cNvPicPr/>
                  </pic:nvPicPr>
                  <pic:blipFill>
                    <a:blip r:embed="rId69"/>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6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46"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48" style="position:absolute;margin-left:391.92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38" name="IM 38"/>
            <wp:cNvGraphicFramePr/>
            <a:graphic>
              <a:graphicData uri="http://schemas.openxmlformats.org/drawingml/2006/picture">
                <pic:pic>
                  <pic:nvPicPr>
                    <pic:cNvPr id="38" name="IM 38"/>
                    <pic:cNvPicPr/>
                  </pic:nvPicPr>
                  <pic:blipFill>
                    <a:blip r:embed="rId71"/>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7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50"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52"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40" name="IM 40"/>
            <wp:cNvGraphicFramePr/>
            <a:graphic>
              <a:graphicData uri="http://schemas.openxmlformats.org/drawingml/2006/picture">
                <pic:pic>
                  <pic:nvPicPr>
                    <pic:cNvPr id="40" name="IM 40"/>
                    <pic:cNvPicPr/>
                  </pic:nvPicPr>
                  <pic:blipFill>
                    <a:blip r:embed="rId73"/>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7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54"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56"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42" name="IM 42"/>
            <wp:cNvGraphicFramePr/>
            <a:graphic>
              <a:graphicData uri="http://schemas.openxmlformats.org/drawingml/2006/picture">
                <pic:pic>
                  <pic:nvPicPr>
                    <pic:cNvPr id="42" name="IM 42"/>
                    <pic:cNvPicPr/>
                  </pic:nvPicPr>
                  <pic:blipFill>
                    <a:blip r:embed="rId75"/>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7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58"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360" style="position:absolute;margin-left:86.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44" name="IM 44"/>
            <wp:cNvGraphicFramePr/>
            <a:graphic>
              <a:graphicData uri="http://schemas.openxmlformats.org/drawingml/2006/picture">
                <pic:pic>
                  <pic:nvPicPr>
                    <pic:cNvPr id="44" name="IM 44"/>
                    <pic:cNvPicPr/>
                  </pic:nvPicPr>
                  <pic:blipFill>
                    <a:blip r:embed="rId77"/>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7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62" style="position:absolute;margin-left:391.92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64" style="position:absolute;margin-left:86.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46" name="IM 46"/>
            <wp:cNvGraphicFramePr/>
            <a:graphic>
              <a:graphicData uri="http://schemas.openxmlformats.org/drawingml/2006/picture">
                <pic:pic>
                  <pic:nvPicPr>
                    <pic:cNvPr id="46" name="IM 46"/>
                    <pic:cNvPicPr/>
                  </pic:nvPicPr>
                  <pic:blipFill>
                    <a:blip r:embed="rId79"/>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7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366" style="position:absolute;margin-left:391.92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68"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06"/>
        </w:rPr>
        <w:drawing>
          <wp:inline distT="0" distB="0" distL="0" distR="0">
            <wp:extent cx="4486275" cy="6543675"/>
            <wp:effectExtent l="0" t="0" r="0" b="0"/>
            <wp:docPr id="48" name="IM 48"/>
            <wp:cNvGraphicFramePr/>
            <a:graphic>
              <a:graphicData uri="http://schemas.openxmlformats.org/drawingml/2006/picture">
                <pic:pic>
                  <pic:nvPicPr>
                    <pic:cNvPr id="48" name="IM 48"/>
                    <pic:cNvPicPr/>
                  </pic:nvPicPr>
                  <pic:blipFill>
                    <a:blip r:embed="rId81"/>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8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70"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72"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50" name="IM 50"/>
            <wp:cNvGraphicFramePr/>
            <a:graphic>
              <a:graphicData uri="http://schemas.openxmlformats.org/drawingml/2006/picture">
                <pic:pic>
                  <pic:nvPicPr>
                    <pic:cNvPr id="50" name="IM 50"/>
                    <pic:cNvPicPr/>
                  </pic:nvPicPr>
                  <pic:blipFill>
                    <a:blip r:embed="rId83"/>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82"/>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74"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76"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52" name="IM 52"/>
            <wp:cNvGraphicFramePr/>
            <a:graphic>
              <a:graphicData uri="http://schemas.openxmlformats.org/drawingml/2006/picture">
                <pic:pic>
                  <pic:nvPicPr>
                    <pic:cNvPr id="52" name="IM 52"/>
                    <pic:cNvPicPr/>
                  </pic:nvPicPr>
                  <pic:blipFill>
                    <a:blip r:embed="rId85"/>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8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78" style="position:absolute;margin-left:391.92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80"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54" name="IM 54"/>
            <wp:cNvGraphicFramePr/>
            <a:graphic>
              <a:graphicData uri="http://schemas.openxmlformats.org/drawingml/2006/picture">
                <pic:pic>
                  <pic:nvPicPr>
                    <pic:cNvPr id="54" name="IM 54"/>
                    <pic:cNvPicPr/>
                  </pic:nvPicPr>
                  <pic:blipFill>
                    <a:blip r:embed="rId87"/>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86"/>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82"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84"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56" name="IM 56"/>
            <wp:cNvGraphicFramePr/>
            <a:graphic>
              <a:graphicData uri="http://schemas.openxmlformats.org/drawingml/2006/picture">
                <pic:pic>
                  <pic:nvPicPr>
                    <pic:cNvPr id="56" name="IM 56"/>
                    <pic:cNvPicPr/>
                  </pic:nvPicPr>
                  <pic:blipFill>
                    <a:blip r:embed="rId89"/>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8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86" style="position:absolute;margin-left:391.92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88" style="position:absolute;margin-left:86.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58" name="IM 58"/>
            <wp:cNvGraphicFramePr/>
            <a:graphic>
              <a:graphicData uri="http://schemas.openxmlformats.org/drawingml/2006/picture">
                <pic:pic>
                  <pic:nvPicPr>
                    <pic:cNvPr id="58" name="IM 58"/>
                    <pic:cNvPicPr/>
                  </pic:nvPicPr>
                  <pic:blipFill>
                    <a:blip r:embed="rId91"/>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9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90" style="position:absolute;margin-left:391.92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60" name="IM 60"/>
            <wp:cNvGraphicFramePr/>
            <a:graphic>
              <a:graphicData uri="http://schemas.openxmlformats.org/drawingml/2006/picture">
                <pic:pic>
                  <pic:nvPicPr>
                    <pic:cNvPr id="60" name="IM 60"/>
                    <pic:cNvPicPr/>
                  </pic:nvPicPr>
                  <pic:blipFill>
                    <a:blip r:embed="rId93"/>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9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394"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96" style="position:absolute;margin-left:86.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201"/>
        </w:rPr>
        <w:drawing>
          <wp:inline distT="0" distB="0" distL="0" distR="0">
            <wp:extent cx="4486275" cy="6391275"/>
            <wp:effectExtent l="0" t="0" r="0" b="0"/>
            <wp:docPr id="62" name="IM 62"/>
            <wp:cNvGraphicFramePr/>
            <a:graphic>
              <a:graphicData uri="http://schemas.openxmlformats.org/drawingml/2006/picture">
                <pic:pic>
                  <pic:nvPicPr>
                    <pic:cNvPr id="62" name="IM 62"/>
                    <pic:cNvPicPr/>
                  </pic:nvPicPr>
                  <pic:blipFill>
                    <a:blip r:embed="rId95"/>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9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398" style="position:absolute;margin-left:86.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400" style="position:absolute;margin-left:391.92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64" name="IM 64"/>
            <wp:cNvGraphicFramePr/>
            <a:graphic>
              <a:graphicData uri="http://schemas.openxmlformats.org/drawingml/2006/picture">
                <pic:pic>
                  <pic:nvPicPr>
                    <pic:cNvPr id="64" name="IM 64"/>
                    <pic:cNvPicPr/>
                  </pic:nvPicPr>
                  <pic:blipFill>
                    <a:blip r:embed="rId97"/>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9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02" style="position:absolute;margin-left:86.92pt;margin-top:472.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404" style="position:absolute;margin-left:391.92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rPr>
          <w:position w:val="-196"/>
        </w:rPr>
        <w:drawing>
          <wp:inline distT="0" distB="0" distL="0" distR="0">
            <wp:extent cx="4486275" cy="6238875"/>
            <wp:effectExtent l="0" t="0" r="0" b="0"/>
            <wp:docPr id="66" name="IM 66"/>
            <wp:cNvGraphicFramePr/>
            <a:graphic>
              <a:graphicData uri="http://schemas.openxmlformats.org/drawingml/2006/picture">
                <pic:pic>
                  <pic:nvPicPr>
                    <pic:cNvPr id="66" name="IM 66"/>
                    <pic:cNvPicPr/>
                  </pic:nvPicPr>
                  <pic:blipFill>
                    <a:blip r:embed="rId99"/>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98"/>
          <w:pgSz w:w="11900" w:h="16840"/>
          <w:pgMar w:top="642" w:right="0" w:bottom="340" w:left="0" w:header="326" w:footer="111" w:gutter="0"/>
        </w:sectPr>
        <w:rPr/>
      </w:pPr>
    </w:p>
    <w:p>
      <w:pPr>
        <w:pStyle w:val="BodyText"/>
        <w:spacing w:line="274" w:lineRule="auto"/>
        <w:rPr/>
      </w:pPr>
      <w:r/>
    </w:p>
    <w:p>
      <w:pPr>
        <w:pStyle w:val="BodyText"/>
        <w:spacing w:line="274" w:lineRule="auto"/>
        <w:rPr/>
      </w:pPr>
      <w:r/>
    </w:p>
    <w:p>
      <w:pPr>
        <w:ind w:left="1512"/>
        <w:spacing w:before="99" w:line="235" w:lineRule="exact"/>
        <w:outlineLvl w:val="1"/>
        <w:rPr>
          <w:rFonts w:ascii="Microsoft YaHei" w:hAnsi="Microsoft YaHei" w:eastAsia="Microsoft YaHei" w:cs="Microsoft YaHei"/>
          <w:sz w:val="23"/>
          <w:szCs w:val="23"/>
        </w:rPr>
      </w:pPr>
      <w:bookmarkStart w:name="bookmark31" w:id="46"/>
      <w:bookmarkEnd w:id="46"/>
      <w:r>
        <w:rPr>
          <w:rFonts w:ascii="Microsoft YaHei" w:hAnsi="Microsoft YaHei" w:eastAsia="Microsoft YaHei" w:cs="Microsoft YaHei"/>
          <w:sz w:val="23"/>
          <w:szCs w:val="23"/>
          <w:spacing w:val="9"/>
          <w:position w:val="-1"/>
        </w:rPr>
        <w:t>十一、国有资产占有使用情况</w:t>
      </w:r>
    </w:p>
    <w:p>
      <w:pPr>
        <w:ind w:left="2006"/>
        <w:spacing w:before="232" w:line="219" w:lineRule="auto"/>
        <w:rPr>
          <w:rFonts w:ascii="FangSong" w:hAnsi="FangSong" w:eastAsia="FangSong" w:cs="FangSong"/>
          <w:sz w:val="24"/>
          <w:szCs w:val="24"/>
        </w:rPr>
      </w:pPr>
      <w:r>
        <w:rPr>
          <w:rFonts w:ascii="FangSong" w:hAnsi="FangSong" w:eastAsia="FangSong" w:cs="FangSong"/>
          <w:sz w:val="24"/>
          <w:szCs w:val="24"/>
          <w:spacing w:val="-10"/>
        </w:rPr>
        <w:t>1、车辆情况：</w:t>
      </w:r>
    </w:p>
    <w:p>
      <w:pPr>
        <w:ind w:left="1515" w:right="1474" w:firstLine="480"/>
        <w:spacing w:before="162" w:line="355" w:lineRule="auto"/>
        <w:rPr>
          <w:rFonts w:ascii="FangSong" w:hAnsi="FangSong" w:eastAsia="FangSong" w:cs="FangSong"/>
          <w:sz w:val="24"/>
          <w:szCs w:val="24"/>
        </w:rPr>
      </w:pPr>
      <w:r>
        <w:rPr>
          <w:rFonts w:ascii="FangSong" w:hAnsi="FangSong" w:eastAsia="FangSong" w:cs="FangSong"/>
          <w:sz w:val="24"/>
          <w:szCs w:val="24"/>
          <w:spacing w:val="2"/>
        </w:rPr>
        <w:t>截至2026年2月12</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日，长治市市场监督管理局高新技术产业开发区分局共有公务</w:t>
      </w:r>
      <w:r>
        <w:rPr>
          <w:rFonts w:ascii="FangSong" w:hAnsi="FangSong" w:eastAsia="FangSong" w:cs="FangSong"/>
          <w:sz w:val="24"/>
          <w:szCs w:val="24"/>
          <w:spacing w:val="10"/>
        </w:rPr>
        <w:t>用车编制3辆，实有3辆，其中：领导用车0辆，机要通信用车1辆，应急保障用车1</w:t>
      </w:r>
      <w:r>
        <w:rPr>
          <w:rFonts w:ascii="FangSong" w:hAnsi="FangSong" w:eastAsia="FangSong" w:cs="FangSong"/>
          <w:sz w:val="24"/>
          <w:szCs w:val="24"/>
          <w:spacing w:val="4"/>
        </w:rPr>
        <w:t>辆，执法执勤用车1辆，特种专业技术用车0辆，事业单位业务用车0辆，其他</w:t>
      </w:r>
      <w:r>
        <w:rPr>
          <w:rFonts w:ascii="FangSong" w:hAnsi="FangSong" w:eastAsia="FangSong" w:cs="FangSong"/>
          <w:sz w:val="24"/>
          <w:szCs w:val="24"/>
          <w:spacing w:val="3"/>
        </w:rPr>
        <w:t>公务用</w:t>
      </w:r>
      <w:r>
        <w:rPr>
          <w:rFonts w:ascii="FangSong" w:hAnsi="FangSong" w:eastAsia="FangSong" w:cs="FangSong"/>
          <w:sz w:val="24"/>
          <w:szCs w:val="24"/>
          <w:spacing w:val="4"/>
        </w:rPr>
        <w:t>车0辆。2024年9月因基层市场所监管需要，市局借给我分局</w:t>
      </w:r>
      <w:r>
        <w:rPr>
          <w:rFonts w:ascii="FangSong" w:hAnsi="FangSong" w:eastAsia="FangSong" w:cs="FangSong"/>
          <w:sz w:val="24"/>
          <w:szCs w:val="24"/>
          <w:spacing w:val="3"/>
        </w:rPr>
        <w:t>公务用车3辆，用于日常</w:t>
      </w:r>
      <w:r>
        <w:rPr>
          <w:rFonts w:ascii="FangSong" w:hAnsi="FangSong" w:eastAsia="FangSong" w:cs="FangSong"/>
          <w:sz w:val="24"/>
          <w:szCs w:val="24"/>
          <w:spacing w:val="-3"/>
        </w:rPr>
        <w:t>的监管,车辆的运行费用由我局承担。</w:t>
      </w:r>
    </w:p>
    <w:p>
      <w:pPr>
        <w:ind w:left="1991"/>
        <w:spacing w:before="5" w:line="222" w:lineRule="auto"/>
        <w:rPr>
          <w:rFonts w:ascii="FangSong" w:hAnsi="FangSong" w:eastAsia="FangSong" w:cs="FangSong"/>
          <w:sz w:val="24"/>
          <w:szCs w:val="24"/>
        </w:rPr>
      </w:pPr>
      <w:r>
        <w:rPr>
          <w:rFonts w:ascii="FangSong" w:hAnsi="FangSong" w:eastAsia="FangSong" w:cs="FangSong"/>
          <w:sz w:val="24"/>
          <w:szCs w:val="24"/>
          <w:spacing w:val="-8"/>
        </w:rPr>
        <w:t>2、房屋情况：</w:t>
      </w:r>
    </w:p>
    <w:p>
      <w:pPr>
        <w:ind w:left="1520" w:right="1474" w:firstLine="475"/>
        <w:spacing w:before="160" w:line="358" w:lineRule="auto"/>
        <w:rPr>
          <w:rFonts w:ascii="FangSong" w:hAnsi="FangSong" w:eastAsia="FangSong" w:cs="FangSong"/>
          <w:sz w:val="24"/>
          <w:szCs w:val="24"/>
        </w:rPr>
      </w:pPr>
      <w:r>
        <w:rPr>
          <w:rFonts w:ascii="FangSong" w:hAnsi="FangSong" w:eastAsia="FangSong" w:cs="FangSong"/>
          <w:sz w:val="24"/>
          <w:szCs w:val="24"/>
          <w:spacing w:val="2"/>
        </w:rPr>
        <w:t>截至2026年2月12</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日，长治市市场监督管理局高新技术产业开发区分局使用的办</w:t>
      </w:r>
      <w:r>
        <w:rPr>
          <w:rFonts w:ascii="FangSong" w:hAnsi="FangSong" w:eastAsia="FangSong" w:cs="FangSong"/>
          <w:sz w:val="24"/>
          <w:szCs w:val="24"/>
          <w:spacing w:val="-3"/>
        </w:rPr>
        <w:t>公用房建筑总面积476平方米。</w:t>
      </w:r>
    </w:p>
    <w:p>
      <w:pPr>
        <w:ind w:left="1993"/>
        <w:spacing w:line="221" w:lineRule="auto"/>
        <w:rPr>
          <w:rFonts w:ascii="FangSong" w:hAnsi="FangSong" w:eastAsia="FangSong" w:cs="FangSong"/>
          <w:sz w:val="24"/>
          <w:szCs w:val="24"/>
        </w:rPr>
      </w:pPr>
      <w:r>
        <w:rPr>
          <w:rFonts w:ascii="FangSong" w:hAnsi="FangSong" w:eastAsia="FangSong" w:cs="FangSong"/>
          <w:sz w:val="24"/>
          <w:szCs w:val="24"/>
          <w:spacing w:val="-5"/>
        </w:rPr>
        <w:t>3、其他国有资产占有使用情况：</w:t>
      </w:r>
    </w:p>
    <w:p>
      <w:pPr>
        <w:ind w:left="1515" w:right="1474" w:firstLine="480"/>
        <w:spacing w:before="164" w:line="353" w:lineRule="auto"/>
        <w:rPr>
          <w:rFonts w:ascii="FangSong" w:hAnsi="FangSong" w:eastAsia="FangSong" w:cs="FangSong"/>
          <w:sz w:val="24"/>
          <w:szCs w:val="24"/>
        </w:rPr>
      </w:pPr>
      <w:r>
        <w:rPr>
          <w:rFonts w:ascii="FangSong" w:hAnsi="FangSong" w:eastAsia="FangSong" w:cs="FangSong"/>
          <w:sz w:val="24"/>
          <w:szCs w:val="24"/>
          <w:spacing w:val="2"/>
        </w:rPr>
        <w:t>截至2026年2月12</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日，长治市市场监督管理局高新技术产业开发区分局占有使用</w:t>
      </w:r>
      <w:r>
        <w:rPr>
          <w:rFonts w:ascii="FangSong" w:hAnsi="FangSong" w:eastAsia="FangSong" w:cs="FangSong"/>
          <w:sz w:val="24"/>
          <w:szCs w:val="24"/>
          <w:spacing w:val="2"/>
        </w:rPr>
        <w:t>价值50万元（原值）</w:t>
      </w:r>
      <w:r>
        <w:rPr>
          <w:rFonts w:ascii="FangSong" w:hAnsi="FangSong" w:eastAsia="FangSong" w:cs="FangSong"/>
          <w:sz w:val="24"/>
          <w:szCs w:val="24"/>
          <w:spacing w:val="-69"/>
        </w:rPr>
        <w:t xml:space="preserve"> </w:t>
      </w:r>
      <w:r>
        <w:rPr>
          <w:rFonts w:ascii="FangSong" w:hAnsi="FangSong" w:eastAsia="FangSong" w:cs="FangSong"/>
          <w:sz w:val="24"/>
          <w:szCs w:val="24"/>
          <w:spacing w:val="2"/>
        </w:rPr>
        <w:t>以上的通用设备0台（套</w:t>
      </w:r>
      <w:r>
        <w:rPr>
          <w:rFonts w:ascii="FangSong" w:hAnsi="FangSong" w:eastAsia="FangSong" w:cs="FangSong"/>
          <w:sz w:val="24"/>
          <w:szCs w:val="24"/>
          <w:spacing w:val="14"/>
        </w:rPr>
        <w:t>）；</w:t>
      </w:r>
      <w:r>
        <w:rPr>
          <w:rFonts w:ascii="FangSong" w:hAnsi="FangSong" w:eastAsia="FangSong" w:cs="FangSong"/>
          <w:sz w:val="24"/>
          <w:szCs w:val="24"/>
          <w:spacing w:val="2"/>
        </w:rPr>
        <w:t>长治市市场监督管理局高新</w:t>
      </w:r>
      <w:r>
        <w:rPr>
          <w:rFonts w:ascii="FangSong" w:hAnsi="FangSong" w:eastAsia="FangSong" w:cs="FangSong"/>
          <w:sz w:val="24"/>
          <w:szCs w:val="24"/>
          <w:spacing w:val="1"/>
        </w:rPr>
        <w:t>技术产</w:t>
      </w:r>
      <w:r>
        <w:rPr>
          <w:rFonts w:ascii="FangSong" w:hAnsi="FangSong" w:eastAsia="FangSong" w:cs="FangSong"/>
          <w:sz w:val="24"/>
          <w:szCs w:val="24"/>
          <w:spacing w:val="-1"/>
        </w:rPr>
        <w:t>业开发区分局占有使用价值100万元（原值）以上的通</w:t>
      </w:r>
      <w:r>
        <w:rPr>
          <w:rFonts w:ascii="FangSong" w:hAnsi="FangSong" w:eastAsia="FangSong" w:cs="FangSong"/>
          <w:sz w:val="24"/>
          <w:szCs w:val="24"/>
          <w:spacing w:val="-2"/>
        </w:rPr>
        <w:t>用设备0台（套）。</w:t>
      </w:r>
    </w:p>
    <w:p>
      <w:pPr>
        <w:ind w:left="1512"/>
        <w:spacing w:line="237" w:lineRule="exact"/>
        <w:outlineLvl w:val="1"/>
        <w:rPr>
          <w:rFonts w:ascii="Microsoft YaHei" w:hAnsi="Microsoft YaHei" w:eastAsia="Microsoft YaHei" w:cs="Microsoft YaHei"/>
          <w:sz w:val="23"/>
          <w:szCs w:val="23"/>
        </w:rPr>
      </w:pPr>
      <w:bookmarkStart w:name="bookmark32" w:id="47"/>
      <w:bookmarkEnd w:id="47"/>
      <w:r>
        <w:rPr>
          <w:rFonts w:ascii="Microsoft YaHei" w:hAnsi="Microsoft YaHei" w:eastAsia="Microsoft YaHei" w:cs="Microsoft YaHei"/>
          <w:sz w:val="23"/>
          <w:szCs w:val="23"/>
          <w:spacing w:val="6"/>
          <w:position w:val="-1"/>
        </w:rPr>
        <w:t>十二、其他说明</w:t>
      </w:r>
    </w:p>
    <w:p>
      <w:pPr>
        <w:ind w:left="1995"/>
        <w:spacing w:before="230" w:line="220" w:lineRule="auto"/>
        <w:outlineLvl w:val="2"/>
        <w:rPr>
          <w:rFonts w:ascii="FangSong" w:hAnsi="FangSong" w:eastAsia="FangSong" w:cs="FangSong"/>
          <w:sz w:val="24"/>
          <w:szCs w:val="24"/>
        </w:rPr>
      </w:pPr>
      <w:bookmarkStart w:name="bookmark33" w:id="48"/>
      <w:bookmarkEnd w:id="48"/>
      <w:r>
        <w:rPr>
          <w:rFonts w:ascii="FangSong" w:hAnsi="FangSong" w:eastAsia="FangSong" w:cs="FangSong"/>
          <w:sz w:val="24"/>
          <w:szCs w:val="24"/>
          <w:spacing w:val="-3"/>
        </w:rPr>
        <w:t>（一）政府购买服务指导性目录</w:t>
      </w:r>
    </w:p>
    <w:p>
      <w:pPr>
        <w:ind w:left="1996"/>
        <w:spacing w:before="223" w:line="221" w:lineRule="auto"/>
        <w:rPr>
          <w:rFonts w:ascii="FangSong" w:hAnsi="FangSong" w:eastAsia="FangSong" w:cs="FangSong"/>
          <w:sz w:val="24"/>
          <w:szCs w:val="24"/>
        </w:rPr>
      </w:pPr>
      <w:r>
        <w:rPr>
          <w:rFonts w:ascii="FangSong" w:hAnsi="FangSong" w:eastAsia="FangSong" w:cs="FangSong"/>
          <w:sz w:val="24"/>
          <w:szCs w:val="24"/>
          <w:spacing w:val="-5"/>
        </w:rPr>
        <w:t>本单位无政府购买服务。</w:t>
      </w:r>
    </w:p>
    <w:p>
      <w:pPr>
        <w:ind w:left="1995"/>
        <w:spacing w:before="208" w:line="222" w:lineRule="auto"/>
        <w:outlineLvl w:val="2"/>
        <w:rPr>
          <w:rFonts w:ascii="FangSong" w:hAnsi="FangSong" w:eastAsia="FangSong" w:cs="FangSong"/>
          <w:sz w:val="24"/>
          <w:szCs w:val="24"/>
        </w:rPr>
      </w:pPr>
      <w:bookmarkStart w:name="bookmark34" w:id="49"/>
      <w:bookmarkEnd w:id="49"/>
      <w:r>
        <w:rPr>
          <w:rFonts w:ascii="FangSong" w:hAnsi="FangSong" w:eastAsia="FangSong" w:cs="FangSong"/>
          <w:sz w:val="24"/>
          <w:szCs w:val="24"/>
          <w:spacing w:val="-6"/>
        </w:rPr>
        <w:t>（二）其他</w:t>
      </w:r>
    </w:p>
    <w:p>
      <w:pPr>
        <w:ind w:left="1996"/>
        <w:spacing w:before="222" w:line="221" w:lineRule="auto"/>
        <w:rPr>
          <w:rFonts w:ascii="FangSong" w:hAnsi="FangSong" w:eastAsia="FangSong" w:cs="FangSong"/>
          <w:sz w:val="24"/>
          <w:szCs w:val="24"/>
        </w:rPr>
      </w:pPr>
      <w:r>
        <w:rPr>
          <w:rFonts w:ascii="FangSong" w:hAnsi="FangSong" w:eastAsia="FangSong" w:cs="FangSong"/>
          <w:sz w:val="24"/>
          <w:szCs w:val="24"/>
          <w:spacing w:val="-5"/>
        </w:rPr>
        <w:t>本单位无其他事项。</w:t>
      </w:r>
    </w:p>
    <w:p>
      <w:pPr>
        <w:spacing w:line="221" w:lineRule="auto"/>
        <w:sectPr>
          <w:headerReference w:type="default" r:id="rId100"/>
          <w:footerReference w:type="default" r:id="rId101"/>
          <w:pgSz w:w="11900" w:h="16840"/>
          <w:pgMar w:top="642" w:right="0" w:bottom="340" w:left="0" w:header="326" w:footer="111" w:gutter="0"/>
        </w:sectPr>
        <w:rPr>
          <w:rFonts w:ascii="FangSong" w:hAnsi="FangSong" w:eastAsia="FangSong" w:cs="FangSong"/>
          <w:sz w:val="24"/>
          <w:szCs w:val="24"/>
        </w:rPr>
      </w:pPr>
    </w:p>
    <w:p>
      <w:pPr>
        <w:pStyle w:val="BodyText"/>
        <w:spacing w:line="280" w:lineRule="auto"/>
        <w:rPr/>
      </w:pPr>
      <w:r/>
    </w:p>
    <w:p>
      <w:pPr>
        <w:pStyle w:val="BodyText"/>
        <w:spacing w:line="280" w:lineRule="auto"/>
        <w:rPr/>
      </w:pPr>
      <w:r/>
    </w:p>
    <w:p>
      <w:pPr>
        <w:ind w:left="4947"/>
        <w:spacing w:before="99" w:line="237" w:lineRule="exact"/>
        <w:outlineLvl w:val="0"/>
        <w:rPr>
          <w:rFonts w:ascii="Microsoft YaHei" w:hAnsi="Microsoft YaHei" w:eastAsia="Microsoft YaHei" w:cs="Microsoft YaHei"/>
          <w:sz w:val="23"/>
          <w:szCs w:val="23"/>
        </w:rPr>
      </w:pPr>
      <w:bookmarkStart w:name="bookmark35" w:id="50"/>
      <w:bookmarkEnd w:id="50"/>
      <w:r>
        <w:rPr>
          <w:rFonts w:ascii="Microsoft YaHei" w:hAnsi="Microsoft YaHei" w:eastAsia="Microsoft YaHei" w:cs="Microsoft YaHei"/>
          <w:sz w:val="23"/>
          <w:szCs w:val="23"/>
          <w:spacing w:val="14"/>
          <w:position w:val="-1"/>
        </w:rPr>
        <w:t>第四部分</w:t>
      </w:r>
      <w:r>
        <w:rPr>
          <w:rFonts w:ascii="Microsoft YaHei" w:hAnsi="Microsoft YaHei" w:eastAsia="Microsoft YaHei" w:cs="Microsoft YaHei"/>
          <w:sz w:val="23"/>
          <w:szCs w:val="23"/>
          <w:spacing w:val="14"/>
          <w:position w:val="-1"/>
        </w:rPr>
        <w:t xml:space="preserve"> </w:t>
      </w:r>
      <w:r>
        <w:rPr>
          <w:rFonts w:ascii="Microsoft YaHei" w:hAnsi="Microsoft YaHei" w:eastAsia="Microsoft YaHei" w:cs="Microsoft YaHei"/>
          <w:sz w:val="23"/>
          <w:szCs w:val="23"/>
          <w:spacing w:val="14"/>
          <w:position w:val="-1"/>
        </w:rPr>
        <w:t>名词解释</w:t>
      </w:r>
    </w:p>
    <w:p>
      <w:pPr>
        <w:pStyle w:val="BodyText"/>
        <w:spacing w:line="317" w:lineRule="auto"/>
        <w:rPr/>
      </w:pPr>
      <w:r/>
    </w:p>
    <w:p>
      <w:pPr>
        <w:ind w:left="1520" w:right="1474" w:firstLine="472"/>
        <w:spacing w:before="78" w:line="348" w:lineRule="auto"/>
        <w:rPr>
          <w:rFonts w:ascii="FangSong" w:hAnsi="FangSong" w:eastAsia="FangSong" w:cs="FangSong"/>
          <w:sz w:val="24"/>
          <w:szCs w:val="24"/>
        </w:rPr>
      </w:pPr>
      <w:r>
        <w:rPr>
          <w:rFonts w:ascii="SimHei" w:hAnsi="SimHei" w:eastAsia="SimHei" w:cs="SimHei"/>
          <w:sz w:val="24"/>
          <w:szCs w:val="24"/>
          <w:spacing w:val="1"/>
        </w:rPr>
        <w:t>一、基本支出：</w:t>
      </w:r>
      <w:r>
        <w:rPr>
          <w:rFonts w:ascii="FangSong" w:hAnsi="FangSong" w:eastAsia="FangSong" w:cs="FangSong"/>
          <w:sz w:val="24"/>
          <w:szCs w:val="24"/>
          <w:spacing w:val="1"/>
        </w:rPr>
        <w:t>指为保障机构正常运转、完成日常工作任务而发生的</w:t>
      </w:r>
      <w:r>
        <w:rPr>
          <w:rFonts w:ascii="FangSong" w:hAnsi="FangSong" w:eastAsia="FangSong" w:cs="FangSong"/>
          <w:sz w:val="24"/>
          <w:szCs w:val="24"/>
        </w:rPr>
        <w:t>人员支出和</w:t>
      </w:r>
      <w:r>
        <w:rPr>
          <w:rFonts w:ascii="FangSong" w:hAnsi="FangSong" w:eastAsia="FangSong" w:cs="FangSong"/>
          <w:sz w:val="24"/>
          <w:szCs w:val="24"/>
          <w:spacing w:val="-9"/>
        </w:rPr>
        <w:t>公用支出。</w:t>
      </w:r>
    </w:p>
    <w:p>
      <w:pPr>
        <w:ind w:left="1515" w:right="1474" w:firstLine="477"/>
        <w:spacing w:before="9" w:line="291" w:lineRule="auto"/>
        <w:rPr>
          <w:rFonts w:ascii="FangSong" w:hAnsi="FangSong" w:eastAsia="FangSong" w:cs="FangSong"/>
          <w:sz w:val="24"/>
          <w:szCs w:val="24"/>
        </w:rPr>
      </w:pPr>
      <w:r>
        <w:rPr>
          <w:rFonts w:ascii="SimHei" w:hAnsi="SimHei" w:eastAsia="SimHei" w:cs="SimHei"/>
          <w:sz w:val="24"/>
          <w:szCs w:val="24"/>
          <w:spacing w:val="1"/>
        </w:rPr>
        <w:t>二、项目支出：</w:t>
      </w:r>
      <w:r>
        <w:rPr>
          <w:rFonts w:ascii="FangSong" w:hAnsi="FangSong" w:eastAsia="FangSong" w:cs="FangSong"/>
          <w:sz w:val="24"/>
          <w:szCs w:val="24"/>
          <w:spacing w:val="1"/>
        </w:rPr>
        <w:t>指在基本支出之外为完成特定行政任务和事业发展目</w:t>
      </w:r>
      <w:r>
        <w:rPr>
          <w:rFonts w:ascii="FangSong" w:hAnsi="FangSong" w:eastAsia="FangSong" w:cs="FangSong"/>
          <w:sz w:val="24"/>
          <w:szCs w:val="24"/>
        </w:rPr>
        <w:t>标所发生的</w:t>
      </w:r>
      <w:r>
        <w:rPr>
          <w:rFonts w:ascii="FangSong" w:hAnsi="FangSong" w:eastAsia="FangSong" w:cs="FangSong"/>
          <w:sz w:val="24"/>
          <w:szCs w:val="24"/>
          <w:spacing w:val="-11"/>
        </w:rPr>
        <w:t>支出。</w:t>
      </w:r>
    </w:p>
    <w:p>
      <w:pPr>
        <w:ind w:left="1516" w:right="1474" w:firstLine="477"/>
        <w:spacing w:before="158" w:line="335" w:lineRule="auto"/>
        <w:rPr>
          <w:rFonts w:ascii="FangSong" w:hAnsi="FangSong" w:eastAsia="FangSong" w:cs="FangSong"/>
          <w:sz w:val="24"/>
          <w:szCs w:val="24"/>
        </w:rPr>
      </w:pPr>
      <w:r>
        <w:rPr>
          <w:rFonts w:ascii="SimHei" w:hAnsi="SimHei" w:eastAsia="SimHei" w:cs="SimHei"/>
          <w:sz w:val="24"/>
          <w:szCs w:val="24"/>
          <w:spacing w:val="1"/>
        </w:rPr>
        <w:t>三、“三公”经费：</w:t>
      </w:r>
      <w:r>
        <w:rPr>
          <w:rFonts w:ascii="FangSong" w:hAnsi="FangSong" w:eastAsia="FangSong" w:cs="FangSong"/>
          <w:sz w:val="24"/>
          <w:szCs w:val="24"/>
          <w:spacing w:val="1"/>
        </w:rPr>
        <w:t>指省直部门用财政拨款安排的因公出国（境）</w:t>
      </w:r>
      <w:r>
        <w:rPr>
          <w:rFonts w:ascii="FangSong" w:hAnsi="FangSong" w:eastAsia="FangSong" w:cs="FangSong"/>
          <w:sz w:val="24"/>
          <w:szCs w:val="24"/>
        </w:rPr>
        <w:t>费用、公务用</w:t>
      </w:r>
      <w:r>
        <w:rPr>
          <w:rFonts w:ascii="FangSong" w:hAnsi="FangSong" w:eastAsia="FangSong" w:cs="FangSong"/>
          <w:sz w:val="24"/>
          <w:szCs w:val="24"/>
        </w:rPr>
        <w:t>车购置及运行费和公务接待费。其中：因公出国（境）费用反映单位公务出国（境）</w:t>
      </w:r>
      <w:r>
        <w:rPr>
          <w:rFonts w:ascii="FangSong" w:hAnsi="FangSong" w:eastAsia="FangSong" w:cs="FangSong"/>
          <w:sz w:val="24"/>
          <w:szCs w:val="24"/>
          <w:spacing w:val="1"/>
        </w:rPr>
        <w:t>的国际旅费、国外城市间交通费、住宿费、伙食费、培训费、</w:t>
      </w:r>
      <w:r>
        <w:rPr>
          <w:rFonts w:ascii="FangSong" w:hAnsi="FangSong" w:eastAsia="FangSong" w:cs="FangSong"/>
          <w:sz w:val="24"/>
          <w:szCs w:val="24"/>
        </w:rPr>
        <w:t>公杂费等支出；公务用</w:t>
      </w:r>
      <w:r>
        <w:rPr>
          <w:rFonts w:ascii="FangSong" w:hAnsi="FangSong" w:eastAsia="FangSong" w:cs="FangSong"/>
          <w:sz w:val="24"/>
          <w:szCs w:val="24"/>
        </w:rPr>
        <w:t>车购置费反映公务用车购置支出（含车辆购置税、牌照费</w:t>
      </w:r>
      <w:r>
        <w:rPr>
          <w:rFonts w:ascii="FangSong" w:hAnsi="FangSong" w:eastAsia="FangSong" w:cs="FangSong"/>
          <w:sz w:val="24"/>
          <w:szCs w:val="24"/>
          <w:spacing w:val="13"/>
        </w:rPr>
        <w:t>）；</w:t>
      </w:r>
      <w:r>
        <w:rPr>
          <w:rFonts w:ascii="FangSong" w:hAnsi="FangSong" w:eastAsia="FangSong" w:cs="FangSong"/>
          <w:sz w:val="24"/>
          <w:szCs w:val="24"/>
        </w:rPr>
        <w:t>公务用车运行维护费反</w:t>
      </w:r>
      <w:r>
        <w:rPr>
          <w:rFonts w:ascii="FangSong" w:hAnsi="FangSong" w:eastAsia="FangSong" w:cs="FangSong"/>
          <w:sz w:val="24"/>
          <w:szCs w:val="24"/>
          <w:spacing w:val="1"/>
        </w:rPr>
        <w:t>映单位按规定保留的公务用车燃料费、维修费、过路过桥费、</w:t>
      </w:r>
      <w:r>
        <w:rPr>
          <w:rFonts w:ascii="FangSong" w:hAnsi="FangSong" w:eastAsia="FangSong" w:cs="FangSong"/>
          <w:sz w:val="24"/>
          <w:szCs w:val="24"/>
        </w:rPr>
        <w:t>保险费、安全奖励费用</w:t>
      </w:r>
      <w:r>
        <w:rPr>
          <w:rFonts w:ascii="FangSong" w:hAnsi="FangSong" w:eastAsia="FangSong" w:cs="FangSong"/>
          <w:sz w:val="24"/>
          <w:szCs w:val="24"/>
          <w:spacing w:val="1"/>
        </w:rPr>
        <w:t>等支出；公务接待费反映机关和参公事业单位按规定开支的各</w:t>
      </w:r>
      <w:r>
        <w:rPr>
          <w:rFonts w:ascii="FangSong" w:hAnsi="FangSong" w:eastAsia="FangSong" w:cs="FangSong"/>
          <w:sz w:val="24"/>
          <w:szCs w:val="24"/>
        </w:rPr>
        <w:t>类公务接待（含外宾接</w:t>
      </w:r>
      <w:r>
        <w:rPr>
          <w:rFonts w:ascii="FangSong" w:hAnsi="FangSong" w:eastAsia="FangSong" w:cs="FangSong"/>
          <w:sz w:val="24"/>
          <w:szCs w:val="24"/>
          <w:spacing w:val="-8"/>
        </w:rPr>
        <w:t>待）支出。</w:t>
      </w:r>
    </w:p>
    <w:p>
      <w:pPr>
        <w:ind w:left="1513" w:right="1474" w:firstLine="490"/>
        <w:spacing w:before="177" w:line="290" w:lineRule="auto"/>
        <w:rPr>
          <w:rFonts w:ascii="FangSong" w:hAnsi="FangSong" w:eastAsia="FangSong" w:cs="FangSong"/>
          <w:sz w:val="24"/>
          <w:szCs w:val="24"/>
        </w:rPr>
      </w:pPr>
      <w:r>
        <w:rPr>
          <w:rFonts w:ascii="SimHei" w:hAnsi="SimHei" w:eastAsia="SimHei" w:cs="SimHei"/>
          <w:sz w:val="24"/>
          <w:szCs w:val="24"/>
          <w:spacing w:val="1"/>
        </w:rPr>
        <w:t>四、机关运行经费：</w:t>
      </w:r>
      <w:r>
        <w:rPr>
          <w:rFonts w:ascii="FangSong" w:hAnsi="FangSong" w:eastAsia="FangSong" w:cs="FangSong"/>
          <w:sz w:val="24"/>
          <w:szCs w:val="24"/>
          <w:spacing w:val="1"/>
        </w:rPr>
        <w:t>指行政单位和参照公务员</w:t>
      </w:r>
      <w:r>
        <w:rPr>
          <w:rFonts w:ascii="FangSong" w:hAnsi="FangSong" w:eastAsia="FangSong" w:cs="FangSong"/>
          <w:sz w:val="24"/>
          <w:szCs w:val="24"/>
        </w:rPr>
        <w:t>法管理的事业单位使用财政拨款安</w:t>
      </w:r>
      <w:r>
        <w:rPr>
          <w:rFonts w:ascii="FangSong" w:hAnsi="FangSong" w:eastAsia="FangSong" w:cs="FangSong"/>
          <w:sz w:val="24"/>
          <w:szCs w:val="24"/>
          <w:spacing w:val="-3"/>
        </w:rPr>
        <w:t>排的基本支出中的公用经费支出。</w:t>
      </w:r>
    </w:p>
    <w:p>
      <w:pPr>
        <w:ind w:left="1515" w:right="1474" w:firstLine="480"/>
        <w:spacing w:before="159" w:line="321" w:lineRule="auto"/>
        <w:rPr>
          <w:rFonts w:ascii="FangSong" w:hAnsi="FangSong" w:eastAsia="FangSong" w:cs="FangSong"/>
          <w:sz w:val="24"/>
          <w:szCs w:val="24"/>
        </w:rPr>
      </w:pPr>
      <w:r>
        <w:rPr>
          <w:rFonts w:ascii="SimHei" w:hAnsi="SimHei" w:eastAsia="SimHei" w:cs="SimHei"/>
          <w:sz w:val="24"/>
          <w:szCs w:val="24"/>
          <w:spacing w:val="1"/>
        </w:rPr>
        <w:t>五、政府购买服务：</w:t>
      </w:r>
      <w:r>
        <w:rPr>
          <w:rFonts w:ascii="FangSong" w:hAnsi="FangSong" w:eastAsia="FangSong" w:cs="FangSong"/>
          <w:sz w:val="24"/>
          <w:szCs w:val="24"/>
          <w:spacing w:val="1"/>
        </w:rPr>
        <w:t>根据我国现行政策规定，政府购买服务，是</w:t>
      </w:r>
      <w:r>
        <w:rPr>
          <w:rFonts w:ascii="FangSong" w:hAnsi="FangSong" w:eastAsia="FangSong" w:cs="FangSong"/>
          <w:sz w:val="24"/>
          <w:szCs w:val="24"/>
        </w:rPr>
        <w:t>指充分发挥市场</w:t>
      </w:r>
      <w:r>
        <w:rPr>
          <w:rFonts w:ascii="FangSong" w:hAnsi="FangSong" w:eastAsia="FangSong" w:cs="FangSong"/>
          <w:sz w:val="24"/>
          <w:szCs w:val="24"/>
          <w:spacing w:val="1"/>
        </w:rPr>
        <w:t>机制作用，将国家机关属于自身职责范围且适合通过市场化方式</w:t>
      </w:r>
      <w:r>
        <w:rPr>
          <w:rFonts w:ascii="FangSong" w:hAnsi="FangSong" w:eastAsia="FangSong" w:cs="FangSong"/>
          <w:sz w:val="24"/>
          <w:szCs w:val="24"/>
        </w:rPr>
        <w:t>提供的服务事项，按</w:t>
      </w:r>
      <w:r>
        <w:rPr>
          <w:rFonts w:ascii="FangSong" w:hAnsi="FangSong" w:eastAsia="FangSong" w:cs="FangSong"/>
          <w:sz w:val="24"/>
          <w:szCs w:val="24"/>
          <w:spacing w:val="1"/>
        </w:rPr>
        <w:t>照政府采购方式和程序，交由符合条件的服务供应商承担，并根</w:t>
      </w:r>
      <w:r>
        <w:rPr>
          <w:rFonts w:ascii="FangSong" w:hAnsi="FangSong" w:eastAsia="FangSong" w:cs="FangSong"/>
          <w:sz w:val="24"/>
          <w:szCs w:val="24"/>
        </w:rPr>
        <w:t>据服务数量和质量等</w:t>
      </w:r>
      <w:r>
        <w:rPr>
          <w:rFonts w:ascii="FangSong" w:hAnsi="FangSong" w:eastAsia="FangSong" w:cs="FangSong"/>
          <w:sz w:val="24"/>
          <w:szCs w:val="24"/>
          <w:spacing w:val="-4"/>
        </w:rPr>
        <w:t>情况向其支付费用的行为。</w:t>
      </w:r>
    </w:p>
    <w:p>
      <w:pPr>
        <w:ind w:left="1996"/>
        <w:spacing w:before="178" w:line="222" w:lineRule="auto"/>
        <w:rPr>
          <w:rFonts w:ascii="SimHei" w:hAnsi="SimHei" w:eastAsia="SimHei" w:cs="SimHei"/>
          <w:sz w:val="24"/>
          <w:szCs w:val="24"/>
        </w:rPr>
      </w:pPr>
      <w:r>
        <w:rPr>
          <w:rFonts w:ascii="SimHei" w:hAnsi="SimHei" w:eastAsia="SimHei" w:cs="SimHei"/>
          <w:sz w:val="24"/>
          <w:szCs w:val="24"/>
          <w:spacing w:val="-6"/>
        </w:rPr>
        <w:t>六、财政专户管理资金：</w:t>
      </w:r>
    </w:p>
    <w:p>
      <w:pPr>
        <w:ind w:left="1515" w:right="1475" w:firstLine="482"/>
        <w:spacing w:before="206" w:line="358" w:lineRule="auto"/>
        <w:rPr>
          <w:rFonts w:ascii="FangSong" w:hAnsi="FangSong" w:eastAsia="FangSong" w:cs="FangSong"/>
          <w:sz w:val="24"/>
          <w:szCs w:val="24"/>
        </w:rPr>
      </w:pPr>
      <w:r>
        <w:rPr>
          <w:rFonts w:ascii="FangSong" w:hAnsi="FangSong" w:eastAsia="FangSong" w:cs="FangSong"/>
          <w:sz w:val="24"/>
          <w:szCs w:val="24"/>
          <w:spacing w:val="1"/>
        </w:rPr>
        <w:t>专指教育收费，包括目前在财政专户管理的高中以上学费</w:t>
      </w:r>
      <w:r>
        <w:rPr>
          <w:rFonts w:ascii="FangSong" w:hAnsi="FangSong" w:eastAsia="FangSong" w:cs="FangSong"/>
          <w:sz w:val="24"/>
          <w:szCs w:val="24"/>
        </w:rPr>
        <w:t>、住宿费，高校委托培</w:t>
      </w:r>
      <w:r>
        <w:rPr>
          <w:rFonts w:ascii="FangSong" w:hAnsi="FangSong" w:eastAsia="FangSong" w:cs="FangSong"/>
          <w:sz w:val="24"/>
          <w:szCs w:val="24"/>
          <w:spacing w:val="-2"/>
        </w:rPr>
        <w:t>养费，党校收费，教育考试考务费，函大、电大、夜大及短训班培训费等。</w:t>
      </w:r>
    </w:p>
    <w:p>
      <w:pPr>
        <w:ind w:left="1529" w:right="1474" w:firstLine="459"/>
        <w:spacing w:before="43" w:line="284" w:lineRule="auto"/>
        <w:rPr>
          <w:rFonts w:ascii="FangSong" w:hAnsi="FangSong" w:eastAsia="FangSong" w:cs="FangSong"/>
          <w:sz w:val="24"/>
          <w:szCs w:val="24"/>
        </w:rPr>
      </w:pPr>
      <w:r>
        <w:rPr>
          <w:rFonts w:ascii="SimHei" w:hAnsi="SimHei" w:eastAsia="SimHei" w:cs="SimHei"/>
          <w:sz w:val="24"/>
          <w:szCs w:val="24"/>
          <w:spacing w:val="1"/>
        </w:rPr>
        <w:t>七、单位资金：</w:t>
      </w:r>
      <w:r>
        <w:rPr>
          <w:rFonts w:ascii="FangSong" w:hAnsi="FangSong" w:eastAsia="FangSong" w:cs="FangSong"/>
          <w:sz w:val="24"/>
          <w:szCs w:val="24"/>
          <w:spacing w:val="1"/>
        </w:rPr>
        <w:t>是指除政府预算资金和财政专户管理资金以外的资金，包括事业</w:t>
      </w:r>
      <w:r>
        <w:rPr>
          <w:rFonts w:ascii="FangSong" w:hAnsi="FangSong" w:eastAsia="FangSong" w:cs="FangSong"/>
          <w:sz w:val="24"/>
          <w:szCs w:val="24"/>
          <w:spacing w:val="-2"/>
        </w:rPr>
        <w:t>收入、事业单位经营收入、上级补助收入、附属单位上缴收入、其他收入。</w:t>
      </w:r>
    </w:p>
    <w:p>
      <w:pPr>
        <w:ind w:left="1515" w:right="1474" w:firstLine="473"/>
        <w:spacing w:before="178" w:line="293" w:lineRule="auto"/>
        <w:rPr>
          <w:rFonts w:ascii="FangSong" w:hAnsi="FangSong" w:eastAsia="FangSong" w:cs="FangSong"/>
          <w:sz w:val="24"/>
          <w:szCs w:val="24"/>
        </w:rPr>
      </w:pPr>
      <w:r>
        <w:rPr>
          <w:rFonts w:ascii="SimHei" w:hAnsi="SimHei" w:eastAsia="SimHei" w:cs="SimHei"/>
          <w:sz w:val="24"/>
          <w:szCs w:val="24"/>
          <w:spacing w:val="1"/>
        </w:rPr>
        <w:t>八、上年结转：</w:t>
      </w:r>
      <w:r>
        <w:rPr>
          <w:rFonts w:ascii="FangSong" w:hAnsi="FangSong" w:eastAsia="FangSong" w:cs="FangSong"/>
          <w:sz w:val="24"/>
          <w:szCs w:val="24"/>
          <w:spacing w:val="1"/>
        </w:rPr>
        <w:t>指以前年度预算安排、结转到本年仍按原规定用途继续使用的资</w:t>
      </w:r>
      <w:r>
        <w:rPr>
          <w:rFonts w:ascii="FangSong" w:hAnsi="FangSong" w:eastAsia="FangSong" w:cs="FangSong"/>
          <w:sz w:val="24"/>
          <w:szCs w:val="24"/>
          <w:spacing w:val="-12"/>
        </w:rPr>
        <w:t>金。</w:t>
      </w:r>
    </w:p>
    <w:p>
      <w:pPr>
        <w:ind w:left="1517" w:right="1513" w:firstLine="477"/>
        <w:spacing w:before="154" w:line="288" w:lineRule="auto"/>
        <w:rPr>
          <w:rFonts w:ascii="FangSong" w:hAnsi="FangSong" w:eastAsia="FangSong" w:cs="FangSong"/>
          <w:sz w:val="24"/>
          <w:szCs w:val="24"/>
        </w:rPr>
      </w:pPr>
      <w:r>
        <w:rPr>
          <w:rFonts w:ascii="SimHei" w:hAnsi="SimHei" w:eastAsia="SimHei" w:cs="SimHei"/>
          <w:sz w:val="24"/>
          <w:szCs w:val="24"/>
        </w:rPr>
        <w:t>九、一般公共预算：</w:t>
      </w:r>
      <w:r>
        <w:rPr>
          <w:rFonts w:ascii="FangSong" w:hAnsi="FangSong" w:eastAsia="FangSong" w:cs="FangSong"/>
          <w:sz w:val="24"/>
          <w:szCs w:val="24"/>
        </w:rPr>
        <w:t>是指以税收为主体的财政收入，安排</w:t>
      </w:r>
      <w:r>
        <w:rPr>
          <w:rFonts w:ascii="FangSong" w:hAnsi="FangSong" w:eastAsia="FangSong" w:cs="FangSong"/>
          <w:sz w:val="24"/>
          <w:szCs w:val="24"/>
          <w:spacing w:val="-1"/>
        </w:rPr>
        <w:t>用于保障和改善民生、</w:t>
      </w:r>
      <w:r>
        <w:rPr>
          <w:rFonts w:ascii="FangSong" w:hAnsi="FangSong" w:eastAsia="FangSong" w:cs="FangSong"/>
          <w:sz w:val="24"/>
          <w:szCs w:val="24"/>
          <w:spacing w:val="-1"/>
        </w:rPr>
        <w:t>推动经济社会发展、维护国家安全、维持国家</w:t>
      </w:r>
      <w:r>
        <w:rPr>
          <w:rFonts w:ascii="FangSong" w:hAnsi="FangSong" w:eastAsia="FangSong" w:cs="FangSong"/>
          <w:sz w:val="24"/>
          <w:szCs w:val="24"/>
          <w:spacing w:val="-2"/>
        </w:rPr>
        <w:t>机构正常运转等方面的收支预算。</w:t>
      </w:r>
    </w:p>
    <w:p>
      <w:pPr>
        <w:ind w:left="1516" w:right="1474" w:firstLine="475"/>
        <w:spacing w:before="180" w:line="284" w:lineRule="auto"/>
        <w:rPr>
          <w:rFonts w:ascii="FangSong" w:hAnsi="FangSong" w:eastAsia="FangSong" w:cs="FangSong"/>
          <w:sz w:val="24"/>
          <w:szCs w:val="24"/>
        </w:rPr>
      </w:pPr>
      <w:r>
        <w:rPr>
          <w:rFonts w:ascii="SimHei" w:hAnsi="SimHei" w:eastAsia="SimHei" w:cs="SimHei"/>
          <w:sz w:val="24"/>
          <w:szCs w:val="24"/>
          <w:spacing w:val="1"/>
        </w:rPr>
        <w:t>十、政府性基金预算：</w:t>
      </w:r>
      <w:r>
        <w:rPr>
          <w:rFonts w:ascii="FangSong" w:hAnsi="FangSong" w:eastAsia="FangSong" w:cs="FangSong"/>
          <w:sz w:val="24"/>
          <w:szCs w:val="24"/>
          <w:spacing w:val="1"/>
        </w:rPr>
        <w:t>是对依照法律、行政法规的规定在一定期限内向</w:t>
      </w:r>
      <w:r>
        <w:rPr>
          <w:rFonts w:ascii="FangSong" w:hAnsi="FangSong" w:eastAsia="FangSong" w:cs="FangSong"/>
          <w:sz w:val="24"/>
          <w:szCs w:val="24"/>
        </w:rPr>
        <w:t>特定对象</w:t>
      </w:r>
      <w:r>
        <w:rPr>
          <w:rFonts w:ascii="FangSong" w:hAnsi="FangSong" w:eastAsia="FangSong" w:cs="FangSong"/>
          <w:sz w:val="24"/>
          <w:szCs w:val="24"/>
          <w:spacing w:val="-1"/>
        </w:rPr>
        <w:t>征收、收取或者以其他方式筹集的资金，专项用于特</w:t>
      </w:r>
      <w:r>
        <w:rPr>
          <w:rFonts w:ascii="FangSong" w:hAnsi="FangSong" w:eastAsia="FangSong" w:cs="FangSong"/>
          <w:sz w:val="24"/>
          <w:szCs w:val="24"/>
          <w:spacing w:val="-2"/>
        </w:rPr>
        <w:t>定公共事业发展的收支预算。</w:t>
      </w:r>
    </w:p>
    <w:p>
      <w:pPr>
        <w:ind w:left="1992"/>
        <w:spacing w:before="177" w:line="220" w:lineRule="auto"/>
        <w:rPr>
          <w:rFonts w:ascii="FangSong" w:hAnsi="FangSong" w:eastAsia="FangSong" w:cs="FangSong"/>
          <w:sz w:val="24"/>
          <w:szCs w:val="24"/>
        </w:rPr>
      </w:pPr>
      <w:r>
        <w:rPr>
          <w:rFonts w:ascii="SimHei" w:hAnsi="SimHei" w:eastAsia="SimHei" w:cs="SimHei"/>
          <w:sz w:val="24"/>
          <w:szCs w:val="24"/>
          <w:spacing w:val="-1"/>
        </w:rPr>
        <w:t>十一、国有资本经营预算：</w:t>
      </w:r>
      <w:r>
        <w:rPr>
          <w:rFonts w:ascii="FangSong" w:hAnsi="FangSong" w:eastAsia="FangSong" w:cs="FangSong"/>
          <w:sz w:val="24"/>
          <w:szCs w:val="24"/>
          <w:spacing w:val="-1"/>
        </w:rPr>
        <w:t>是对国有资本收益作</w:t>
      </w:r>
      <w:r>
        <w:rPr>
          <w:rFonts w:ascii="FangSong" w:hAnsi="FangSong" w:eastAsia="FangSong" w:cs="FangSong"/>
          <w:sz w:val="24"/>
          <w:szCs w:val="24"/>
          <w:spacing w:val="-2"/>
        </w:rPr>
        <w:t>出支出安排的收支预算。</w:t>
      </w:r>
    </w:p>
    <w:p>
      <w:pPr>
        <w:ind w:left="1992"/>
        <w:spacing w:before="179" w:line="220" w:lineRule="auto"/>
        <w:rPr>
          <w:rFonts w:ascii="FangSong" w:hAnsi="FangSong" w:eastAsia="FangSong" w:cs="FangSong"/>
          <w:sz w:val="24"/>
          <w:szCs w:val="24"/>
        </w:rPr>
      </w:pPr>
      <w:r>
        <w:rPr>
          <w:rFonts w:ascii="SimHei" w:hAnsi="SimHei" w:eastAsia="SimHei" w:cs="SimHei"/>
          <w:sz w:val="24"/>
          <w:szCs w:val="24"/>
          <w:spacing w:val="-1"/>
        </w:rPr>
        <w:t>十二、财政拨款：</w:t>
      </w:r>
      <w:r>
        <w:rPr>
          <w:rFonts w:ascii="FangSong" w:hAnsi="FangSong" w:eastAsia="FangSong" w:cs="FangSong"/>
          <w:sz w:val="24"/>
          <w:szCs w:val="24"/>
          <w:spacing w:val="-1"/>
        </w:rPr>
        <w:t>包含一般公共预算、政府性基金预算</w:t>
      </w:r>
      <w:r>
        <w:rPr>
          <w:rFonts w:ascii="FangSong" w:hAnsi="FangSong" w:eastAsia="FangSong" w:cs="FangSong"/>
          <w:sz w:val="24"/>
          <w:szCs w:val="24"/>
          <w:spacing w:val="-2"/>
        </w:rPr>
        <w:t>、国有资本经营预算。</w:t>
      </w:r>
    </w:p>
    <w:sectPr>
      <w:headerReference w:type="default" r:id="rId22"/>
      <w:footerReference w:type="default" r:id="rId102"/>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4"/>
    <w:bookmarkEnd w:id="44"/>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50" w:id="45"/>
    <w:bookmarkEnd w:id="45"/>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54" style="position:absolute;margin-left:86.92pt;margin-top:27.7633pt;mso-position-vertical-relative:text;mso-position-horizontal-relative:text;width:119.4pt;height:18.85pt;z-index:-251572224;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72" style="position:absolute;margin-left:86.92pt;margin-top:27.7633pt;mso-position-vertical-relative:text;mso-position-horizontal-relative:text;width:119.4pt;height:18.85pt;z-index:-251563008;rotation:330;" fillcolor="#404040" filled="true" stroked="false" type="#_x0000_t136">
          <v:fill opacity="0.400000"/>
          <v:textpath style="font-family:&quot;SimSun&quot;;font-size:20;v-text-kern:t;mso-text-shadow:auto" string="仅供内部审核"/>
        </v:shape>
      </w:pict>
    </w:r>
    <w:r>
      <w:pict>
        <v:shape id="PowerPlusWaterMarkObject174"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_x0000_s188"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90"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08"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91.92pt;margin-top:532.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26"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86.92pt;margin-top:532.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44"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68" style="position:absolute;margin-left:86.92pt;margin-top:27.7633pt;mso-position-vertical-relative:text;mso-position-horizontal-relative:text;width:119.4pt;height:18.85pt;z-index:-251518976;rotation:330;"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1.92pt;margin-top:532.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406" style="position:absolute;margin-left:86.92pt;margin-top:27.7633pt;mso-position-vertical-relative:text;mso-position-horizontal-relative:text;width:119.4pt;height:18.85pt;z-index:-251509760;rotation:330;" fillcolor="#404040" filled="true" stroked="false" type="#_x0000_t136">
          <v:fill opacity="0.400000"/>
          <v:textpath style="font-family:&quot;SimSun&quot;;font-size:20;v-text-kern:t;mso-text-shadow:auto" string="仅供内部审核"/>
        </v:shape>
      </w:pict>
    </w:r>
    <w:r>
      <w:pict>
        <v:shape id="PowerPlusWaterMarkObject408" style="position:absolute;margin-left:-13.08pt;margin-top:288.10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410"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412" style="position:absolute;margin-left:391.92pt;margin-top:288.10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86.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13.08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418" style="position:absolute;margin-left:491.92pt;margin-top:532.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420" style="position:absolute;margin-left:391.92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_x0000_s422"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长治市市场监督管理局高新技术产业开发区分局2026年单位预算公开报告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0"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2"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长治市市场监督管理局高新技术产业开发区分局2026年单位预算公开报告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20" style="position:absolute;margin-left:-13.08pt;margin-top:28.7633pt;mso-position-vertical-relative:text;mso-position-horizontal-relative:text;width:119.4pt;height:18.85pt;z-index:-251590656;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577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680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长治市市场监督管理局高新技术产业开发区分局2026年单位预算公开报告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_x0000_s136"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pict>
        <v:shape id="PowerPlusWaterMarkObject138"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86.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27.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长治市市场监督管理局高新技术产业开发区分局2026年单位预算公开报告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3.png"/><Relationship Id="rId98" Type="http://schemas.openxmlformats.org/officeDocument/2006/relationships/footer" Target="footer50.xml"/><Relationship Id="rId97" Type="http://schemas.openxmlformats.org/officeDocument/2006/relationships/image" Target="media/image32.png"/><Relationship Id="rId96" Type="http://schemas.openxmlformats.org/officeDocument/2006/relationships/footer" Target="footer49.xml"/><Relationship Id="rId95" Type="http://schemas.openxmlformats.org/officeDocument/2006/relationships/image" Target="media/image31.png"/><Relationship Id="rId94" Type="http://schemas.openxmlformats.org/officeDocument/2006/relationships/footer" Target="footer48.xml"/><Relationship Id="rId93" Type="http://schemas.openxmlformats.org/officeDocument/2006/relationships/image" Target="media/image30.png"/><Relationship Id="rId92" Type="http://schemas.openxmlformats.org/officeDocument/2006/relationships/footer" Target="footer47.xml"/><Relationship Id="rId91" Type="http://schemas.openxmlformats.org/officeDocument/2006/relationships/image" Target="media/image29.png"/><Relationship Id="rId90" Type="http://schemas.openxmlformats.org/officeDocument/2006/relationships/footer" Target="footer46.xml"/><Relationship Id="rId9" Type="http://schemas.openxmlformats.org/officeDocument/2006/relationships/footer" Target="footer3.xml"/><Relationship Id="rId89" Type="http://schemas.openxmlformats.org/officeDocument/2006/relationships/image" Target="media/image28.png"/><Relationship Id="rId88" Type="http://schemas.openxmlformats.org/officeDocument/2006/relationships/footer" Target="footer45.xml"/><Relationship Id="rId87" Type="http://schemas.openxmlformats.org/officeDocument/2006/relationships/image" Target="media/image27.png"/><Relationship Id="rId86" Type="http://schemas.openxmlformats.org/officeDocument/2006/relationships/footer" Target="footer44.xml"/><Relationship Id="rId85" Type="http://schemas.openxmlformats.org/officeDocument/2006/relationships/image" Target="media/image26.png"/><Relationship Id="rId84" Type="http://schemas.openxmlformats.org/officeDocument/2006/relationships/footer" Target="footer43.xml"/><Relationship Id="rId83" Type="http://schemas.openxmlformats.org/officeDocument/2006/relationships/image" Target="media/image25.png"/><Relationship Id="rId82" Type="http://schemas.openxmlformats.org/officeDocument/2006/relationships/footer" Target="footer42.xml"/><Relationship Id="rId81" Type="http://schemas.openxmlformats.org/officeDocument/2006/relationships/image" Target="media/image24.png"/><Relationship Id="rId80" Type="http://schemas.openxmlformats.org/officeDocument/2006/relationships/footer" Target="footer41.xml"/><Relationship Id="rId8" Type="http://schemas.openxmlformats.org/officeDocument/2006/relationships/header" Target="header6.xml"/><Relationship Id="rId79" Type="http://schemas.openxmlformats.org/officeDocument/2006/relationships/image" Target="media/image23.png"/><Relationship Id="rId78" Type="http://schemas.openxmlformats.org/officeDocument/2006/relationships/footer" Target="footer40.xml"/><Relationship Id="rId77" Type="http://schemas.openxmlformats.org/officeDocument/2006/relationships/image" Target="media/image22.png"/><Relationship Id="rId76" Type="http://schemas.openxmlformats.org/officeDocument/2006/relationships/footer" Target="footer39.xml"/><Relationship Id="rId75" Type="http://schemas.openxmlformats.org/officeDocument/2006/relationships/image" Target="media/image21.png"/><Relationship Id="rId74" Type="http://schemas.openxmlformats.org/officeDocument/2006/relationships/footer" Target="footer38.xml"/><Relationship Id="rId73" Type="http://schemas.openxmlformats.org/officeDocument/2006/relationships/image" Target="media/image20.png"/><Relationship Id="rId72" Type="http://schemas.openxmlformats.org/officeDocument/2006/relationships/footer" Target="footer37.xml"/><Relationship Id="rId71" Type="http://schemas.openxmlformats.org/officeDocument/2006/relationships/image" Target="media/image19.png"/><Relationship Id="rId70" Type="http://schemas.openxmlformats.org/officeDocument/2006/relationships/footer" Target="footer36.xml"/><Relationship Id="rId7" Type="http://schemas.openxmlformats.org/officeDocument/2006/relationships/footer" Target="footer2.xml"/><Relationship Id="rId69" Type="http://schemas.openxmlformats.org/officeDocument/2006/relationships/image" Target="media/image18.png"/><Relationship Id="rId68" Type="http://schemas.openxmlformats.org/officeDocument/2006/relationships/footer" Target="footer35.xml"/><Relationship Id="rId67" Type="http://schemas.openxmlformats.org/officeDocument/2006/relationships/image" Target="media/image17.png"/><Relationship Id="rId66" Type="http://schemas.openxmlformats.org/officeDocument/2006/relationships/footer" Target="footer34.xml"/><Relationship Id="rId65" Type="http://schemas.openxmlformats.org/officeDocument/2006/relationships/image" Target="media/image16.png"/><Relationship Id="rId64" Type="http://schemas.openxmlformats.org/officeDocument/2006/relationships/footer" Target="footer33.xml"/><Relationship Id="rId63" Type="http://schemas.openxmlformats.org/officeDocument/2006/relationships/image" Target="media/image15.png"/><Relationship Id="rId62" Type="http://schemas.openxmlformats.org/officeDocument/2006/relationships/footer" Target="footer32.xml"/><Relationship Id="rId61" Type="http://schemas.openxmlformats.org/officeDocument/2006/relationships/image" Target="media/image14.png"/><Relationship Id="rId60" Type="http://schemas.openxmlformats.org/officeDocument/2006/relationships/footer" Target="footer31.xml"/><Relationship Id="rId6" Type="http://schemas.openxmlformats.org/officeDocument/2006/relationships/header" Target="header5.xml"/><Relationship Id="rId59" Type="http://schemas.openxmlformats.org/officeDocument/2006/relationships/image" Target="media/image13.png"/><Relationship Id="rId58" Type="http://schemas.openxmlformats.org/officeDocument/2006/relationships/footer" Target="footer30.xml"/><Relationship Id="rId57" Type="http://schemas.openxmlformats.org/officeDocument/2006/relationships/image" Target="media/image12.png"/><Relationship Id="rId56" Type="http://schemas.openxmlformats.org/officeDocument/2006/relationships/footer" Target="footer29.xml"/><Relationship Id="rId55" Type="http://schemas.openxmlformats.org/officeDocument/2006/relationships/image" Target="media/image11.png"/><Relationship Id="rId54" Type="http://schemas.openxmlformats.org/officeDocument/2006/relationships/footer" Target="footer28.xml"/><Relationship Id="rId53" Type="http://schemas.openxmlformats.org/officeDocument/2006/relationships/image" Target="media/image10.png"/><Relationship Id="rId52" Type="http://schemas.openxmlformats.org/officeDocument/2006/relationships/footer" Target="footer27.xml"/><Relationship Id="rId51" Type="http://schemas.openxmlformats.org/officeDocument/2006/relationships/image" Target="media/image9.png"/><Relationship Id="rId50" Type="http://schemas.openxmlformats.org/officeDocument/2006/relationships/footer" Target="footer26.xml"/><Relationship Id="rId5" Type="http://schemas.openxmlformats.org/officeDocument/2006/relationships/footer" Target="footer1.xml"/><Relationship Id="rId49" Type="http://schemas.openxmlformats.org/officeDocument/2006/relationships/image" Target="media/image8.png"/><Relationship Id="rId48" Type="http://schemas.openxmlformats.org/officeDocument/2006/relationships/footer" Target="footer25.xml"/><Relationship Id="rId47" Type="http://schemas.openxmlformats.org/officeDocument/2006/relationships/image" Target="media/image7.png"/><Relationship Id="rId46" Type="http://schemas.openxmlformats.org/officeDocument/2006/relationships/footer" Target="footer24.xml"/><Relationship Id="rId45" Type="http://schemas.openxmlformats.org/officeDocument/2006/relationships/image" Target="media/image6.png"/><Relationship Id="rId44" Type="http://schemas.openxmlformats.org/officeDocument/2006/relationships/footer" Target="footer23.xml"/><Relationship Id="rId43" Type="http://schemas.openxmlformats.org/officeDocument/2006/relationships/image" Target="media/image5.png"/><Relationship Id="rId42" Type="http://schemas.openxmlformats.org/officeDocument/2006/relationships/footer" Target="footer22.xml"/><Relationship Id="rId41" Type="http://schemas.openxmlformats.org/officeDocument/2006/relationships/image" Target="media/image4.png"/><Relationship Id="rId40" Type="http://schemas.openxmlformats.org/officeDocument/2006/relationships/footer" Target="footer21.xml"/><Relationship Id="rId4" Type="http://schemas.openxmlformats.org/officeDocument/2006/relationships/header" Target="header4.xml"/><Relationship Id="rId39" Type="http://schemas.openxmlformats.org/officeDocument/2006/relationships/image" Target="media/image3.png"/><Relationship Id="rId38" Type="http://schemas.openxmlformats.org/officeDocument/2006/relationships/footer" Target="footer20.xml"/><Relationship Id="rId37" Type="http://schemas.openxmlformats.org/officeDocument/2006/relationships/header" Target="header16.xml"/><Relationship Id="rId36" Type="http://schemas.openxmlformats.org/officeDocument/2006/relationships/footer" Target="footer19.xml"/><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footer" Target="footer18.xml"/><Relationship Id="rId32" Type="http://schemas.openxmlformats.org/officeDocument/2006/relationships/header" Target="header15.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header" Target="header14.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3.xml"/><Relationship Id="rId21" Type="http://schemas.openxmlformats.org/officeDocument/2006/relationships/footer" Target="footer9.xml"/><Relationship Id="rId20" Type="http://schemas.openxmlformats.org/officeDocument/2006/relationships/header" Target="header12.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1.xml"/><Relationship Id="rId17" Type="http://schemas.openxmlformats.org/officeDocument/2006/relationships/footer" Target="footer7.xml"/><Relationship Id="rId16" Type="http://schemas.openxmlformats.org/officeDocument/2006/relationships/header" Target="header10.xml"/><Relationship Id="rId15" Type="http://schemas.openxmlformats.org/officeDocument/2006/relationships/footer" Target="footer6.xml"/><Relationship Id="rId14" Type="http://schemas.openxmlformats.org/officeDocument/2006/relationships/header" Target="header9.xml"/><Relationship Id="rId13" Type="http://schemas.openxmlformats.org/officeDocument/2006/relationships/footer" Target="footer5.xml"/><Relationship Id="rId12" Type="http://schemas.openxmlformats.org/officeDocument/2006/relationships/header" Target="header8.xml"/><Relationship Id="rId11" Type="http://schemas.openxmlformats.org/officeDocument/2006/relationships/footer" Target="footer4.xml"/><Relationship Id="rId105" Type="http://schemas.openxmlformats.org/officeDocument/2006/relationships/fontTable" Target="fontTable.xml"/><Relationship Id="rId104" Type="http://schemas.openxmlformats.org/officeDocument/2006/relationships/styles" Target="styles.xml"/><Relationship Id="rId103" Type="http://schemas.openxmlformats.org/officeDocument/2006/relationships/settings" Target="settings.xml"/><Relationship Id="rId102" Type="http://schemas.openxmlformats.org/officeDocument/2006/relationships/footer" Target="footer52.xml"/><Relationship Id="rId101" Type="http://schemas.openxmlformats.org/officeDocument/2006/relationships/footer" Target="footer51.xml"/><Relationship Id="rId100" Type="http://schemas.openxmlformats.org/officeDocument/2006/relationships/header" Target="header17.xml"/><Relationship Id="rId10" Type="http://schemas.openxmlformats.org/officeDocument/2006/relationships/header" Target="header7.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2026-02-24T16:17:05Z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2026-02-24T16:18:16</vt:filetime>
  </property>
</Properties>
</file>