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7F997B">
      <w:pPr>
        <w:pStyle w:val="2"/>
        <w:spacing w:line="244" w:lineRule="auto"/>
      </w:pPr>
      <w:bookmarkStart w:id="83" w:name="_GoBack"/>
      <w:bookmarkEnd w:id="83"/>
    </w:p>
    <w:p w14:paraId="7CD8F291">
      <w:pPr>
        <w:pStyle w:val="2"/>
        <w:spacing w:line="244" w:lineRule="auto"/>
      </w:pPr>
    </w:p>
    <w:p w14:paraId="3EA90778">
      <w:pPr>
        <w:pStyle w:val="2"/>
        <w:spacing w:line="244" w:lineRule="auto"/>
      </w:pPr>
    </w:p>
    <w:p w14:paraId="2AC3FA66">
      <w:pPr>
        <w:pStyle w:val="2"/>
        <w:spacing w:line="244" w:lineRule="auto"/>
      </w:pPr>
    </w:p>
    <w:p w14:paraId="5CFB2037">
      <w:pPr>
        <w:pStyle w:val="2"/>
        <w:spacing w:line="244" w:lineRule="auto"/>
      </w:pPr>
    </w:p>
    <w:p w14:paraId="7A871BC8">
      <w:pPr>
        <w:pStyle w:val="2"/>
        <w:spacing w:line="244" w:lineRule="auto"/>
      </w:pPr>
    </w:p>
    <w:p w14:paraId="77F85043">
      <w:pPr>
        <w:pStyle w:val="2"/>
        <w:spacing w:line="244" w:lineRule="auto"/>
      </w:pPr>
    </w:p>
    <w:p w14:paraId="43CB5B6C">
      <w:pPr>
        <w:pStyle w:val="2"/>
        <w:spacing w:line="244" w:lineRule="auto"/>
      </w:pPr>
    </w:p>
    <w:p w14:paraId="373F831D">
      <w:pPr>
        <w:pStyle w:val="2"/>
        <w:spacing w:line="244" w:lineRule="auto"/>
      </w:pPr>
    </w:p>
    <w:p w14:paraId="706664F7">
      <w:pPr>
        <w:pStyle w:val="2"/>
        <w:spacing w:line="244" w:lineRule="auto"/>
      </w:pPr>
    </w:p>
    <w:p w14:paraId="056242FC">
      <w:pPr>
        <w:pStyle w:val="2"/>
        <w:spacing w:line="244" w:lineRule="auto"/>
      </w:pPr>
    </w:p>
    <w:p w14:paraId="4FF554E7">
      <w:pPr>
        <w:pStyle w:val="2"/>
        <w:spacing w:line="244" w:lineRule="auto"/>
      </w:pPr>
    </w:p>
    <w:p w14:paraId="5DB4135A">
      <w:pPr>
        <w:pStyle w:val="2"/>
        <w:spacing w:line="244" w:lineRule="auto"/>
      </w:pPr>
    </w:p>
    <w:p w14:paraId="5387D043">
      <w:pPr>
        <w:pStyle w:val="2"/>
        <w:spacing w:line="244" w:lineRule="auto"/>
      </w:pPr>
    </w:p>
    <w:p w14:paraId="43ABA15B">
      <w:pPr>
        <w:pStyle w:val="2"/>
        <w:spacing w:line="244" w:lineRule="auto"/>
      </w:pPr>
    </w:p>
    <w:p w14:paraId="74B15485">
      <w:pPr>
        <w:pStyle w:val="2"/>
        <w:spacing w:line="244" w:lineRule="auto"/>
      </w:pPr>
    </w:p>
    <w:p w14:paraId="3F90DBC4">
      <w:pPr>
        <w:pStyle w:val="2"/>
        <w:spacing w:line="244" w:lineRule="auto"/>
      </w:pPr>
    </w:p>
    <w:p w14:paraId="164B7352">
      <w:pPr>
        <w:pStyle w:val="2"/>
        <w:spacing w:line="245" w:lineRule="auto"/>
      </w:pPr>
    </w:p>
    <w:p w14:paraId="5969947B">
      <w:pPr>
        <w:pStyle w:val="2"/>
        <w:spacing w:line="245" w:lineRule="auto"/>
      </w:pPr>
    </w:p>
    <w:p w14:paraId="3507516E">
      <w:pPr>
        <w:pStyle w:val="2"/>
        <w:spacing w:line="245" w:lineRule="auto"/>
      </w:pPr>
    </w:p>
    <w:p w14:paraId="5E14F216">
      <w:pPr>
        <w:pStyle w:val="2"/>
        <w:spacing w:line="245" w:lineRule="auto"/>
      </w:pPr>
    </w:p>
    <w:p w14:paraId="3D84F709">
      <w:pPr>
        <w:pStyle w:val="2"/>
        <w:spacing w:line="245" w:lineRule="auto"/>
      </w:pPr>
    </w:p>
    <w:p w14:paraId="0E95FA21">
      <w:pPr>
        <w:pStyle w:val="2"/>
        <w:spacing w:line="245" w:lineRule="auto"/>
      </w:pPr>
    </w:p>
    <w:p w14:paraId="5FDD06DF">
      <w:pPr>
        <w:pStyle w:val="2"/>
        <w:spacing w:line="245" w:lineRule="auto"/>
      </w:pPr>
    </w:p>
    <w:p w14:paraId="7B029C51">
      <w:pPr>
        <w:pStyle w:val="2"/>
        <w:spacing w:line="245" w:lineRule="auto"/>
      </w:pPr>
    </w:p>
    <w:p w14:paraId="06DD01E0">
      <w:pPr>
        <w:spacing w:before="140" w:line="351" w:lineRule="auto"/>
        <w:ind w:left="3078" w:right="1718" w:hanging="1419"/>
        <w:outlineLvl w:val="0"/>
        <w:rPr>
          <w:rFonts w:ascii="宋体" w:hAnsi="宋体" w:eastAsia="宋体" w:cs="宋体"/>
          <w:sz w:val="43"/>
          <w:szCs w:val="43"/>
        </w:rPr>
      </w:pPr>
      <w:r>
        <w:rPr>
          <w:rFonts w:ascii="宋体" w:hAnsi="宋体" w:eastAsia="宋体" w:cs="宋体"/>
          <w:spacing w:val="102"/>
          <w:sz w:val="43"/>
          <w:szCs w:val="43"/>
        </w:rPr>
        <w:t>长治高新区漳泽工业园事业服务中心</w:t>
      </w:r>
      <w:r>
        <w:rPr>
          <w:rFonts w:ascii="宋体" w:hAnsi="宋体" w:eastAsia="宋体" w:cs="宋体"/>
          <w:spacing w:val="9"/>
          <w:sz w:val="43"/>
          <w:szCs w:val="43"/>
        </w:rPr>
        <w:t xml:space="preserve"> </w:t>
      </w:r>
      <w:r>
        <w:rPr>
          <w:rFonts w:ascii="宋体" w:hAnsi="宋体" w:eastAsia="宋体" w:cs="宋体"/>
          <w:spacing w:val="4"/>
          <w:sz w:val="43"/>
          <w:szCs w:val="43"/>
        </w:rPr>
        <w:t>2</w:t>
      </w:r>
      <w:r>
        <w:rPr>
          <w:rFonts w:ascii="宋体" w:hAnsi="宋体" w:eastAsia="宋体" w:cs="宋体"/>
          <w:spacing w:val="-89"/>
          <w:sz w:val="43"/>
          <w:szCs w:val="43"/>
        </w:rPr>
        <w:t xml:space="preserve"> </w:t>
      </w:r>
      <w:r>
        <w:rPr>
          <w:rFonts w:ascii="宋体" w:hAnsi="宋体" w:eastAsia="宋体" w:cs="宋体"/>
          <w:spacing w:val="4"/>
          <w:sz w:val="43"/>
          <w:szCs w:val="43"/>
        </w:rPr>
        <w:t>0</w:t>
      </w:r>
      <w:r>
        <w:rPr>
          <w:rFonts w:ascii="宋体" w:hAnsi="宋体" w:eastAsia="宋体" w:cs="宋体"/>
          <w:spacing w:val="-94"/>
          <w:sz w:val="43"/>
          <w:szCs w:val="43"/>
        </w:rPr>
        <w:t xml:space="preserve"> </w:t>
      </w:r>
      <w:r>
        <w:rPr>
          <w:rFonts w:ascii="宋体" w:hAnsi="宋体" w:eastAsia="宋体" w:cs="宋体"/>
          <w:spacing w:val="4"/>
          <w:sz w:val="43"/>
          <w:szCs w:val="43"/>
        </w:rPr>
        <w:t>2</w:t>
      </w:r>
      <w:r>
        <w:rPr>
          <w:rFonts w:ascii="宋体" w:hAnsi="宋体" w:eastAsia="宋体" w:cs="宋体"/>
          <w:spacing w:val="-77"/>
          <w:sz w:val="43"/>
          <w:szCs w:val="43"/>
        </w:rPr>
        <w:t xml:space="preserve"> </w:t>
      </w:r>
      <w:r>
        <w:rPr>
          <w:rFonts w:ascii="宋体" w:hAnsi="宋体" w:eastAsia="宋体" w:cs="宋体"/>
          <w:spacing w:val="4"/>
          <w:sz w:val="43"/>
          <w:szCs w:val="43"/>
        </w:rPr>
        <w:t>5</w:t>
      </w:r>
      <w:r>
        <w:rPr>
          <w:rFonts w:ascii="宋体" w:hAnsi="宋体" w:eastAsia="宋体" w:cs="宋体"/>
          <w:spacing w:val="-98"/>
          <w:sz w:val="43"/>
          <w:szCs w:val="43"/>
        </w:rPr>
        <w:t xml:space="preserve"> </w:t>
      </w:r>
      <w:r>
        <w:rPr>
          <w:rFonts w:ascii="宋体" w:hAnsi="宋体" w:eastAsia="宋体" w:cs="宋体"/>
          <w:spacing w:val="4"/>
          <w:sz w:val="43"/>
          <w:szCs w:val="43"/>
        </w:rPr>
        <w:t>年</w:t>
      </w:r>
      <w:r>
        <w:rPr>
          <w:rFonts w:ascii="宋体" w:hAnsi="宋体" w:eastAsia="宋体" w:cs="宋体"/>
          <w:spacing w:val="-96"/>
          <w:sz w:val="43"/>
          <w:szCs w:val="43"/>
        </w:rPr>
        <w:t xml:space="preserve"> </w:t>
      </w:r>
      <w:r>
        <w:rPr>
          <w:rFonts w:ascii="宋体" w:hAnsi="宋体" w:eastAsia="宋体" w:cs="宋体"/>
          <w:spacing w:val="4"/>
          <w:sz w:val="43"/>
          <w:szCs w:val="43"/>
        </w:rPr>
        <w:t>度</w:t>
      </w:r>
      <w:r>
        <w:rPr>
          <w:rFonts w:ascii="宋体" w:hAnsi="宋体" w:eastAsia="宋体" w:cs="宋体"/>
          <w:spacing w:val="-97"/>
          <w:sz w:val="43"/>
          <w:szCs w:val="43"/>
        </w:rPr>
        <w:t xml:space="preserve"> </w:t>
      </w:r>
      <w:r>
        <w:rPr>
          <w:rFonts w:ascii="宋体" w:hAnsi="宋体" w:eastAsia="宋体" w:cs="宋体"/>
          <w:spacing w:val="4"/>
          <w:sz w:val="43"/>
          <w:szCs w:val="43"/>
        </w:rPr>
        <w:t>部</w:t>
      </w:r>
      <w:r>
        <w:rPr>
          <w:rFonts w:ascii="宋体" w:hAnsi="宋体" w:eastAsia="宋体" w:cs="宋体"/>
          <w:spacing w:val="-64"/>
          <w:sz w:val="43"/>
          <w:szCs w:val="43"/>
        </w:rPr>
        <w:t xml:space="preserve"> </w:t>
      </w:r>
      <w:r>
        <w:rPr>
          <w:rFonts w:ascii="宋体" w:hAnsi="宋体" w:eastAsia="宋体" w:cs="宋体"/>
          <w:spacing w:val="4"/>
          <w:sz w:val="43"/>
          <w:szCs w:val="43"/>
        </w:rPr>
        <w:t>门</w:t>
      </w:r>
      <w:r>
        <w:rPr>
          <w:rFonts w:ascii="宋体" w:hAnsi="宋体" w:eastAsia="宋体" w:cs="宋体"/>
          <w:spacing w:val="-108"/>
          <w:sz w:val="43"/>
          <w:szCs w:val="43"/>
        </w:rPr>
        <w:t xml:space="preserve"> </w:t>
      </w:r>
      <w:r>
        <w:rPr>
          <w:rFonts w:ascii="宋体" w:hAnsi="宋体" w:eastAsia="宋体" w:cs="宋体"/>
          <w:spacing w:val="4"/>
          <w:sz w:val="43"/>
          <w:szCs w:val="43"/>
        </w:rPr>
        <w:t>预</w:t>
      </w:r>
      <w:r>
        <w:rPr>
          <w:rFonts w:ascii="宋体" w:hAnsi="宋体" w:eastAsia="宋体" w:cs="宋体"/>
          <w:spacing w:val="-94"/>
          <w:sz w:val="43"/>
          <w:szCs w:val="43"/>
        </w:rPr>
        <w:t xml:space="preserve"> </w:t>
      </w:r>
      <w:r>
        <w:rPr>
          <w:rFonts w:ascii="宋体" w:hAnsi="宋体" w:eastAsia="宋体" w:cs="宋体"/>
          <w:spacing w:val="4"/>
          <w:sz w:val="43"/>
          <w:szCs w:val="43"/>
        </w:rPr>
        <w:t>算</w:t>
      </w:r>
      <w:r>
        <w:rPr>
          <w:rFonts w:ascii="宋体" w:hAnsi="宋体" w:eastAsia="宋体" w:cs="宋体"/>
          <w:spacing w:val="-104"/>
          <w:sz w:val="43"/>
          <w:szCs w:val="43"/>
        </w:rPr>
        <w:t xml:space="preserve"> </w:t>
      </w:r>
      <w:r>
        <w:rPr>
          <w:rFonts w:ascii="宋体" w:hAnsi="宋体" w:eastAsia="宋体" w:cs="宋体"/>
          <w:spacing w:val="4"/>
          <w:sz w:val="43"/>
          <w:szCs w:val="43"/>
        </w:rPr>
        <w:t>公</w:t>
      </w:r>
      <w:r>
        <w:rPr>
          <w:rFonts w:ascii="宋体" w:hAnsi="宋体" w:eastAsia="宋体" w:cs="宋体"/>
          <w:spacing w:val="-98"/>
          <w:sz w:val="43"/>
          <w:szCs w:val="43"/>
        </w:rPr>
        <w:t xml:space="preserve"> </w:t>
      </w:r>
      <w:r>
        <w:rPr>
          <w:rFonts w:ascii="宋体" w:hAnsi="宋体" w:eastAsia="宋体" w:cs="宋体"/>
          <w:spacing w:val="4"/>
          <w:sz w:val="43"/>
          <w:szCs w:val="43"/>
        </w:rPr>
        <w:t>开</w:t>
      </w:r>
    </w:p>
    <w:p w14:paraId="15AE7FA8">
      <w:pPr>
        <w:spacing w:line="351" w:lineRule="auto"/>
        <w:rPr>
          <w:rFonts w:ascii="宋体" w:hAnsi="宋体" w:eastAsia="宋体" w:cs="宋体"/>
          <w:sz w:val="43"/>
          <w:szCs w:val="43"/>
        </w:rPr>
        <w:sectPr>
          <w:headerReference r:id="rId5" w:type="default"/>
          <w:pgSz w:w="11900" w:h="16840"/>
          <w:pgMar w:top="400" w:right="0" w:bottom="0" w:left="0" w:header="0" w:footer="0" w:gutter="0"/>
          <w:cols w:space="720" w:num="1"/>
        </w:sectPr>
      </w:pPr>
    </w:p>
    <w:p w14:paraId="30CDFB6A">
      <w:pPr>
        <w:pStyle w:val="2"/>
        <w:spacing w:line="475" w:lineRule="auto"/>
      </w:pPr>
    </w:p>
    <w:p w14:paraId="44A204E0">
      <w:pPr>
        <w:spacing w:before="162" w:line="223" w:lineRule="auto"/>
        <w:ind w:left="5320"/>
        <w:outlineLvl w:val="0"/>
        <w:rPr>
          <w:rFonts w:ascii="仿宋" w:hAnsi="仿宋" w:eastAsia="仿宋" w:cs="仿宋"/>
          <w:sz w:val="50"/>
          <w:szCs w:val="50"/>
        </w:rPr>
      </w:pPr>
      <w:bookmarkStart w:id="0" w:name="bookmark1"/>
      <w:bookmarkEnd w:id="0"/>
      <w:r>
        <w:rPr>
          <w:rFonts w:ascii="仿宋" w:hAnsi="仿宋" w:eastAsia="仿宋" w:cs="仿宋"/>
          <w:b/>
          <w:bCs/>
          <w:spacing w:val="-66"/>
          <w:sz w:val="50"/>
          <w:szCs w:val="50"/>
        </w:rPr>
        <w:t>目</w:t>
      </w:r>
      <w:r>
        <w:rPr>
          <w:rFonts w:ascii="仿宋" w:hAnsi="仿宋" w:eastAsia="仿宋" w:cs="仿宋"/>
          <w:spacing w:val="25"/>
          <w:sz w:val="50"/>
          <w:szCs w:val="50"/>
        </w:rPr>
        <w:t xml:space="preserve">  </w:t>
      </w:r>
      <w:r>
        <w:rPr>
          <w:rFonts w:ascii="仿宋" w:hAnsi="仿宋" w:eastAsia="仿宋" w:cs="仿宋"/>
          <w:b/>
          <w:bCs/>
          <w:spacing w:val="-66"/>
          <w:sz w:val="50"/>
          <w:szCs w:val="50"/>
        </w:rPr>
        <w:t>录</w:t>
      </w:r>
    </w:p>
    <w:p w14:paraId="26ABCD2F">
      <w:pPr>
        <w:pStyle w:val="2"/>
        <w:spacing w:line="444" w:lineRule="auto"/>
      </w:pPr>
    </w:p>
    <w:sdt>
      <w:sdtPr>
        <w:rPr>
          <w:rFonts w:ascii="仿宋" w:hAnsi="仿宋" w:eastAsia="仿宋" w:cs="仿宋"/>
          <w:sz w:val="32"/>
          <w:szCs w:val="32"/>
        </w:rPr>
        <w:id w:val="147480912"/>
        <w:docPartObj>
          <w:docPartGallery w:val="Table of Contents"/>
          <w:docPartUnique/>
        </w:docPartObj>
      </w:sdtPr>
      <w:sdtEndPr>
        <w:rPr>
          <w:rFonts w:ascii="仿宋" w:hAnsi="仿宋" w:eastAsia="仿宋" w:cs="仿宋"/>
          <w:sz w:val="32"/>
          <w:szCs w:val="32"/>
        </w:rPr>
      </w:sdtEndPr>
      <w:sdtContent>
        <w:p w14:paraId="0E449F69">
          <w:pPr>
            <w:tabs>
              <w:tab w:val="right" w:leader="dot" w:pos="10580"/>
            </w:tabs>
            <w:spacing w:before="104" w:line="222" w:lineRule="auto"/>
            <w:ind w:left="1354"/>
            <w:rPr>
              <w:rFonts w:ascii="仿宋" w:hAnsi="仿宋" w:eastAsia="仿宋" w:cs="仿宋"/>
              <w:sz w:val="32"/>
              <w:szCs w:val="32"/>
            </w:rPr>
          </w:pPr>
          <w:bookmarkStart w:id="1" w:name="bookmark2"/>
          <w:bookmarkEnd w:id="1"/>
          <w:r>
            <w:fldChar w:fldCharType="begin"/>
          </w:r>
          <w:r>
            <w:instrText xml:space="preserve"> HYPERLINK \l "bookmark2" </w:instrText>
          </w:r>
          <w:r>
            <w:fldChar w:fldCharType="separate"/>
          </w:r>
          <w:r>
            <w:rPr>
              <w:rFonts w:ascii="仿宋" w:hAnsi="仿宋" w:eastAsia="仿宋" w:cs="仿宋"/>
              <w:b/>
              <w:bCs/>
              <w:spacing w:val="-13"/>
              <w:sz w:val="32"/>
              <w:szCs w:val="32"/>
            </w:rPr>
            <w:t>第一部分</w:t>
          </w:r>
          <w:r>
            <w:rPr>
              <w:rFonts w:ascii="仿宋" w:hAnsi="仿宋" w:eastAsia="仿宋" w:cs="仿宋"/>
              <w:spacing w:val="21"/>
              <w:sz w:val="32"/>
              <w:szCs w:val="32"/>
            </w:rPr>
            <w:t xml:space="preserve"> </w:t>
          </w:r>
          <w:r>
            <w:rPr>
              <w:rFonts w:ascii="仿宋" w:hAnsi="仿宋" w:eastAsia="仿宋" w:cs="仿宋"/>
              <w:b/>
              <w:bCs/>
              <w:spacing w:val="-13"/>
              <w:sz w:val="32"/>
              <w:szCs w:val="32"/>
            </w:rPr>
            <w:t>概况</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b/>
              <w:bCs/>
              <w:spacing w:val="-4"/>
              <w:sz w:val="32"/>
              <w:szCs w:val="32"/>
            </w:rPr>
            <w:t>1</w:t>
          </w:r>
          <w:r>
            <w:rPr>
              <w:rFonts w:ascii="仿宋" w:hAnsi="仿宋" w:eastAsia="仿宋" w:cs="仿宋"/>
              <w:b/>
              <w:bCs/>
              <w:spacing w:val="-4"/>
              <w:sz w:val="32"/>
              <w:szCs w:val="32"/>
            </w:rPr>
            <w:fldChar w:fldCharType="end"/>
          </w:r>
        </w:p>
        <w:p w14:paraId="281C10B4">
          <w:pPr>
            <w:tabs>
              <w:tab w:val="right" w:leader="dot" w:pos="10580"/>
            </w:tabs>
            <w:spacing w:before="113" w:line="222" w:lineRule="auto"/>
            <w:ind w:left="1986"/>
            <w:rPr>
              <w:rFonts w:ascii="仿宋" w:hAnsi="仿宋" w:eastAsia="仿宋" w:cs="仿宋"/>
              <w:sz w:val="32"/>
              <w:szCs w:val="32"/>
            </w:rPr>
          </w:pPr>
          <w:bookmarkStart w:id="2" w:name="bookmark3"/>
          <w:bookmarkEnd w:id="2"/>
          <w:r>
            <w:fldChar w:fldCharType="begin"/>
          </w:r>
          <w:r>
            <w:instrText xml:space="preserve"> HYPERLINK \l "bookmark3" </w:instrText>
          </w:r>
          <w:r>
            <w:fldChar w:fldCharType="separate"/>
          </w:r>
          <w:r>
            <w:rPr>
              <w:rFonts w:ascii="仿宋" w:hAnsi="仿宋" w:eastAsia="仿宋" w:cs="仿宋"/>
              <w:spacing w:val="-8"/>
              <w:sz w:val="32"/>
              <w:szCs w:val="32"/>
            </w:rPr>
            <w:t>一、本部门职责</w:t>
          </w:r>
          <w:r>
            <w:rPr>
              <w:rFonts w:ascii="仿宋" w:hAnsi="仿宋" w:eastAsia="仿宋" w:cs="仿宋"/>
              <w:spacing w:val="-97"/>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15ADFAB2">
          <w:pPr>
            <w:tabs>
              <w:tab w:val="right" w:leader="dot" w:pos="10580"/>
            </w:tabs>
            <w:spacing w:before="116" w:line="222" w:lineRule="auto"/>
            <w:ind w:left="1991"/>
            <w:rPr>
              <w:rFonts w:ascii="仿宋" w:hAnsi="仿宋" w:eastAsia="仿宋" w:cs="仿宋"/>
              <w:sz w:val="32"/>
              <w:szCs w:val="32"/>
            </w:rPr>
          </w:pPr>
          <w:bookmarkStart w:id="3" w:name="bookmark4"/>
          <w:bookmarkEnd w:id="3"/>
          <w:r>
            <w:fldChar w:fldCharType="begin"/>
          </w:r>
          <w:r>
            <w:instrText xml:space="preserve"> HYPERLINK \l "bookmark4" </w:instrText>
          </w:r>
          <w:r>
            <w:fldChar w:fldCharType="separate"/>
          </w:r>
          <w:r>
            <w:rPr>
              <w:rFonts w:ascii="仿宋" w:hAnsi="仿宋" w:eastAsia="仿宋" w:cs="仿宋"/>
              <w:spacing w:val="-4"/>
              <w:sz w:val="32"/>
              <w:szCs w:val="32"/>
            </w:rPr>
            <w:t>二、机构设置情况</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43A544C8">
          <w:pPr>
            <w:tabs>
              <w:tab w:val="right" w:leader="dot" w:pos="10580"/>
            </w:tabs>
            <w:spacing w:before="114" w:line="222" w:lineRule="auto"/>
            <w:ind w:left="1354"/>
            <w:rPr>
              <w:rFonts w:ascii="仿宋" w:hAnsi="仿宋" w:eastAsia="仿宋" w:cs="仿宋"/>
              <w:sz w:val="32"/>
              <w:szCs w:val="32"/>
            </w:rPr>
          </w:pPr>
          <w:bookmarkStart w:id="4" w:name="bookmark5"/>
          <w:bookmarkEnd w:id="4"/>
          <w:r>
            <w:fldChar w:fldCharType="begin"/>
          </w:r>
          <w:r>
            <w:instrText xml:space="preserve"> HYPERLINK \l "bookmark5" </w:instrText>
          </w:r>
          <w:r>
            <w:fldChar w:fldCharType="separate"/>
          </w:r>
          <w:r>
            <w:rPr>
              <w:rFonts w:ascii="仿宋" w:hAnsi="仿宋" w:eastAsia="仿宋" w:cs="仿宋"/>
              <w:b/>
              <w:bCs/>
              <w:spacing w:val="-5"/>
              <w:sz w:val="32"/>
              <w:szCs w:val="32"/>
            </w:rPr>
            <w:t>第二部分</w:t>
          </w:r>
          <w:r>
            <w:rPr>
              <w:rFonts w:ascii="仿宋" w:hAnsi="仿宋" w:eastAsia="仿宋" w:cs="仿宋"/>
              <w:spacing w:val="-5"/>
              <w:sz w:val="32"/>
              <w:szCs w:val="32"/>
            </w:rPr>
            <w:t xml:space="preserve">   </w:t>
          </w:r>
          <w:r>
            <w:rPr>
              <w:rFonts w:ascii="仿宋" w:hAnsi="仿宋" w:eastAsia="仿宋" w:cs="仿宋"/>
              <w:b/>
              <w:bCs/>
              <w:spacing w:val="-5"/>
              <w:sz w:val="32"/>
              <w:szCs w:val="32"/>
            </w:rPr>
            <w:t>2025年部门预算报表</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125"/>
              <w:sz w:val="32"/>
              <w:szCs w:val="32"/>
            </w:rPr>
            <w:t xml:space="preserve"> </w:t>
          </w:r>
          <w:r>
            <w:rPr>
              <w:rFonts w:ascii="仿宋" w:hAnsi="仿宋" w:eastAsia="仿宋" w:cs="仿宋"/>
              <w:b/>
              <w:bCs/>
              <w:spacing w:val="-4"/>
              <w:sz w:val="32"/>
              <w:szCs w:val="32"/>
            </w:rPr>
            <w:t>2</w:t>
          </w:r>
          <w:r>
            <w:rPr>
              <w:rFonts w:ascii="仿宋" w:hAnsi="仿宋" w:eastAsia="仿宋" w:cs="仿宋"/>
              <w:b/>
              <w:bCs/>
              <w:spacing w:val="-4"/>
              <w:sz w:val="32"/>
              <w:szCs w:val="32"/>
            </w:rPr>
            <w:fldChar w:fldCharType="end"/>
          </w:r>
        </w:p>
        <w:p w14:paraId="45C5D4D2">
          <w:pPr>
            <w:tabs>
              <w:tab w:val="right" w:leader="dot" w:pos="10580"/>
            </w:tabs>
            <w:spacing w:before="115" w:line="222" w:lineRule="auto"/>
            <w:ind w:left="1983"/>
            <w:rPr>
              <w:rFonts w:ascii="仿宋" w:hAnsi="仿宋" w:eastAsia="仿宋" w:cs="仿宋"/>
              <w:sz w:val="32"/>
              <w:szCs w:val="32"/>
            </w:rPr>
          </w:pPr>
          <w:bookmarkStart w:id="5" w:name="bookmark6"/>
          <w:bookmarkEnd w:id="5"/>
          <w:r>
            <w:fldChar w:fldCharType="begin"/>
          </w:r>
          <w:r>
            <w:instrText xml:space="preserve"> HYPERLINK \l "bookmark6" </w:instrText>
          </w:r>
          <w:r>
            <w:fldChar w:fldCharType="separate"/>
          </w:r>
          <w:r>
            <w:rPr>
              <w:rFonts w:ascii="仿宋" w:hAnsi="仿宋" w:eastAsia="仿宋" w:cs="仿宋"/>
              <w:spacing w:val="-2"/>
              <w:sz w:val="32"/>
              <w:szCs w:val="32"/>
            </w:rPr>
            <w:t>表一2025年预算收支总表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sz w:val="32"/>
              <w:szCs w:val="32"/>
            </w:rPr>
            <w:t>2</w:t>
          </w:r>
          <w:r>
            <w:rPr>
              <w:rFonts w:ascii="仿宋" w:hAnsi="仿宋" w:eastAsia="仿宋" w:cs="仿宋"/>
              <w:sz w:val="32"/>
              <w:szCs w:val="32"/>
            </w:rPr>
            <w:fldChar w:fldCharType="end"/>
          </w:r>
        </w:p>
        <w:p w14:paraId="1FA7167A">
          <w:pPr>
            <w:tabs>
              <w:tab w:val="right" w:leader="dot" w:pos="10580"/>
            </w:tabs>
            <w:spacing w:before="115" w:line="222" w:lineRule="auto"/>
            <w:ind w:left="1983"/>
            <w:rPr>
              <w:rFonts w:ascii="仿宋" w:hAnsi="仿宋" w:eastAsia="仿宋" w:cs="仿宋"/>
              <w:sz w:val="32"/>
              <w:szCs w:val="32"/>
            </w:rPr>
          </w:pPr>
          <w:bookmarkStart w:id="6" w:name="bookmark7"/>
          <w:bookmarkEnd w:id="6"/>
          <w:r>
            <w:fldChar w:fldCharType="begin"/>
          </w:r>
          <w:r>
            <w:instrText xml:space="preserve"> HYPERLINK \l "bookmark7" </w:instrText>
          </w:r>
          <w:r>
            <w:fldChar w:fldCharType="separate"/>
          </w:r>
          <w:r>
            <w:rPr>
              <w:rFonts w:ascii="仿宋" w:hAnsi="仿宋" w:eastAsia="仿宋" w:cs="仿宋"/>
              <w:spacing w:val="-2"/>
              <w:sz w:val="32"/>
              <w:szCs w:val="32"/>
            </w:rPr>
            <w:t>表二2025年预算收入总表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71"/>
              <w:sz w:val="32"/>
              <w:szCs w:val="32"/>
            </w:rPr>
            <w:t xml:space="preserve"> </w:t>
          </w:r>
          <w:r>
            <w:rPr>
              <w:rFonts w:ascii="仿宋" w:hAnsi="仿宋" w:eastAsia="仿宋" w:cs="仿宋"/>
              <w:sz w:val="32"/>
              <w:szCs w:val="32"/>
            </w:rPr>
            <w:t>4</w:t>
          </w:r>
          <w:r>
            <w:rPr>
              <w:rFonts w:ascii="仿宋" w:hAnsi="仿宋" w:eastAsia="仿宋" w:cs="仿宋"/>
              <w:sz w:val="32"/>
              <w:szCs w:val="32"/>
            </w:rPr>
            <w:fldChar w:fldCharType="end"/>
          </w:r>
        </w:p>
        <w:p w14:paraId="3E18EB3B">
          <w:pPr>
            <w:tabs>
              <w:tab w:val="right" w:leader="dot" w:pos="10580"/>
            </w:tabs>
            <w:spacing w:before="116" w:line="222" w:lineRule="auto"/>
            <w:ind w:left="1983"/>
            <w:rPr>
              <w:rFonts w:ascii="仿宋" w:hAnsi="仿宋" w:eastAsia="仿宋" w:cs="仿宋"/>
              <w:sz w:val="32"/>
              <w:szCs w:val="32"/>
            </w:rPr>
          </w:pPr>
          <w:bookmarkStart w:id="7" w:name="bookmark8"/>
          <w:bookmarkEnd w:id="7"/>
          <w:r>
            <w:fldChar w:fldCharType="begin"/>
          </w:r>
          <w:r>
            <w:instrText xml:space="preserve"> HYPERLINK \l "bookmark8" </w:instrText>
          </w:r>
          <w:r>
            <w:fldChar w:fldCharType="separate"/>
          </w:r>
          <w:r>
            <w:rPr>
              <w:rFonts w:ascii="仿宋" w:hAnsi="仿宋" w:eastAsia="仿宋" w:cs="仿宋"/>
              <w:spacing w:val="-2"/>
              <w:sz w:val="32"/>
              <w:szCs w:val="32"/>
            </w:rPr>
            <w:t>表三2025年预算支出总表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48"/>
              <w:sz w:val="32"/>
              <w:szCs w:val="32"/>
            </w:rPr>
            <w:t xml:space="preserve"> </w:t>
          </w:r>
          <w:r>
            <w:rPr>
              <w:rFonts w:ascii="仿宋" w:hAnsi="仿宋" w:eastAsia="仿宋" w:cs="仿宋"/>
              <w:sz w:val="32"/>
              <w:szCs w:val="32"/>
            </w:rPr>
            <w:t>5</w:t>
          </w:r>
          <w:r>
            <w:rPr>
              <w:rFonts w:ascii="仿宋" w:hAnsi="仿宋" w:eastAsia="仿宋" w:cs="仿宋"/>
              <w:sz w:val="32"/>
              <w:szCs w:val="32"/>
            </w:rPr>
            <w:fldChar w:fldCharType="end"/>
          </w:r>
        </w:p>
        <w:p w14:paraId="1E5324FE">
          <w:pPr>
            <w:tabs>
              <w:tab w:val="right" w:leader="dot" w:pos="10580"/>
            </w:tabs>
            <w:spacing w:before="116" w:line="222" w:lineRule="auto"/>
            <w:ind w:left="1983"/>
            <w:rPr>
              <w:rFonts w:ascii="仿宋" w:hAnsi="仿宋" w:eastAsia="仿宋" w:cs="仿宋"/>
              <w:sz w:val="32"/>
              <w:szCs w:val="32"/>
            </w:rPr>
          </w:pPr>
          <w:bookmarkStart w:id="8" w:name="bookmark9"/>
          <w:bookmarkEnd w:id="8"/>
          <w:r>
            <w:fldChar w:fldCharType="begin"/>
          </w:r>
          <w:r>
            <w:instrText xml:space="preserve"> HYPERLINK \l "bookmark9" </w:instrText>
          </w:r>
          <w:r>
            <w:fldChar w:fldCharType="separate"/>
          </w:r>
          <w:r>
            <w:rPr>
              <w:rFonts w:ascii="仿宋" w:hAnsi="仿宋" w:eastAsia="仿宋" w:cs="仿宋"/>
              <w:spacing w:val="-2"/>
              <w:sz w:val="32"/>
              <w:szCs w:val="32"/>
            </w:rPr>
            <w:t>表四2025年财政拨款收支总表</w:t>
          </w:r>
          <w:r>
            <w:rPr>
              <w:rFonts w:ascii="仿宋" w:hAnsi="仿宋" w:eastAsia="仿宋" w:cs="仿宋"/>
              <w:spacing w:val="-120"/>
              <w:sz w:val="32"/>
              <w:szCs w:val="32"/>
            </w:rPr>
            <w:t xml:space="preserve"> </w:t>
          </w:r>
          <w:r>
            <w:rPr>
              <w:rFonts w:ascii="仿宋" w:hAnsi="仿宋" w:eastAsia="仿宋" w:cs="仿宋"/>
              <w:sz w:val="32"/>
              <w:szCs w:val="32"/>
            </w:rPr>
            <w:tab/>
          </w:r>
          <w:r>
            <w:rPr>
              <w:rFonts w:ascii="仿宋" w:hAnsi="仿宋" w:eastAsia="仿宋" w:cs="仿宋"/>
              <w:spacing w:val="-82"/>
              <w:sz w:val="32"/>
              <w:szCs w:val="32"/>
            </w:rPr>
            <w:t xml:space="preserve"> </w:t>
          </w:r>
          <w:r>
            <w:rPr>
              <w:rFonts w:ascii="仿宋" w:hAnsi="仿宋" w:eastAsia="仿宋" w:cs="仿宋"/>
              <w:sz w:val="32"/>
              <w:szCs w:val="32"/>
            </w:rPr>
            <w:t>6</w:t>
          </w:r>
          <w:r>
            <w:rPr>
              <w:rFonts w:ascii="仿宋" w:hAnsi="仿宋" w:eastAsia="仿宋" w:cs="仿宋"/>
              <w:sz w:val="32"/>
              <w:szCs w:val="32"/>
            </w:rPr>
            <w:fldChar w:fldCharType="end"/>
          </w:r>
        </w:p>
        <w:p w14:paraId="6149A0D5">
          <w:pPr>
            <w:tabs>
              <w:tab w:val="right" w:leader="dot" w:pos="10580"/>
            </w:tabs>
            <w:spacing w:before="114" w:line="219" w:lineRule="auto"/>
            <w:ind w:left="1983"/>
            <w:rPr>
              <w:rFonts w:ascii="仿宋" w:hAnsi="仿宋" w:eastAsia="仿宋" w:cs="仿宋"/>
              <w:sz w:val="32"/>
              <w:szCs w:val="32"/>
            </w:rPr>
          </w:pPr>
          <w:bookmarkStart w:id="9" w:name="bookmark10"/>
          <w:bookmarkEnd w:id="9"/>
          <w:r>
            <w:fldChar w:fldCharType="begin"/>
          </w:r>
          <w:r>
            <w:instrText xml:space="preserve"> HYPERLINK \l "bookmark10" </w:instrText>
          </w:r>
          <w:r>
            <w:fldChar w:fldCharType="separate"/>
          </w:r>
          <w:r>
            <w:rPr>
              <w:rFonts w:ascii="仿宋" w:hAnsi="仿宋" w:eastAsia="仿宋" w:cs="仿宋"/>
              <w:spacing w:val="-2"/>
              <w:sz w:val="32"/>
              <w:szCs w:val="32"/>
            </w:rPr>
            <w:t>表五2025年一般公共预算支出预算表（不含上年结转）</w:t>
          </w:r>
          <w:r>
            <w:rPr>
              <w:rFonts w:ascii="仿宋" w:hAnsi="仿宋" w:eastAsia="仿宋" w:cs="仿宋"/>
              <w:sz w:val="32"/>
              <w:szCs w:val="32"/>
            </w:rPr>
            <w:tab/>
          </w:r>
          <w:r>
            <w:rPr>
              <w:rFonts w:ascii="仿宋" w:hAnsi="仿宋" w:eastAsia="仿宋" w:cs="仿宋"/>
              <w:sz w:val="32"/>
              <w:szCs w:val="32"/>
            </w:rPr>
            <w:t>8</w:t>
          </w:r>
          <w:r>
            <w:rPr>
              <w:rFonts w:ascii="仿宋" w:hAnsi="仿宋" w:eastAsia="仿宋" w:cs="仿宋"/>
              <w:sz w:val="32"/>
              <w:szCs w:val="32"/>
            </w:rPr>
            <w:fldChar w:fldCharType="end"/>
          </w:r>
        </w:p>
        <w:p w14:paraId="43FA5697">
          <w:pPr>
            <w:spacing w:before="121" w:line="221" w:lineRule="auto"/>
            <w:ind w:left="1983"/>
            <w:rPr>
              <w:rFonts w:ascii="仿宋" w:hAnsi="仿宋" w:eastAsia="仿宋" w:cs="仿宋"/>
              <w:sz w:val="32"/>
              <w:szCs w:val="32"/>
            </w:rPr>
          </w:pPr>
          <w:bookmarkStart w:id="10" w:name="bookmark11"/>
          <w:bookmarkEnd w:id="10"/>
          <w:r>
            <w:fldChar w:fldCharType="begin"/>
          </w:r>
          <w:r>
            <w:instrText xml:space="preserve"> HYPERLINK \l "bookmark11" </w:instrText>
          </w:r>
          <w:r>
            <w:fldChar w:fldCharType="separate"/>
          </w:r>
          <w:r>
            <w:rPr>
              <w:rFonts w:ascii="仿宋" w:hAnsi="仿宋" w:eastAsia="仿宋" w:cs="仿宋"/>
              <w:spacing w:val="-1"/>
              <w:sz w:val="32"/>
              <w:szCs w:val="32"/>
            </w:rPr>
            <w:t>表六2025年一般公共预算安排基本支出分经济科目表（不含</w:t>
          </w:r>
          <w:r>
            <w:rPr>
              <w:rFonts w:ascii="仿宋" w:hAnsi="仿宋" w:eastAsia="仿宋" w:cs="仿宋"/>
              <w:spacing w:val="-1"/>
              <w:sz w:val="32"/>
              <w:szCs w:val="32"/>
            </w:rPr>
            <w:fldChar w:fldCharType="end"/>
          </w:r>
        </w:p>
        <w:p w14:paraId="56F1F922">
          <w:pPr>
            <w:tabs>
              <w:tab w:val="right" w:leader="dot" w:pos="10580"/>
            </w:tabs>
            <w:spacing w:before="116" w:line="219" w:lineRule="auto"/>
            <w:ind w:left="1343"/>
            <w:rPr>
              <w:rFonts w:ascii="仿宋" w:hAnsi="仿宋" w:eastAsia="仿宋" w:cs="仿宋"/>
              <w:sz w:val="32"/>
              <w:szCs w:val="32"/>
            </w:rPr>
          </w:pPr>
          <w:bookmarkStart w:id="11" w:name="bookmark12"/>
          <w:bookmarkEnd w:id="11"/>
          <w:r>
            <w:fldChar w:fldCharType="begin"/>
          </w:r>
          <w:r>
            <w:instrText xml:space="preserve"> HYPERLINK \l "bookmark12" </w:instrText>
          </w:r>
          <w:r>
            <w:fldChar w:fldCharType="separate"/>
          </w:r>
          <w:r>
            <w:rPr>
              <w:rFonts w:ascii="仿宋" w:hAnsi="仿宋" w:eastAsia="仿宋" w:cs="仿宋"/>
              <w:spacing w:val="-7"/>
              <w:sz w:val="32"/>
              <w:szCs w:val="32"/>
            </w:rPr>
            <w:t>上年结转）</w:t>
          </w:r>
          <w:r>
            <w:rPr>
              <w:rFonts w:ascii="仿宋" w:hAnsi="仿宋" w:eastAsia="仿宋" w:cs="仿宋"/>
              <w:sz w:val="32"/>
              <w:szCs w:val="32"/>
            </w:rPr>
            <w:tab/>
          </w:r>
          <w:r>
            <w:rPr>
              <w:rFonts w:ascii="仿宋" w:hAnsi="仿宋" w:eastAsia="仿宋" w:cs="仿宋"/>
              <w:sz w:val="32"/>
              <w:szCs w:val="32"/>
            </w:rPr>
            <w:t>9</w:t>
          </w:r>
          <w:r>
            <w:rPr>
              <w:rFonts w:ascii="仿宋" w:hAnsi="仿宋" w:eastAsia="仿宋" w:cs="仿宋"/>
              <w:sz w:val="32"/>
              <w:szCs w:val="32"/>
            </w:rPr>
            <w:fldChar w:fldCharType="end"/>
          </w:r>
        </w:p>
        <w:p w14:paraId="2E8F6319">
          <w:pPr>
            <w:tabs>
              <w:tab w:val="right" w:leader="dot" w:pos="10580"/>
            </w:tabs>
            <w:spacing w:before="121" w:line="219" w:lineRule="auto"/>
            <w:ind w:left="1983"/>
            <w:rPr>
              <w:rFonts w:ascii="仿宋" w:hAnsi="仿宋" w:eastAsia="仿宋" w:cs="仿宋"/>
              <w:sz w:val="32"/>
              <w:szCs w:val="32"/>
            </w:rPr>
          </w:pPr>
          <w:bookmarkStart w:id="12" w:name="bookmark13"/>
          <w:bookmarkEnd w:id="12"/>
          <w:r>
            <w:fldChar w:fldCharType="begin"/>
          </w:r>
          <w:r>
            <w:instrText xml:space="preserve"> HYPERLINK \l "bookmark13" </w:instrText>
          </w:r>
          <w:r>
            <w:fldChar w:fldCharType="separate"/>
          </w:r>
          <w:r>
            <w:rPr>
              <w:rFonts w:ascii="仿宋" w:hAnsi="仿宋" w:eastAsia="仿宋" w:cs="仿宋"/>
              <w:spacing w:val="-1"/>
              <w:sz w:val="32"/>
              <w:szCs w:val="32"/>
            </w:rPr>
            <w:t>表七2025年政府性基金预算收入表（不含上年结转）</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62"/>
              <w:sz w:val="32"/>
              <w:szCs w:val="32"/>
            </w:rPr>
            <w:t xml:space="preserve"> </w:t>
          </w:r>
          <w:r>
            <w:rPr>
              <w:rFonts w:ascii="仿宋" w:hAnsi="仿宋" w:eastAsia="仿宋" w:cs="仿宋"/>
              <w:spacing w:val="-9"/>
              <w:sz w:val="32"/>
              <w:szCs w:val="32"/>
            </w:rPr>
            <w:t>10</w:t>
          </w:r>
          <w:r>
            <w:rPr>
              <w:rFonts w:ascii="仿宋" w:hAnsi="仿宋" w:eastAsia="仿宋" w:cs="仿宋"/>
              <w:spacing w:val="-9"/>
              <w:sz w:val="32"/>
              <w:szCs w:val="32"/>
            </w:rPr>
            <w:fldChar w:fldCharType="end"/>
          </w:r>
        </w:p>
        <w:p w14:paraId="6D47FCD1">
          <w:pPr>
            <w:tabs>
              <w:tab w:val="right" w:leader="dot" w:pos="10580"/>
            </w:tabs>
            <w:spacing w:before="120" w:line="219" w:lineRule="auto"/>
            <w:ind w:left="1983"/>
            <w:rPr>
              <w:rFonts w:ascii="仿宋" w:hAnsi="仿宋" w:eastAsia="仿宋" w:cs="仿宋"/>
              <w:sz w:val="32"/>
              <w:szCs w:val="32"/>
            </w:rPr>
          </w:pPr>
          <w:bookmarkStart w:id="13" w:name="bookmark14"/>
          <w:bookmarkEnd w:id="13"/>
          <w:r>
            <w:fldChar w:fldCharType="begin"/>
          </w:r>
          <w:r>
            <w:instrText xml:space="preserve"> HYPERLINK \l "bookmark14" </w:instrText>
          </w:r>
          <w:r>
            <w:fldChar w:fldCharType="separate"/>
          </w:r>
          <w:r>
            <w:rPr>
              <w:rFonts w:ascii="仿宋" w:hAnsi="仿宋" w:eastAsia="仿宋" w:cs="仿宋"/>
              <w:spacing w:val="-1"/>
              <w:sz w:val="32"/>
              <w:szCs w:val="32"/>
            </w:rPr>
            <w:t>表八2025年政府性基金预算支出表（不含上年结转）</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62"/>
              <w:sz w:val="32"/>
              <w:szCs w:val="32"/>
            </w:rPr>
            <w:t xml:space="preserve"> </w:t>
          </w:r>
          <w:r>
            <w:rPr>
              <w:rFonts w:ascii="仿宋" w:hAnsi="仿宋" w:eastAsia="仿宋" w:cs="仿宋"/>
              <w:spacing w:val="-9"/>
              <w:sz w:val="32"/>
              <w:szCs w:val="32"/>
            </w:rPr>
            <w:t>11</w:t>
          </w:r>
          <w:r>
            <w:rPr>
              <w:rFonts w:ascii="仿宋" w:hAnsi="仿宋" w:eastAsia="仿宋" w:cs="仿宋"/>
              <w:spacing w:val="-9"/>
              <w:sz w:val="32"/>
              <w:szCs w:val="32"/>
            </w:rPr>
            <w:fldChar w:fldCharType="end"/>
          </w:r>
        </w:p>
      </w:sdtContent>
    </w:sdt>
    <w:p w14:paraId="5B79008D">
      <w:pPr>
        <w:spacing w:before="120" w:line="277" w:lineRule="auto"/>
        <w:ind w:left="1354" w:right="1339" w:firstLine="628"/>
        <w:rPr>
          <w:rFonts w:ascii="仿宋" w:hAnsi="仿宋" w:eastAsia="仿宋" w:cs="仿宋"/>
          <w:sz w:val="32"/>
          <w:szCs w:val="32"/>
        </w:rPr>
      </w:pPr>
      <w:r>
        <w:rPr>
          <w:rFonts w:ascii="仿宋" w:hAnsi="仿宋" w:eastAsia="仿宋" w:cs="仿宋"/>
          <w:spacing w:val="-1"/>
          <w:sz w:val="32"/>
          <w:szCs w:val="32"/>
        </w:rPr>
        <w:t>表九2025年国有资本经营预算收支预算表（不含上年结转）</w:t>
      </w:r>
      <w:r>
        <w:rPr>
          <w:rFonts w:ascii="仿宋" w:hAnsi="仿宋" w:eastAsia="仿宋" w:cs="仿宋"/>
          <w:spacing w:val="-109"/>
          <w:sz w:val="32"/>
          <w:szCs w:val="32"/>
        </w:rPr>
        <w:t xml:space="preserve"> </w:t>
      </w:r>
      <w:r>
        <w:rPr>
          <w:position w:val="-1"/>
          <w:sz w:val="32"/>
          <w:szCs w:val="32"/>
        </w:rPr>
        <w:drawing>
          <wp:inline distT="0" distB="0" distL="0" distR="0">
            <wp:extent cx="147320" cy="1270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73"/>
                    <a:stretch>
                      <a:fillRect/>
                    </a:stretch>
                  </pic:blipFill>
                  <pic:spPr>
                    <a:xfrm>
                      <a:off x="0" y="0"/>
                      <a:ext cx="147781" cy="12700"/>
                    </a:xfrm>
                    <a:prstGeom prst="rect">
                      <a:avLst/>
                    </a:prstGeom>
                  </pic:spPr>
                </pic:pic>
              </a:graphicData>
            </a:graphic>
          </wp:inline>
        </w:drawing>
      </w:r>
      <w:r>
        <w:rPr>
          <w:rFonts w:ascii="仿宋" w:hAnsi="仿宋" w:eastAsia="仿宋" w:cs="仿宋"/>
          <w:sz w:val="32"/>
          <w:szCs w:val="32"/>
        </w:rPr>
        <w:t xml:space="preserve"> </w:t>
      </w:r>
      <w:r>
        <w:rPr>
          <w:rFonts w:ascii="仿宋" w:hAnsi="仿宋" w:eastAsia="仿宋" w:cs="仿宋"/>
          <w:spacing w:val="-9"/>
          <w:sz w:val="32"/>
          <w:szCs w:val="32"/>
        </w:rPr>
        <w:t>12</w:t>
      </w:r>
    </w:p>
    <w:sdt>
      <w:sdtPr>
        <w:rPr>
          <w:rFonts w:ascii="仿宋" w:hAnsi="仿宋" w:eastAsia="仿宋" w:cs="仿宋"/>
          <w:sz w:val="32"/>
          <w:szCs w:val="32"/>
        </w:rPr>
        <w:id w:val="147453575"/>
        <w:docPartObj>
          <w:docPartGallery w:val="Table of Contents"/>
          <w:docPartUnique/>
        </w:docPartObj>
      </w:sdtPr>
      <w:sdtEndPr>
        <w:rPr>
          <w:rFonts w:ascii="仿宋" w:hAnsi="仿宋" w:eastAsia="仿宋" w:cs="仿宋"/>
          <w:sz w:val="32"/>
          <w:szCs w:val="32"/>
        </w:rPr>
      </w:sdtEndPr>
      <w:sdtContent>
        <w:p w14:paraId="574192A6">
          <w:pPr>
            <w:tabs>
              <w:tab w:val="right" w:leader="dot" w:pos="10580"/>
            </w:tabs>
            <w:spacing w:before="40" w:line="222" w:lineRule="auto"/>
            <w:ind w:left="1983"/>
            <w:rPr>
              <w:rFonts w:ascii="仿宋" w:hAnsi="仿宋" w:eastAsia="仿宋" w:cs="仿宋"/>
              <w:sz w:val="32"/>
              <w:szCs w:val="32"/>
            </w:rPr>
          </w:pPr>
          <w:bookmarkStart w:id="14" w:name="bookmark15"/>
          <w:bookmarkEnd w:id="14"/>
          <w:r>
            <w:fldChar w:fldCharType="begin"/>
          </w:r>
          <w:r>
            <w:instrText xml:space="preserve"> HYPERLINK \l "bookmark15" </w:instrText>
          </w:r>
          <w:r>
            <w:fldChar w:fldCharType="separate"/>
          </w:r>
          <w:r>
            <w:rPr>
              <w:rFonts w:ascii="仿宋" w:hAnsi="仿宋" w:eastAsia="仿宋" w:cs="仿宋"/>
              <w:spacing w:val="-1"/>
              <w:sz w:val="32"/>
              <w:szCs w:val="32"/>
            </w:rPr>
            <w:t>表十2025年财政拨款安排“三公”经费支出预算表</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12</w:t>
          </w:r>
          <w:r>
            <w:rPr>
              <w:rFonts w:ascii="仿宋" w:hAnsi="仿宋" w:eastAsia="仿宋" w:cs="仿宋"/>
              <w:spacing w:val="-9"/>
              <w:sz w:val="32"/>
              <w:szCs w:val="32"/>
            </w:rPr>
            <w:fldChar w:fldCharType="end"/>
          </w:r>
        </w:p>
        <w:p w14:paraId="5E41A012">
          <w:pPr>
            <w:tabs>
              <w:tab w:val="right" w:leader="dot" w:pos="10580"/>
            </w:tabs>
            <w:spacing w:before="116" w:line="221" w:lineRule="auto"/>
            <w:ind w:left="1983"/>
            <w:rPr>
              <w:rFonts w:ascii="仿宋" w:hAnsi="仿宋" w:eastAsia="仿宋" w:cs="仿宋"/>
              <w:sz w:val="32"/>
              <w:szCs w:val="32"/>
            </w:rPr>
          </w:pPr>
          <w:bookmarkStart w:id="15" w:name="bookmark16"/>
          <w:bookmarkEnd w:id="15"/>
          <w:r>
            <w:fldChar w:fldCharType="begin"/>
          </w:r>
          <w:r>
            <w:instrText xml:space="preserve"> HYPERLINK \l "bookmark16" </w:instrText>
          </w:r>
          <w:r>
            <w:fldChar w:fldCharType="separate"/>
          </w:r>
          <w:r>
            <w:rPr>
              <w:rFonts w:ascii="仿宋" w:hAnsi="仿宋" w:eastAsia="仿宋" w:cs="仿宋"/>
              <w:spacing w:val="-1"/>
              <w:sz w:val="32"/>
              <w:szCs w:val="32"/>
            </w:rPr>
            <w:t>表十一2025年财政拨款安排机关运行经费预</w:t>
          </w:r>
          <w:r>
            <w:rPr>
              <w:rFonts w:ascii="仿宋" w:hAnsi="仿宋" w:eastAsia="仿宋" w:cs="仿宋"/>
              <w:spacing w:val="-2"/>
              <w:sz w:val="32"/>
              <w:szCs w:val="32"/>
            </w:rPr>
            <w:t>算表</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31"/>
              <w:sz w:val="32"/>
              <w:szCs w:val="32"/>
            </w:rPr>
            <w:t xml:space="preserve"> </w:t>
          </w:r>
          <w:r>
            <w:rPr>
              <w:rFonts w:ascii="仿宋" w:hAnsi="仿宋" w:eastAsia="仿宋" w:cs="仿宋"/>
              <w:spacing w:val="-9"/>
              <w:sz w:val="32"/>
              <w:szCs w:val="32"/>
            </w:rPr>
            <w:t>13</w:t>
          </w:r>
          <w:r>
            <w:rPr>
              <w:rFonts w:ascii="仿宋" w:hAnsi="仿宋" w:eastAsia="仿宋" w:cs="仿宋"/>
              <w:spacing w:val="-9"/>
              <w:sz w:val="32"/>
              <w:szCs w:val="32"/>
            </w:rPr>
            <w:fldChar w:fldCharType="end"/>
          </w:r>
        </w:p>
        <w:p w14:paraId="023C8D04">
          <w:pPr>
            <w:tabs>
              <w:tab w:val="right" w:leader="dot" w:pos="10580"/>
            </w:tabs>
            <w:spacing w:before="116" w:line="222" w:lineRule="auto"/>
            <w:ind w:left="1983"/>
            <w:rPr>
              <w:rFonts w:ascii="仿宋" w:hAnsi="仿宋" w:eastAsia="仿宋" w:cs="仿宋"/>
              <w:sz w:val="32"/>
              <w:szCs w:val="32"/>
            </w:rPr>
          </w:pPr>
          <w:bookmarkStart w:id="16" w:name="bookmark17"/>
          <w:bookmarkEnd w:id="16"/>
          <w:r>
            <w:fldChar w:fldCharType="begin"/>
          </w:r>
          <w:r>
            <w:instrText xml:space="preserve"> HYPERLINK \l "bookmark17" </w:instrText>
          </w:r>
          <w:r>
            <w:fldChar w:fldCharType="separate"/>
          </w:r>
          <w:r>
            <w:rPr>
              <w:rFonts w:ascii="仿宋" w:hAnsi="仿宋" w:eastAsia="仿宋" w:cs="仿宋"/>
              <w:spacing w:val="-2"/>
              <w:sz w:val="32"/>
              <w:szCs w:val="32"/>
            </w:rPr>
            <w:t>表十二2025年项目支出预算表（本年预算）</w:t>
          </w:r>
          <w:r>
            <w:rPr>
              <w:rFonts w:ascii="仿宋" w:hAnsi="仿宋" w:eastAsia="仿宋" w:cs="仿宋"/>
              <w:spacing w:val="-108"/>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pacing w:val="-9"/>
              <w:sz w:val="32"/>
              <w:szCs w:val="32"/>
            </w:rPr>
            <w:t>14</w:t>
          </w:r>
          <w:r>
            <w:rPr>
              <w:rFonts w:ascii="仿宋" w:hAnsi="仿宋" w:eastAsia="仿宋" w:cs="仿宋"/>
              <w:spacing w:val="-9"/>
              <w:sz w:val="32"/>
              <w:szCs w:val="32"/>
            </w:rPr>
            <w:fldChar w:fldCharType="end"/>
          </w:r>
        </w:p>
        <w:p w14:paraId="1E6C5FD4">
          <w:pPr>
            <w:tabs>
              <w:tab w:val="right" w:leader="dot" w:pos="10580"/>
            </w:tabs>
            <w:spacing w:before="116" w:line="219" w:lineRule="auto"/>
            <w:ind w:left="1983"/>
            <w:rPr>
              <w:rFonts w:ascii="仿宋" w:hAnsi="仿宋" w:eastAsia="仿宋" w:cs="仿宋"/>
              <w:sz w:val="32"/>
              <w:szCs w:val="32"/>
            </w:rPr>
          </w:pPr>
          <w:bookmarkStart w:id="17" w:name="bookmark18"/>
          <w:bookmarkEnd w:id="17"/>
          <w:r>
            <w:fldChar w:fldCharType="begin"/>
          </w:r>
          <w:r>
            <w:instrText xml:space="preserve"> HYPERLINK \l "bookmark18" </w:instrText>
          </w:r>
          <w:r>
            <w:fldChar w:fldCharType="separate"/>
          </w:r>
          <w:r>
            <w:rPr>
              <w:rFonts w:ascii="仿宋" w:hAnsi="仿宋" w:eastAsia="仿宋" w:cs="仿宋"/>
              <w:spacing w:val="-2"/>
              <w:sz w:val="32"/>
              <w:szCs w:val="32"/>
            </w:rPr>
            <w:t>表十三2025年项目支出预算表（上年结转）</w:t>
          </w:r>
          <w:r>
            <w:rPr>
              <w:rFonts w:ascii="仿宋" w:hAnsi="仿宋" w:eastAsia="仿宋" w:cs="仿宋"/>
              <w:spacing w:val="-93"/>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3E598CD5">
          <w:pPr>
            <w:tabs>
              <w:tab w:val="right" w:leader="dot" w:pos="10580"/>
            </w:tabs>
            <w:spacing w:before="120" w:line="222" w:lineRule="auto"/>
            <w:ind w:left="1354"/>
            <w:rPr>
              <w:rFonts w:ascii="仿宋" w:hAnsi="仿宋" w:eastAsia="仿宋" w:cs="仿宋"/>
              <w:sz w:val="32"/>
              <w:szCs w:val="32"/>
            </w:rPr>
          </w:pPr>
          <w:bookmarkStart w:id="18" w:name="bookmark19"/>
          <w:bookmarkEnd w:id="18"/>
          <w:r>
            <w:fldChar w:fldCharType="begin"/>
          </w:r>
          <w:r>
            <w:instrText xml:space="preserve"> HYPERLINK \l "bookmark19" </w:instrText>
          </w:r>
          <w:r>
            <w:fldChar w:fldCharType="separate"/>
          </w:r>
          <w:r>
            <w:rPr>
              <w:rFonts w:ascii="仿宋" w:hAnsi="仿宋" w:eastAsia="仿宋" w:cs="仿宋"/>
              <w:b/>
              <w:bCs/>
              <w:spacing w:val="-5"/>
              <w:sz w:val="32"/>
              <w:szCs w:val="32"/>
            </w:rPr>
            <w:t>第三部分</w:t>
          </w:r>
          <w:r>
            <w:rPr>
              <w:rFonts w:ascii="仿宋" w:hAnsi="仿宋" w:eastAsia="仿宋" w:cs="仿宋"/>
              <w:spacing w:val="-5"/>
              <w:sz w:val="32"/>
              <w:szCs w:val="32"/>
            </w:rPr>
            <w:t xml:space="preserve">  </w:t>
          </w:r>
          <w:r>
            <w:rPr>
              <w:rFonts w:ascii="仿宋" w:hAnsi="仿宋" w:eastAsia="仿宋" w:cs="仿宋"/>
              <w:b/>
              <w:bCs/>
              <w:spacing w:val="-5"/>
              <w:sz w:val="32"/>
              <w:szCs w:val="32"/>
            </w:rPr>
            <w:t>2025年度部门预算情况说明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60"/>
              <w:sz w:val="32"/>
              <w:szCs w:val="32"/>
            </w:rPr>
            <w:t xml:space="preserve"> </w:t>
          </w:r>
          <w:r>
            <w:rPr>
              <w:rFonts w:ascii="仿宋" w:hAnsi="仿宋" w:eastAsia="仿宋" w:cs="仿宋"/>
              <w:b/>
              <w:bCs/>
              <w:spacing w:val="-13"/>
              <w:sz w:val="32"/>
              <w:szCs w:val="32"/>
            </w:rPr>
            <w:t>16</w:t>
          </w:r>
          <w:r>
            <w:rPr>
              <w:rFonts w:ascii="仿宋" w:hAnsi="仿宋" w:eastAsia="仿宋" w:cs="仿宋"/>
              <w:b/>
              <w:bCs/>
              <w:spacing w:val="-13"/>
              <w:sz w:val="32"/>
              <w:szCs w:val="32"/>
            </w:rPr>
            <w:fldChar w:fldCharType="end"/>
          </w:r>
        </w:p>
        <w:p w14:paraId="1C519448">
          <w:pPr>
            <w:tabs>
              <w:tab w:val="right" w:leader="dot" w:pos="10580"/>
            </w:tabs>
            <w:spacing w:before="115" w:line="222" w:lineRule="auto"/>
            <w:ind w:left="1986"/>
            <w:rPr>
              <w:rFonts w:ascii="仿宋" w:hAnsi="仿宋" w:eastAsia="仿宋" w:cs="仿宋"/>
              <w:sz w:val="32"/>
              <w:szCs w:val="32"/>
            </w:rPr>
          </w:pPr>
          <w:bookmarkStart w:id="19" w:name="bookmark20"/>
          <w:bookmarkEnd w:id="19"/>
          <w:r>
            <w:fldChar w:fldCharType="begin"/>
          </w:r>
          <w:r>
            <w:instrText xml:space="preserve"> HYPERLINK \l "bookmark20" </w:instrText>
          </w:r>
          <w:r>
            <w:fldChar w:fldCharType="separate"/>
          </w:r>
          <w:r>
            <w:rPr>
              <w:rFonts w:ascii="仿宋" w:hAnsi="仿宋" w:eastAsia="仿宋" w:cs="仿宋"/>
              <w:spacing w:val="-5"/>
              <w:sz w:val="32"/>
              <w:szCs w:val="32"/>
            </w:rPr>
            <w:t>一、部门预算收支数据变动情况及原因</w:t>
          </w:r>
          <w:r>
            <w:rPr>
              <w:rFonts w:ascii="仿宋" w:hAnsi="仿宋" w:eastAsia="仿宋" w:cs="仿宋"/>
              <w:spacing w:val="-53"/>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29D91C3D">
          <w:pPr>
            <w:tabs>
              <w:tab w:val="right" w:leader="dot" w:pos="10580"/>
            </w:tabs>
            <w:spacing w:before="115" w:line="222" w:lineRule="auto"/>
            <w:ind w:left="1991"/>
            <w:rPr>
              <w:rFonts w:ascii="仿宋" w:hAnsi="仿宋" w:eastAsia="仿宋" w:cs="仿宋"/>
              <w:sz w:val="32"/>
              <w:szCs w:val="32"/>
            </w:rPr>
          </w:pPr>
          <w:bookmarkStart w:id="20" w:name="bookmark21"/>
          <w:bookmarkEnd w:id="20"/>
          <w:r>
            <w:fldChar w:fldCharType="begin"/>
          </w:r>
          <w:r>
            <w:instrText xml:space="preserve"> HYPERLINK \l "bookmark21" </w:instrText>
          </w:r>
          <w:r>
            <w:fldChar w:fldCharType="separate"/>
          </w:r>
          <w:r>
            <w:rPr>
              <w:rFonts w:ascii="仿宋" w:hAnsi="仿宋" w:eastAsia="仿宋" w:cs="仿宋"/>
              <w:spacing w:val="-4"/>
              <w:sz w:val="32"/>
              <w:szCs w:val="32"/>
            </w:rPr>
            <w:t>二、收入预算情况说明</w:t>
          </w:r>
          <w:r>
            <w:rPr>
              <w:rFonts w:ascii="仿宋" w:hAnsi="仿宋" w:eastAsia="仿宋" w:cs="仿宋"/>
              <w:spacing w:val="-103"/>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2D0A8B22">
          <w:pPr>
            <w:tabs>
              <w:tab w:val="right" w:leader="dot" w:pos="10580"/>
            </w:tabs>
            <w:spacing w:before="116" w:line="222" w:lineRule="auto"/>
            <w:ind w:left="1990"/>
            <w:rPr>
              <w:rFonts w:ascii="仿宋" w:hAnsi="仿宋" w:eastAsia="仿宋" w:cs="仿宋"/>
              <w:sz w:val="32"/>
              <w:szCs w:val="32"/>
            </w:rPr>
          </w:pPr>
          <w:bookmarkStart w:id="21" w:name="bookmark22"/>
          <w:bookmarkEnd w:id="21"/>
          <w:r>
            <w:fldChar w:fldCharType="begin"/>
          </w:r>
          <w:r>
            <w:instrText xml:space="preserve"> HYPERLINK \l "bookmark22" </w:instrText>
          </w:r>
          <w:r>
            <w:fldChar w:fldCharType="separate"/>
          </w:r>
          <w:r>
            <w:rPr>
              <w:rFonts w:ascii="仿宋" w:hAnsi="仿宋" w:eastAsia="仿宋" w:cs="仿宋"/>
              <w:spacing w:val="-4"/>
              <w:sz w:val="32"/>
              <w:szCs w:val="32"/>
            </w:rPr>
            <w:t>三、支出预算情况说明</w:t>
          </w:r>
          <w:r>
            <w:rPr>
              <w:rFonts w:ascii="仿宋" w:hAnsi="仿宋" w:eastAsia="仿宋" w:cs="仿宋"/>
              <w:spacing w:val="-117"/>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54B8F92C">
          <w:pPr>
            <w:tabs>
              <w:tab w:val="right" w:leader="dot" w:pos="10580"/>
            </w:tabs>
            <w:spacing w:before="115" w:line="222" w:lineRule="auto"/>
            <w:ind w:left="2018"/>
            <w:rPr>
              <w:rFonts w:ascii="仿宋" w:hAnsi="仿宋" w:eastAsia="仿宋" w:cs="仿宋"/>
              <w:sz w:val="32"/>
              <w:szCs w:val="32"/>
            </w:rPr>
          </w:pPr>
          <w:bookmarkStart w:id="22" w:name="bookmark23"/>
          <w:bookmarkEnd w:id="22"/>
          <w:r>
            <w:fldChar w:fldCharType="begin"/>
          </w:r>
          <w:r>
            <w:instrText xml:space="preserve"> HYPERLINK \l "bookmark23" </w:instrText>
          </w:r>
          <w:r>
            <w:fldChar w:fldCharType="separate"/>
          </w:r>
          <w:r>
            <w:rPr>
              <w:rFonts w:ascii="仿宋" w:hAnsi="仿宋" w:eastAsia="仿宋" w:cs="仿宋"/>
              <w:spacing w:val="-4"/>
              <w:sz w:val="32"/>
              <w:szCs w:val="32"/>
            </w:rPr>
            <w:t>四、财政拨款收支预算总体情况说明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5DA15C77">
          <w:pPr>
            <w:tabs>
              <w:tab w:val="right" w:leader="dot" w:pos="10580"/>
            </w:tabs>
            <w:spacing w:before="115" w:line="222" w:lineRule="auto"/>
            <w:ind w:left="1986"/>
            <w:rPr>
              <w:rFonts w:ascii="仿宋" w:hAnsi="仿宋" w:eastAsia="仿宋" w:cs="仿宋"/>
              <w:sz w:val="32"/>
              <w:szCs w:val="32"/>
            </w:rPr>
          </w:pPr>
          <w:bookmarkStart w:id="23" w:name="bookmark24"/>
          <w:bookmarkEnd w:id="23"/>
          <w:r>
            <w:fldChar w:fldCharType="begin"/>
          </w:r>
          <w:r>
            <w:instrText xml:space="preserve"> HYPERLINK \l "bookmark24" </w:instrText>
          </w:r>
          <w:r>
            <w:fldChar w:fldCharType="separate"/>
          </w:r>
          <w:r>
            <w:rPr>
              <w:rFonts w:ascii="仿宋" w:hAnsi="仿宋" w:eastAsia="仿宋" w:cs="仿宋"/>
              <w:spacing w:val="-2"/>
              <w:sz w:val="32"/>
              <w:szCs w:val="32"/>
            </w:rPr>
            <w:t>五、一般公共预算支出情况说明</w:t>
          </w:r>
          <w:r>
            <w:rPr>
              <w:rFonts w:ascii="仿宋" w:hAnsi="仿宋" w:eastAsia="仿宋" w:cs="仿宋"/>
              <w:spacing w:val="-110"/>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3B36AD2B">
          <w:pPr>
            <w:tabs>
              <w:tab w:val="right" w:leader="dot" w:pos="10580"/>
            </w:tabs>
            <w:spacing w:before="115" w:line="222" w:lineRule="auto"/>
            <w:ind w:left="1983"/>
            <w:rPr>
              <w:rFonts w:ascii="仿宋" w:hAnsi="仿宋" w:eastAsia="仿宋" w:cs="仿宋"/>
              <w:sz w:val="32"/>
              <w:szCs w:val="32"/>
            </w:rPr>
          </w:pPr>
          <w:bookmarkStart w:id="24" w:name="bookmark25"/>
          <w:bookmarkEnd w:id="24"/>
          <w:r>
            <w:fldChar w:fldCharType="begin"/>
          </w:r>
          <w:r>
            <w:instrText xml:space="preserve"> HYPERLINK \l "bookmark25" </w:instrText>
          </w:r>
          <w:r>
            <w:fldChar w:fldCharType="separate"/>
          </w:r>
          <w:r>
            <w:rPr>
              <w:rFonts w:ascii="仿宋" w:hAnsi="仿宋" w:eastAsia="仿宋" w:cs="仿宋"/>
              <w:spacing w:val="-2"/>
              <w:sz w:val="32"/>
              <w:szCs w:val="32"/>
            </w:rPr>
            <w:t>六、一般公共预算基本支出情况说明</w:t>
          </w:r>
          <w:r>
            <w:rPr>
              <w:rFonts w:ascii="仿宋" w:hAnsi="仿宋" w:eastAsia="仿宋" w:cs="仿宋"/>
              <w:spacing w:val="-118"/>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00029ADF">
          <w:pPr>
            <w:tabs>
              <w:tab w:val="right" w:leader="dot" w:pos="10580"/>
            </w:tabs>
            <w:spacing w:before="116" w:line="223" w:lineRule="auto"/>
            <w:ind w:left="1987"/>
            <w:rPr>
              <w:rFonts w:ascii="仿宋" w:hAnsi="仿宋" w:eastAsia="仿宋" w:cs="仿宋"/>
              <w:sz w:val="32"/>
              <w:szCs w:val="32"/>
            </w:rPr>
          </w:pPr>
          <w:bookmarkStart w:id="25" w:name="bookmark26"/>
          <w:bookmarkEnd w:id="25"/>
          <w:r>
            <w:fldChar w:fldCharType="begin"/>
          </w:r>
          <w:r>
            <w:instrText xml:space="preserve"> HYPERLINK \l "bookmark26" </w:instrText>
          </w:r>
          <w:r>
            <w:fldChar w:fldCharType="separate"/>
          </w:r>
          <w:r>
            <w:rPr>
              <w:rFonts w:ascii="仿宋" w:hAnsi="仿宋" w:eastAsia="仿宋" w:cs="仿宋"/>
              <w:spacing w:val="-2"/>
              <w:sz w:val="32"/>
              <w:szCs w:val="32"/>
            </w:rPr>
            <w:t>七、“三公”经费增减变动原因说明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19170099">
          <w:pPr>
            <w:tabs>
              <w:tab w:val="right" w:leader="dot" w:pos="10580"/>
            </w:tabs>
            <w:spacing w:before="113" w:line="221" w:lineRule="auto"/>
            <w:ind w:left="1980"/>
            <w:rPr>
              <w:rFonts w:ascii="仿宋" w:hAnsi="仿宋" w:eastAsia="仿宋" w:cs="仿宋"/>
              <w:sz w:val="32"/>
              <w:szCs w:val="32"/>
            </w:rPr>
          </w:pPr>
          <w:bookmarkStart w:id="26" w:name="bookmark27"/>
          <w:bookmarkEnd w:id="26"/>
          <w:r>
            <w:fldChar w:fldCharType="begin"/>
          </w:r>
          <w:r>
            <w:instrText xml:space="preserve"> HYPERLINK \l "bookmark27" </w:instrText>
          </w:r>
          <w:r>
            <w:fldChar w:fldCharType="separate"/>
          </w:r>
          <w:r>
            <w:rPr>
              <w:rFonts w:ascii="仿宋" w:hAnsi="仿宋" w:eastAsia="仿宋" w:cs="仿宋"/>
              <w:spacing w:val="-2"/>
              <w:sz w:val="32"/>
              <w:szCs w:val="32"/>
            </w:rPr>
            <w:t>八、机关运行经费增减变动原因说明</w:t>
          </w:r>
          <w:r>
            <w:rPr>
              <w:rFonts w:ascii="仿宋" w:hAnsi="仿宋" w:eastAsia="仿宋" w:cs="仿宋"/>
              <w:spacing w:val="-100"/>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sdtContent>
    </w:sdt>
    <w:p w14:paraId="4131CA0F">
      <w:pPr>
        <w:spacing w:line="221" w:lineRule="auto"/>
        <w:rPr>
          <w:rFonts w:ascii="仿宋" w:hAnsi="仿宋" w:eastAsia="仿宋" w:cs="仿宋"/>
          <w:sz w:val="32"/>
          <w:szCs w:val="32"/>
        </w:rPr>
        <w:sectPr>
          <w:headerReference r:id="rId6" w:type="default"/>
          <w:pgSz w:w="11900" w:h="16840"/>
          <w:pgMar w:top="400" w:right="0" w:bottom="0" w:left="0" w:header="0" w:footer="0" w:gutter="0"/>
          <w:cols w:space="720" w:num="1"/>
        </w:sectPr>
      </w:pPr>
    </w:p>
    <w:p w14:paraId="3E560421">
      <w:pPr>
        <w:pStyle w:val="2"/>
        <w:spacing w:line="438" w:lineRule="auto"/>
      </w:pPr>
    </w:p>
    <w:sdt>
      <w:sdtPr>
        <w:rPr>
          <w:rFonts w:ascii="仿宋" w:hAnsi="仿宋" w:eastAsia="仿宋" w:cs="仿宋"/>
          <w:sz w:val="32"/>
          <w:szCs w:val="32"/>
        </w:rPr>
        <w:id w:val="147456047"/>
        <w:docPartObj>
          <w:docPartGallery w:val="Table of Contents"/>
          <w:docPartUnique/>
        </w:docPartObj>
      </w:sdtPr>
      <w:sdtEndPr>
        <w:rPr>
          <w:rFonts w:ascii="仿宋" w:hAnsi="仿宋" w:eastAsia="仿宋" w:cs="仿宋"/>
          <w:sz w:val="32"/>
          <w:szCs w:val="32"/>
        </w:rPr>
      </w:sdtEndPr>
      <w:sdtContent>
        <w:p w14:paraId="7DA6CC16">
          <w:pPr>
            <w:tabs>
              <w:tab w:val="right" w:leader="dot" w:pos="10580"/>
            </w:tabs>
            <w:spacing w:before="104" w:line="222" w:lineRule="auto"/>
            <w:ind w:left="1992"/>
            <w:rPr>
              <w:rFonts w:ascii="仿宋" w:hAnsi="仿宋" w:eastAsia="仿宋" w:cs="仿宋"/>
              <w:sz w:val="32"/>
              <w:szCs w:val="32"/>
            </w:rPr>
          </w:pPr>
          <w:bookmarkStart w:id="27" w:name="bookmark28"/>
          <w:bookmarkEnd w:id="27"/>
          <w:r>
            <w:fldChar w:fldCharType="begin"/>
          </w:r>
          <w:r>
            <w:instrText xml:space="preserve"> HYPERLINK \l "bookmark28" </w:instrText>
          </w:r>
          <w:r>
            <w:fldChar w:fldCharType="separate"/>
          </w:r>
          <w:r>
            <w:rPr>
              <w:rFonts w:ascii="仿宋" w:hAnsi="仿宋" w:eastAsia="仿宋" w:cs="仿宋"/>
              <w:spacing w:val="-5"/>
              <w:sz w:val="32"/>
              <w:szCs w:val="32"/>
            </w:rPr>
            <w:t>九、政府采购情况</w:t>
          </w:r>
          <w:r>
            <w:rPr>
              <w:rFonts w:ascii="仿宋" w:hAnsi="仿宋" w:eastAsia="仿宋" w:cs="仿宋"/>
              <w:spacing w:val="-104"/>
              <w:sz w:val="32"/>
              <w:szCs w:val="32"/>
            </w:rPr>
            <w:t xml:space="preserve"> </w:t>
          </w:r>
          <w:r>
            <w:rPr>
              <w:rFonts w:ascii="仿宋" w:hAnsi="仿宋" w:eastAsia="仿宋" w:cs="仿宋"/>
              <w:sz w:val="32"/>
              <w:szCs w:val="32"/>
            </w:rPr>
            <w:tab/>
          </w:r>
          <w:r>
            <w:rPr>
              <w:rFonts w:ascii="仿宋" w:hAnsi="仿宋" w:eastAsia="仿宋" w:cs="仿宋"/>
              <w:spacing w:val="-61"/>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3CDAB0DF">
          <w:pPr>
            <w:tabs>
              <w:tab w:val="right" w:leader="dot" w:pos="10580"/>
            </w:tabs>
            <w:spacing w:before="115" w:line="222" w:lineRule="auto"/>
            <w:ind w:left="1990"/>
            <w:rPr>
              <w:rFonts w:ascii="仿宋" w:hAnsi="仿宋" w:eastAsia="仿宋" w:cs="仿宋"/>
              <w:sz w:val="32"/>
              <w:szCs w:val="32"/>
            </w:rPr>
          </w:pPr>
          <w:bookmarkStart w:id="28" w:name="bookmark29"/>
          <w:bookmarkEnd w:id="28"/>
          <w:r>
            <w:fldChar w:fldCharType="begin"/>
          </w:r>
          <w:r>
            <w:instrText xml:space="preserve"> HYPERLINK \l "bookmark29" </w:instrText>
          </w:r>
          <w:r>
            <w:fldChar w:fldCharType="separate"/>
          </w:r>
          <w:r>
            <w:rPr>
              <w:rFonts w:ascii="仿宋" w:hAnsi="仿宋" w:eastAsia="仿宋" w:cs="仿宋"/>
              <w:spacing w:val="-4"/>
              <w:sz w:val="32"/>
              <w:szCs w:val="32"/>
            </w:rPr>
            <w:t>十、绩效管理情况</w:t>
          </w:r>
          <w:r>
            <w:rPr>
              <w:rFonts w:ascii="仿宋" w:hAnsi="仿宋" w:eastAsia="仿宋" w:cs="仿宋"/>
              <w:spacing w:val="-110"/>
              <w:sz w:val="32"/>
              <w:szCs w:val="32"/>
            </w:rPr>
            <w:t xml:space="preserve"> </w:t>
          </w:r>
          <w:r>
            <w:rPr>
              <w:rFonts w:ascii="仿宋" w:hAnsi="仿宋" w:eastAsia="仿宋" w:cs="仿宋"/>
              <w:sz w:val="32"/>
              <w:szCs w:val="32"/>
            </w:rPr>
            <w:tab/>
          </w:r>
          <w:r>
            <w:rPr>
              <w:rFonts w:ascii="仿宋" w:hAnsi="仿宋" w:eastAsia="仿宋" w:cs="仿宋"/>
              <w:spacing w:val="-61"/>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5A5AAAA4">
          <w:pPr>
            <w:tabs>
              <w:tab w:val="right" w:leader="dot" w:pos="10580"/>
            </w:tabs>
            <w:spacing w:before="115" w:line="222" w:lineRule="auto"/>
            <w:ind w:left="1990"/>
            <w:rPr>
              <w:rFonts w:ascii="仿宋" w:hAnsi="仿宋" w:eastAsia="仿宋" w:cs="仿宋"/>
              <w:sz w:val="32"/>
              <w:szCs w:val="32"/>
            </w:rPr>
          </w:pPr>
          <w:bookmarkStart w:id="29" w:name="bookmark30"/>
          <w:bookmarkEnd w:id="29"/>
          <w:r>
            <w:fldChar w:fldCharType="begin"/>
          </w:r>
          <w:r>
            <w:instrText xml:space="preserve"> HYPERLINK \l "bookmark30" </w:instrText>
          </w:r>
          <w:r>
            <w:fldChar w:fldCharType="separate"/>
          </w:r>
          <w:r>
            <w:rPr>
              <w:rFonts w:ascii="仿宋" w:hAnsi="仿宋" w:eastAsia="仿宋" w:cs="仿宋"/>
              <w:spacing w:val="-5"/>
              <w:sz w:val="32"/>
              <w:szCs w:val="32"/>
            </w:rPr>
            <w:t>十一、国有资产占有使用情况</w:t>
          </w:r>
          <w:r>
            <w:rPr>
              <w:rFonts w:ascii="仿宋" w:hAnsi="仿宋" w:eastAsia="仿宋" w:cs="仿宋"/>
              <w:spacing w:val="-137"/>
              <w:sz w:val="32"/>
              <w:szCs w:val="32"/>
            </w:rPr>
            <w:t xml:space="preserve"> </w:t>
          </w:r>
          <w:r>
            <w:rPr>
              <w:rFonts w:ascii="仿宋" w:hAnsi="仿宋" w:eastAsia="仿宋" w:cs="仿宋"/>
              <w:sz w:val="32"/>
              <w:szCs w:val="32"/>
            </w:rPr>
            <w:tab/>
          </w:r>
          <w:r>
            <w:rPr>
              <w:rFonts w:ascii="仿宋" w:hAnsi="仿宋" w:eastAsia="仿宋" w:cs="仿宋"/>
              <w:spacing w:val="-153"/>
              <w:sz w:val="32"/>
              <w:szCs w:val="32"/>
            </w:rPr>
            <w:t xml:space="preserve"> </w:t>
          </w:r>
          <w:r>
            <w:rPr>
              <w:rFonts w:ascii="仿宋" w:hAnsi="仿宋" w:eastAsia="仿宋" w:cs="仿宋"/>
              <w:spacing w:val="-5"/>
              <w:sz w:val="32"/>
              <w:szCs w:val="32"/>
            </w:rPr>
            <w:t>34</w:t>
          </w:r>
          <w:r>
            <w:rPr>
              <w:rFonts w:ascii="仿宋" w:hAnsi="仿宋" w:eastAsia="仿宋" w:cs="仿宋"/>
              <w:spacing w:val="-5"/>
              <w:sz w:val="32"/>
              <w:szCs w:val="32"/>
            </w:rPr>
            <w:fldChar w:fldCharType="end"/>
          </w:r>
        </w:p>
        <w:p w14:paraId="6D86BE7A">
          <w:pPr>
            <w:tabs>
              <w:tab w:val="right" w:leader="dot" w:pos="10580"/>
            </w:tabs>
            <w:spacing w:before="113" w:line="222" w:lineRule="auto"/>
            <w:ind w:left="1990"/>
            <w:rPr>
              <w:rFonts w:ascii="仿宋" w:hAnsi="仿宋" w:eastAsia="仿宋" w:cs="仿宋"/>
              <w:sz w:val="32"/>
              <w:szCs w:val="32"/>
            </w:rPr>
          </w:pPr>
          <w:bookmarkStart w:id="30" w:name="bookmark31"/>
          <w:bookmarkEnd w:id="30"/>
          <w:r>
            <w:fldChar w:fldCharType="begin"/>
          </w:r>
          <w:r>
            <w:instrText xml:space="preserve"> HYPERLINK \l "bookmark31" </w:instrText>
          </w:r>
          <w:r>
            <w:fldChar w:fldCharType="separate"/>
          </w:r>
          <w:r>
            <w:rPr>
              <w:rFonts w:ascii="仿宋" w:hAnsi="仿宋" w:eastAsia="仿宋" w:cs="仿宋"/>
              <w:spacing w:val="-5"/>
              <w:sz w:val="32"/>
              <w:szCs w:val="32"/>
            </w:rPr>
            <w:t>十二、其他说明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63"/>
              <w:sz w:val="32"/>
              <w:szCs w:val="32"/>
            </w:rPr>
            <w:t xml:space="preserve"> </w:t>
          </w:r>
          <w:r>
            <w:rPr>
              <w:rFonts w:ascii="仿宋" w:hAnsi="仿宋" w:eastAsia="仿宋" w:cs="仿宋"/>
              <w:spacing w:val="-5"/>
              <w:sz w:val="32"/>
              <w:szCs w:val="32"/>
            </w:rPr>
            <w:t>34</w:t>
          </w:r>
          <w:r>
            <w:rPr>
              <w:rFonts w:ascii="仿宋" w:hAnsi="仿宋" w:eastAsia="仿宋" w:cs="仿宋"/>
              <w:spacing w:val="-5"/>
              <w:sz w:val="32"/>
              <w:szCs w:val="32"/>
            </w:rPr>
            <w:fldChar w:fldCharType="end"/>
          </w:r>
        </w:p>
        <w:p w14:paraId="03370CB1">
          <w:pPr>
            <w:tabs>
              <w:tab w:val="right" w:leader="dot" w:pos="10580"/>
            </w:tabs>
            <w:spacing w:before="116" w:line="220" w:lineRule="auto"/>
            <w:ind w:left="2621"/>
            <w:rPr>
              <w:rFonts w:ascii="仿宋" w:hAnsi="仿宋" w:eastAsia="仿宋" w:cs="仿宋"/>
              <w:sz w:val="32"/>
              <w:szCs w:val="32"/>
            </w:rPr>
          </w:pPr>
          <w:bookmarkStart w:id="31" w:name="bookmark32"/>
          <w:bookmarkEnd w:id="31"/>
          <w:r>
            <w:fldChar w:fldCharType="begin"/>
          </w:r>
          <w:r>
            <w:instrText xml:space="preserve"> HYPERLINK \l "bookmark32" </w:instrText>
          </w:r>
          <w:r>
            <w:fldChar w:fldCharType="separate"/>
          </w:r>
          <w:r>
            <w:rPr>
              <w:rFonts w:ascii="仿宋" w:hAnsi="仿宋" w:eastAsia="仿宋" w:cs="仿宋"/>
              <w:spacing w:val="-4"/>
              <w:sz w:val="32"/>
              <w:szCs w:val="32"/>
            </w:rPr>
            <w:t>（一）政府购买服务指导性目录</w:t>
          </w:r>
          <w:r>
            <w:rPr>
              <w:rFonts w:ascii="仿宋" w:hAnsi="仿宋" w:eastAsia="仿宋" w:cs="仿宋"/>
              <w:spacing w:val="-77"/>
              <w:sz w:val="32"/>
              <w:szCs w:val="32"/>
            </w:rPr>
            <w:t xml:space="preserve"> </w:t>
          </w:r>
          <w:r>
            <w:rPr>
              <w:rFonts w:ascii="仿宋" w:hAnsi="仿宋" w:eastAsia="仿宋" w:cs="仿宋"/>
              <w:sz w:val="32"/>
              <w:szCs w:val="32"/>
            </w:rPr>
            <w:tab/>
          </w:r>
          <w:r>
            <w:rPr>
              <w:rFonts w:ascii="仿宋" w:hAnsi="仿宋" w:eastAsia="仿宋" w:cs="仿宋"/>
              <w:spacing w:val="-93"/>
              <w:sz w:val="32"/>
              <w:szCs w:val="32"/>
            </w:rPr>
            <w:t xml:space="preserve"> </w:t>
          </w:r>
          <w:r>
            <w:rPr>
              <w:rFonts w:ascii="仿宋" w:hAnsi="仿宋" w:eastAsia="仿宋" w:cs="仿宋"/>
              <w:spacing w:val="-5"/>
              <w:sz w:val="32"/>
              <w:szCs w:val="32"/>
            </w:rPr>
            <w:t>34</w:t>
          </w:r>
          <w:r>
            <w:rPr>
              <w:rFonts w:ascii="仿宋" w:hAnsi="仿宋" w:eastAsia="仿宋" w:cs="仿宋"/>
              <w:spacing w:val="-5"/>
              <w:sz w:val="32"/>
              <w:szCs w:val="32"/>
            </w:rPr>
            <w:fldChar w:fldCharType="end"/>
          </w:r>
        </w:p>
        <w:p w14:paraId="101577C5">
          <w:pPr>
            <w:tabs>
              <w:tab w:val="right" w:leader="dot" w:pos="10580"/>
            </w:tabs>
            <w:spacing w:before="118" w:line="222" w:lineRule="auto"/>
            <w:ind w:left="2621"/>
            <w:rPr>
              <w:rFonts w:ascii="仿宋" w:hAnsi="仿宋" w:eastAsia="仿宋" w:cs="仿宋"/>
              <w:sz w:val="32"/>
              <w:szCs w:val="32"/>
            </w:rPr>
          </w:pPr>
          <w:bookmarkStart w:id="32" w:name="bookmark33"/>
          <w:bookmarkEnd w:id="32"/>
          <w:r>
            <w:fldChar w:fldCharType="begin"/>
          </w:r>
          <w:r>
            <w:instrText xml:space="preserve"> HYPERLINK \l "bookmark33" </w:instrText>
          </w:r>
          <w:r>
            <w:fldChar w:fldCharType="separate"/>
          </w:r>
          <w:r>
            <w:rPr>
              <w:rFonts w:ascii="仿宋" w:hAnsi="仿宋" w:eastAsia="仿宋" w:cs="仿宋"/>
              <w:spacing w:val="-9"/>
              <w:sz w:val="32"/>
              <w:szCs w:val="32"/>
            </w:rPr>
            <w:t>（二）其他</w:t>
          </w:r>
          <w:r>
            <w:rPr>
              <w:rFonts w:ascii="仿宋" w:hAnsi="仿宋" w:eastAsia="仿宋" w:cs="仿宋"/>
              <w:spacing w:val="-103"/>
              <w:sz w:val="32"/>
              <w:szCs w:val="32"/>
            </w:rPr>
            <w:t xml:space="preserve"> </w:t>
          </w:r>
          <w:r>
            <w:rPr>
              <w:rFonts w:ascii="仿宋" w:hAnsi="仿宋" w:eastAsia="仿宋" w:cs="仿宋"/>
              <w:sz w:val="32"/>
              <w:szCs w:val="32"/>
            </w:rPr>
            <w:tab/>
          </w:r>
          <w:r>
            <w:rPr>
              <w:rFonts w:ascii="仿宋" w:hAnsi="仿宋" w:eastAsia="仿宋" w:cs="仿宋"/>
              <w:spacing w:val="-63"/>
              <w:sz w:val="32"/>
              <w:szCs w:val="32"/>
            </w:rPr>
            <w:t xml:space="preserve"> </w:t>
          </w:r>
          <w:r>
            <w:rPr>
              <w:rFonts w:ascii="仿宋" w:hAnsi="仿宋" w:eastAsia="仿宋" w:cs="仿宋"/>
              <w:spacing w:val="-5"/>
              <w:sz w:val="32"/>
              <w:szCs w:val="32"/>
            </w:rPr>
            <w:t>34</w:t>
          </w:r>
          <w:r>
            <w:rPr>
              <w:rFonts w:ascii="仿宋" w:hAnsi="仿宋" w:eastAsia="仿宋" w:cs="仿宋"/>
              <w:spacing w:val="-5"/>
              <w:sz w:val="32"/>
              <w:szCs w:val="32"/>
            </w:rPr>
            <w:fldChar w:fldCharType="end"/>
          </w:r>
        </w:p>
        <w:p w14:paraId="0079A74F">
          <w:pPr>
            <w:tabs>
              <w:tab w:val="right" w:leader="dot" w:pos="10580"/>
            </w:tabs>
            <w:spacing w:before="116" w:line="222" w:lineRule="auto"/>
            <w:ind w:left="1354"/>
            <w:rPr>
              <w:rFonts w:ascii="仿宋" w:hAnsi="仿宋" w:eastAsia="仿宋" w:cs="仿宋"/>
              <w:sz w:val="32"/>
              <w:szCs w:val="32"/>
            </w:rPr>
          </w:pPr>
          <w:bookmarkStart w:id="33" w:name="bookmark34"/>
          <w:bookmarkEnd w:id="33"/>
          <w:r>
            <w:fldChar w:fldCharType="begin"/>
          </w:r>
          <w:r>
            <w:instrText xml:space="preserve"> HYPERLINK \l "bookmark34" </w:instrText>
          </w:r>
          <w:r>
            <w:fldChar w:fldCharType="separate"/>
          </w:r>
          <w:r>
            <w:rPr>
              <w:rFonts w:ascii="仿宋" w:hAnsi="仿宋" w:eastAsia="仿宋" w:cs="仿宋"/>
              <w:b/>
              <w:bCs/>
              <w:spacing w:val="-11"/>
              <w:sz w:val="32"/>
              <w:szCs w:val="32"/>
            </w:rPr>
            <w:t>第四部分</w:t>
          </w:r>
          <w:r>
            <w:rPr>
              <w:rFonts w:ascii="仿宋" w:hAnsi="仿宋" w:eastAsia="仿宋" w:cs="仿宋"/>
              <w:spacing w:val="12"/>
              <w:sz w:val="32"/>
              <w:szCs w:val="32"/>
            </w:rPr>
            <w:t xml:space="preserve">  </w:t>
          </w:r>
          <w:r>
            <w:rPr>
              <w:rFonts w:ascii="仿宋" w:hAnsi="仿宋" w:eastAsia="仿宋" w:cs="仿宋"/>
              <w:b/>
              <w:bCs/>
              <w:spacing w:val="-11"/>
              <w:sz w:val="32"/>
              <w:szCs w:val="32"/>
            </w:rPr>
            <w:t>名词解释</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63"/>
              <w:sz w:val="32"/>
              <w:szCs w:val="32"/>
            </w:rPr>
            <w:t xml:space="preserve"> </w:t>
          </w:r>
          <w:r>
            <w:rPr>
              <w:rFonts w:ascii="仿宋" w:hAnsi="仿宋" w:eastAsia="仿宋" w:cs="仿宋"/>
              <w:b/>
              <w:bCs/>
              <w:spacing w:val="-8"/>
              <w:sz w:val="32"/>
              <w:szCs w:val="32"/>
            </w:rPr>
            <w:t>36</w:t>
          </w:r>
          <w:r>
            <w:rPr>
              <w:rFonts w:ascii="仿宋" w:hAnsi="仿宋" w:eastAsia="仿宋" w:cs="仿宋"/>
              <w:b/>
              <w:bCs/>
              <w:spacing w:val="-8"/>
              <w:sz w:val="32"/>
              <w:szCs w:val="32"/>
            </w:rPr>
            <w:fldChar w:fldCharType="end"/>
          </w:r>
        </w:p>
      </w:sdtContent>
    </w:sdt>
    <w:p w14:paraId="7BF01F30">
      <w:pPr>
        <w:spacing w:line="222" w:lineRule="auto"/>
        <w:rPr>
          <w:rFonts w:ascii="仿宋" w:hAnsi="仿宋" w:eastAsia="仿宋" w:cs="仿宋"/>
          <w:sz w:val="32"/>
          <w:szCs w:val="32"/>
        </w:rPr>
        <w:sectPr>
          <w:headerReference r:id="rId7" w:type="default"/>
          <w:pgSz w:w="11900" w:h="16840"/>
          <w:pgMar w:top="400" w:right="0" w:bottom="0" w:left="0" w:header="0" w:footer="0" w:gutter="0"/>
          <w:cols w:space="720" w:num="1"/>
        </w:sectPr>
      </w:pPr>
    </w:p>
    <w:p w14:paraId="437E79FF">
      <w:pPr>
        <w:pStyle w:val="2"/>
        <w:spacing w:line="281" w:lineRule="auto"/>
      </w:pPr>
    </w:p>
    <w:p w14:paraId="52A6992A">
      <w:pPr>
        <w:pStyle w:val="2"/>
        <w:spacing w:line="282" w:lineRule="auto"/>
      </w:pPr>
    </w:p>
    <w:p w14:paraId="25FDC7C8">
      <w:pPr>
        <w:spacing w:before="98" w:line="239" w:lineRule="exact"/>
        <w:ind w:left="5187"/>
        <w:outlineLvl w:val="0"/>
        <w:rPr>
          <w:rFonts w:ascii="微软雅黑" w:hAnsi="微软雅黑" w:eastAsia="微软雅黑" w:cs="微软雅黑"/>
          <w:sz w:val="23"/>
          <w:szCs w:val="23"/>
        </w:rPr>
      </w:pPr>
      <w:bookmarkStart w:id="34" w:name="bookmark35"/>
      <w:bookmarkEnd w:id="34"/>
      <w:bookmarkStart w:id="35" w:name="bookmark2"/>
      <w:bookmarkEnd w:id="35"/>
      <w:r>
        <w:rPr>
          <w:rFonts w:ascii="微软雅黑" w:hAnsi="微软雅黑" w:eastAsia="微软雅黑" w:cs="微软雅黑"/>
          <w:spacing w:val="15"/>
          <w:position w:val="-1"/>
          <w:sz w:val="23"/>
          <w:szCs w:val="23"/>
        </w:rPr>
        <w:t>第一部分 概况</w:t>
      </w:r>
    </w:p>
    <w:p w14:paraId="543AFA3B">
      <w:pPr>
        <w:pStyle w:val="2"/>
        <w:spacing w:line="255" w:lineRule="auto"/>
      </w:pPr>
    </w:p>
    <w:p w14:paraId="29627C4B">
      <w:pPr>
        <w:spacing w:before="78" w:line="221" w:lineRule="auto"/>
        <w:ind w:left="1513"/>
        <w:outlineLvl w:val="1"/>
        <w:rPr>
          <w:rFonts w:ascii="黑体" w:hAnsi="黑体" w:eastAsia="黑体" w:cs="黑体"/>
          <w:sz w:val="24"/>
          <w:szCs w:val="24"/>
        </w:rPr>
      </w:pPr>
      <w:bookmarkStart w:id="36" w:name="bookmark3"/>
      <w:bookmarkEnd w:id="36"/>
      <w:r>
        <w:rPr>
          <w:rFonts w:ascii="黑体" w:hAnsi="黑体" w:eastAsia="黑体" w:cs="黑体"/>
          <w:spacing w:val="-4"/>
          <w:sz w:val="24"/>
          <w:szCs w:val="24"/>
        </w:rPr>
        <w:t>一、本部门职责</w:t>
      </w:r>
    </w:p>
    <w:p w14:paraId="23B0D8FA">
      <w:pPr>
        <w:spacing w:before="284" w:line="302" w:lineRule="auto"/>
        <w:ind w:left="1515" w:right="1474" w:firstLine="4"/>
        <w:rPr>
          <w:rFonts w:ascii="仿宋" w:hAnsi="仿宋" w:eastAsia="仿宋" w:cs="仿宋"/>
          <w:sz w:val="24"/>
          <w:szCs w:val="24"/>
        </w:rPr>
      </w:pPr>
      <w:r>
        <w:rPr>
          <w:rFonts w:ascii="仿宋" w:hAnsi="仿宋" w:eastAsia="仿宋" w:cs="仿宋"/>
          <w:spacing w:val="1"/>
          <w:sz w:val="24"/>
          <w:szCs w:val="24"/>
        </w:rPr>
        <w:t>统筹漳泽工业园区政企服务工作；统筹园区征地拆迁</w:t>
      </w:r>
      <w:r>
        <w:rPr>
          <w:rFonts w:ascii="仿宋" w:hAnsi="仿宋" w:eastAsia="仿宋" w:cs="仿宋"/>
          <w:sz w:val="24"/>
          <w:szCs w:val="24"/>
        </w:rPr>
        <w:t xml:space="preserve">和入区项目落地、建设、基础配 </w:t>
      </w:r>
      <w:r>
        <w:rPr>
          <w:rFonts w:ascii="仿宋" w:hAnsi="仿宋" w:eastAsia="仿宋" w:cs="仿宋"/>
          <w:spacing w:val="1"/>
          <w:sz w:val="24"/>
          <w:szCs w:val="24"/>
        </w:rPr>
        <w:t>套工作；落实高新区关于产业发展的总体部署，协调统计部门做</w:t>
      </w:r>
      <w:r>
        <w:rPr>
          <w:rFonts w:ascii="仿宋" w:hAnsi="仿宋" w:eastAsia="仿宋" w:cs="仿宋"/>
          <w:sz w:val="24"/>
          <w:szCs w:val="24"/>
        </w:rPr>
        <w:t xml:space="preserve">好监测、统计、分析 </w:t>
      </w:r>
      <w:r>
        <w:rPr>
          <w:rFonts w:ascii="仿宋" w:hAnsi="仿宋" w:eastAsia="仿宋" w:cs="仿宋"/>
          <w:spacing w:val="1"/>
          <w:sz w:val="24"/>
          <w:szCs w:val="24"/>
        </w:rPr>
        <w:t>并预测园区发展态势，提出政策建议；负责园区基础设施建设方</w:t>
      </w:r>
      <w:r>
        <w:rPr>
          <w:rFonts w:ascii="仿宋" w:hAnsi="仿宋" w:eastAsia="仿宋" w:cs="仿宋"/>
          <w:sz w:val="24"/>
          <w:szCs w:val="24"/>
        </w:rPr>
        <w:t xml:space="preserve">案、预算编制工作和 </w:t>
      </w:r>
      <w:r>
        <w:rPr>
          <w:rFonts w:ascii="仿宋" w:hAnsi="仿宋" w:eastAsia="仿宋" w:cs="仿宋"/>
          <w:spacing w:val="1"/>
          <w:sz w:val="24"/>
          <w:szCs w:val="24"/>
        </w:rPr>
        <w:t>建设维护、管理运行工作；负责园区企业生产、科技、开发</w:t>
      </w:r>
      <w:r>
        <w:rPr>
          <w:rFonts w:ascii="仿宋" w:hAnsi="仿宋" w:eastAsia="仿宋" w:cs="仿宋"/>
          <w:sz w:val="24"/>
          <w:szCs w:val="24"/>
        </w:rPr>
        <w:t xml:space="preserve">等方面的推进服务工作； </w:t>
      </w:r>
      <w:r>
        <w:rPr>
          <w:rFonts w:ascii="仿宋" w:hAnsi="仿宋" w:eastAsia="仿宋" w:cs="仿宋"/>
          <w:spacing w:val="-1"/>
          <w:sz w:val="24"/>
          <w:szCs w:val="24"/>
        </w:rPr>
        <w:t>负责园区绿化环卫工作；负责园区党的建设工作；负责园区信访稳定工 作。</w:t>
      </w:r>
    </w:p>
    <w:p w14:paraId="0B35497D">
      <w:pPr>
        <w:spacing w:before="225" w:line="222" w:lineRule="auto"/>
        <w:ind w:left="1513"/>
        <w:outlineLvl w:val="1"/>
        <w:rPr>
          <w:rFonts w:ascii="黑体" w:hAnsi="黑体" w:eastAsia="黑体" w:cs="黑体"/>
          <w:sz w:val="24"/>
          <w:szCs w:val="24"/>
        </w:rPr>
      </w:pPr>
      <w:bookmarkStart w:id="37" w:name="bookmark4"/>
      <w:bookmarkEnd w:id="37"/>
      <w:r>
        <w:rPr>
          <w:rFonts w:ascii="黑体" w:hAnsi="黑体" w:eastAsia="黑体" w:cs="黑体"/>
          <w:spacing w:val="-2"/>
          <w:sz w:val="24"/>
          <w:szCs w:val="24"/>
        </w:rPr>
        <w:t>二、机构设置情况</w:t>
      </w:r>
    </w:p>
    <w:p w14:paraId="04062649">
      <w:pPr>
        <w:spacing w:before="102" w:line="296" w:lineRule="auto"/>
        <w:ind w:left="1515" w:right="1474" w:firstLine="11"/>
        <w:rPr>
          <w:rFonts w:ascii="仿宋" w:hAnsi="仿宋" w:eastAsia="仿宋" w:cs="仿宋"/>
          <w:sz w:val="24"/>
          <w:szCs w:val="24"/>
        </w:rPr>
      </w:pPr>
      <w:r>
        <w:rPr>
          <w:rFonts w:ascii="仿宋" w:hAnsi="仿宋" w:eastAsia="仿宋" w:cs="仿宋"/>
          <w:sz w:val="24"/>
          <w:szCs w:val="24"/>
        </w:rPr>
        <w:t>1.根据部门职责分工，本部门内设机构包括综合科、企业服务科、招商引资与项目建</w:t>
      </w:r>
      <w:r>
        <w:rPr>
          <w:rFonts w:ascii="仿宋" w:hAnsi="仿宋" w:eastAsia="仿宋" w:cs="仿宋"/>
          <w:spacing w:val="17"/>
          <w:sz w:val="24"/>
          <w:szCs w:val="24"/>
        </w:rPr>
        <w:t xml:space="preserve"> </w:t>
      </w:r>
      <w:r>
        <w:rPr>
          <w:rFonts w:ascii="仿宋" w:hAnsi="仿宋" w:eastAsia="仿宋" w:cs="仿宋"/>
          <w:spacing w:val="-4"/>
          <w:sz w:val="24"/>
          <w:szCs w:val="24"/>
        </w:rPr>
        <w:t>设科。本部门无下属单位。</w:t>
      </w:r>
    </w:p>
    <w:p w14:paraId="7F1F3E01">
      <w:pPr>
        <w:spacing w:before="40" w:line="284" w:lineRule="auto"/>
        <w:ind w:left="1518" w:right="1474" w:hanging="7"/>
        <w:rPr>
          <w:rFonts w:ascii="仿宋" w:hAnsi="仿宋" w:eastAsia="仿宋" w:cs="仿宋"/>
          <w:sz w:val="24"/>
          <w:szCs w:val="24"/>
        </w:rPr>
      </w:pPr>
      <w:r>
        <w:rPr>
          <w:rFonts w:ascii="仿宋" w:hAnsi="仿宋" w:eastAsia="仿宋" w:cs="仿宋"/>
          <w:spacing w:val="10"/>
          <w:sz w:val="24"/>
          <w:szCs w:val="24"/>
        </w:rPr>
        <w:t>2.从预算单位构成看，纳入本部门2025年部门汇总预算编制范围的预算单位共计1</w:t>
      </w:r>
      <w:r>
        <w:rPr>
          <w:rFonts w:ascii="仿宋" w:hAnsi="仿宋" w:eastAsia="仿宋" w:cs="仿宋"/>
          <w:spacing w:val="2"/>
          <w:sz w:val="24"/>
          <w:szCs w:val="24"/>
        </w:rPr>
        <w:t xml:space="preserve"> </w:t>
      </w:r>
      <w:r>
        <w:rPr>
          <w:rFonts w:ascii="仿宋" w:hAnsi="仿宋" w:eastAsia="仿宋" w:cs="仿宋"/>
          <w:spacing w:val="-2"/>
          <w:sz w:val="24"/>
          <w:szCs w:val="24"/>
        </w:rPr>
        <w:t>家，具体包括： 长治高新区漳泽工业园事业服务中心本级。</w:t>
      </w:r>
    </w:p>
    <w:p w14:paraId="7EEAC2D5">
      <w:pPr>
        <w:spacing w:line="284" w:lineRule="auto"/>
        <w:rPr>
          <w:rFonts w:ascii="仿宋" w:hAnsi="仿宋" w:eastAsia="仿宋" w:cs="仿宋"/>
          <w:sz w:val="24"/>
          <w:szCs w:val="24"/>
        </w:rPr>
        <w:sectPr>
          <w:headerReference r:id="rId8" w:type="default"/>
          <w:footerReference r:id="rId9" w:type="default"/>
          <w:pgSz w:w="11900" w:h="16840"/>
          <w:pgMar w:top="611" w:right="0" w:bottom="312" w:left="0" w:header="357" w:footer="153" w:gutter="0"/>
          <w:cols w:space="720" w:num="1"/>
        </w:sectPr>
      </w:pPr>
    </w:p>
    <w:p w14:paraId="042F641D">
      <w:pPr>
        <w:pStyle w:val="2"/>
        <w:spacing w:line="318" w:lineRule="auto"/>
      </w:pPr>
    </w:p>
    <w:p w14:paraId="71830734">
      <w:pPr>
        <w:pStyle w:val="2"/>
        <w:spacing w:line="318" w:lineRule="auto"/>
      </w:pPr>
    </w:p>
    <w:p w14:paraId="585CBADC">
      <w:pPr>
        <w:spacing w:before="99" w:line="237" w:lineRule="exact"/>
        <w:ind w:left="4347"/>
        <w:outlineLvl w:val="0"/>
        <w:rPr>
          <w:rFonts w:ascii="微软雅黑" w:hAnsi="微软雅黑" w:eastAsia="微软雅黑" w:cs="微软雅黑"/>
          <w:sz w:val="23"/>
          <w:szCs w:val="23"/>
        </w:rPr>
      </w:pPr>
      <w:bookmarkStart w:id="38" w:name="bookmark5"/>
      <w:bookmarkEnd w:id="38"/>
      <w:bookmarkStart w:id="39" w:name="bookmark36"/>
      <w:bookmarkEnd w:id="39"/>
      <w:r>
        <w:rPr>
          <w:rFonts w:ascii="微软雅黑" w:hAnsi="微软雅黑" w:eastAsia="微软雅黑" w:cs="微软雅黑"/>
          <w:spacing w:val="4"/>
          <w:position w:val="-1"/>
          <w:sz w:val="23"/>
          <w:szCs w:val="23"/>
        </w:rPr>
        <w:t>第二部分</w:t>
      </w:r>
      <w:r>
        <w:rPr>
          <w:rFonts w:ascii="微软雅黑" w:hAnsi="微软雅黑" w:eastAsia="微软雅黑" w:cs="微软雅黑"/>
          <w:spacing w:val="42"/>
          <w:position w:val="-1"/>
          <w:sz w:val="23"/>
          <w:szCs w:val="23"/>
        </w:rPr>
        <w:t xml:space="preserve"> </w:t>
      </w:r>
      <w:r>
        <w:rPr>
          <w:rFonts w:ascii="微软雅黑" w:hAnsi="微软雅黑" w:eastAsia="微软雅黑" w:cs="微软雅黑"/>
          <w:spacing w:val="4"/>
          <w:position w:val="-1"/>
          <w:sz w:val="23"/>
          <w:szCs w:val="23"/>
        </w:rPr>
        <w:t>2025年部门预算报表</w:t>
      </w:r>
    </w:p>
    <w:p w14:paraId="337F450C">
      <w:pPr>
        <w:spacing w:before="23"/>
      </w:pPr>
    </w:p>
    <w:p w14:paraId="5F478B77">
      <w:pPr>
        <w:spacing w:before="22"/>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14"/>
        <w:gridCol w:w="1213"/>
        <w:gridCol w:w="2081"/>
        <w:gridCol w:w="1228"/>
        <w:gridCol w:w="1198"/>
        <w:gridCol w:w="816"/>
      </w:tblGrid>
      <w:tr w14:paraId="2305E3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550" w:type="dxa"/>
            <w:gridSpan w:val="6"/>
            <w:tcBorders>
              <w:top w:val="single" w:color="FFFFFF" w:sz="6" w:space="0"/>
              <w:left w:val="single" w:color="FFFFFF" w:sz="2" w:space="0"/>
              <w:bottom w:val="single" w:color="FFFFFF" w:sz="6" w:space="0"/>
              <w:right w:val="single" w:color="FFFFFF" w:sz="2" w:space="0"/>
            </w:tcBorders>
            <w:vAlign w:val="top"/>
          </w:tcPr>
          <w:p w14:paraId="22D947CC">
            <w:pPr>
              <w:spacing w:before="175" w:line="219" w:lineRule="auto"/>
              <w:ind w:left="7527"/>
              <w:rPr>
                <w:rFonts w:ascii="宋体" w:hAnsi="宋体" w:eastAsia="宋体" w:cs="宋体"/>
                <w:sz w:val="18"/>
                <w:szCs w:val="18"/>
              </w:rPr>
            </w:pPr>
            <w:r>
              <w:rPr>
                <w:rFonts w:ascii="宋体" w:hAnsi="宋体" w:eastAsia="宋体" w:cs="宋体"/>
                <w:color w:val="212529"/>
                <w:spacing w:val="-2"/>
                <w:sz w:val="18"/>
                <w:szCs w:val="18"/>
              </w:rPr>
              <w:t>预算公开表1</w:t>
            </w:r>
          </w:p>
        </w:tc>
      </w:tr>
      <w:tr w14:paraId="146B52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550" w:type="dxa"/>
            <w:gridSpan w:val="6"/>
            <w:tcBorders>
              <w:top w:val="single" w:color="FFFFFF" w:sz="6" w:space="0"/>
              <w:left w:val="single" w:color="FFFFFF" w:sz="6" w:space="0"/>
              <w:bottom w:val="single" w:color="FFFFFF" w:sz="6" w:space="0"/>
              <w:right w:val="single" w:color="FFFFFF" w:sz="6" w:space="0"/>
            </w:tcBorders>
            <w:vAlign w:val="top"/>
          </w:tcPr>
          <w:p w14:paraId="5FB17A17">
            <w:pPr>
              <w:spacing w:before="143" w:line="240" w:lineRule="exact"/>
              <w:ind w:left="3184"/>
              <w:outlineLvl w:val="1"/>
              <w:rPr>
                <w:rFonts w:ascii="微软雅黑" w:hAnsi="微软雅黑" w:eastAsia="微软雅黑" w:cs="微软雅黑"/>
                <w:sz w:val="23"/>
                <w:szCs w:val="23"/>
              </w:rPr>
            </w:pPr>
            <w:bookmarkStart w:id="40" w:name="bookmark6"/>
            <w:bookmarkEnd w:id="40"/>
            <w:r>
              <w:rPr>
                <w:rFonts w:ascii="微软雅黑" w:hAnsi="微软雅黑" w:eastAsia="微软雅黑" w:cs="微软雅黑"/>
                <w:color w:val="212529"/>
                <w:position w:val="-1"/>
                <w:sz w:val="23"/>
                <w:szCs w:val="23"/>
              </w:rPr>
              <w:t>2025年预算收支总表</w:t>
            </w:r>
          </w:p>
        </w:tc>
      </w:tr>
      <w:tr w14:paraId="1CF156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5308" w:type="dxa"/>
            <w:gridSpan w:val="3"/>
            <w:tcBorders>
              <w:top w:val="single" w:color="FFFFFF" w:sz="6" w:space="0"/>
              <w:left w:val="single" w:color="FFFFFF" w:sz="2" w:space="0"/>
              <w:right w:val="single" w:color="FFFFFF" w:sz="2" w:space="0"/>
            </w:tcBorders>
            <w:vAlign w:val="top"/>
          </w:tcPr>
          <w:p w14:paraId="7E8F74EF">
            <w:pPr>
              <w:spacing w:before="169" w:line="219" w:lineRule="auto"/>
              <w:ind w:left="14"/>
              <w:rPr>
                <w:rFonts w:ascii="宋体" w:hAnsi="宋体" w:eastAsia="宋体" w:cs="宋体"/>
                <w:sz w:val="18"/>
                <w:szCs w:val="18"/>
              </w:rPr>
            </w:pPr>
            <w:r>
              <w:rPr>
                <w:rFonts w:ascii="宋体" w:hAnsi="宋体" w:eastAsia="宋体" w:cs="宋体"/>
                <w:color w:val="212529"/>
                <w:spacing w:val="-1"/>
                <w:sz w:val="18"/>
                <w:szCs w:val="18"/>
              </w:rPr>
              <w:t>部门名称：长治高新区漳泽工业园事业服务中心</w:t>
            </w:r>
          </w:p>
        </w:tc>
        <w:tc>
          <w:tcPr>
            <w:tcW w:w="3242" w:type="dxa"/>
            <w:gridSpan w:val="3"/>
            <w:tcBorders>
              <w:top w:val="single" w:color="FFFFFF" w:sz="6" w:space="0"/>
              <w:left w:val="single" w:color="FFFFFF" w:sz="2" w:space="0"/>
              <w:right w:val="single" w:color="FFFFFF" w:sz="2" w:space="0"/>
            </w:tcBorders>
            <w:vAlign w:val="top"/>
          </w:tcPr>
          <w:p w14:paraId="7A04513E">
            <w:pPr>
              <w:spacing w:before="170" w:line="219" w:lineRule="auto"/>
              <w:ind w:left="2310"/>
              <w:rPr>
                <w:rFonts w:ascii="宋体" w:hAnsi="宋体" w:eastAsia="宋体" w:cs="宋体"/>
                <w:sz w:val="18"/>
                <w:szCs w:val="18"/>
              </w:rPr>
            </w:pPr>
            <w:r>
              <w:rPr>
                <w:rFonts w:ascii="宋体" w:hAnsi="宋体" w:eastAsia="宋体" w:cs="宋体"/>
                <w:color w:val="212529"/>
                <w:spacing w:val="-2"/>
                <w:sz w:val="18"/>
                <w:szCs w:val="18"/>
              </w:rPr>
              <w:t>单位：万元</w:t>
            </w:r>
          </w:p>
        </w:tc>
      </w:tr>
      <w:tr w14:paraId="22DA48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3227" w:type="dxa"/>
            <w:gridSpan w:val="2"/>
            <w:vAlign w:val="top"/>
          </w:tcPr>
          <w:p w14:paraId="15F49FA7">
            <w:pPr>
              <w:spacing w:before="168" w:line="179" w:lineRule="exact"/>
              <w:ind w:left="1418"/>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5323" w:type="dxa"/>
            <w:gridSpan w:val="4"/>
            <w:vAlign w:val="top"/>
          </w:tcPr>
          <w:p w14:paraId="29AAF049">
            <w:pPr>
              <w:spacing w:before="168" w:line="175" w:lineRule="exact"/>
              <w:ind w:left="2461"/>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35510C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03AD07FF">
            <w:pPr>
              <w:spacing w:before="172" w:line="175" w:lineRule="exact"/>
              <w:ind w:left="809"/>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213" w:type="dxa"/>
            <w:vAlign w:val="top"/>
          </w:tcPr>
          <w:p w14:paraId="6A0B4DBD">
            <w:pPr>
              <w:spacing w:before="169" w:line="177" w:lineRule="exact"/>
              <w:ind w:left="320"/>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2025年</w:t>
            </w:r>
          </w:p>
        </w:tc>
        <w:tc>
          <w:tcPr>
            <w:tcW w:w="2081" w:type="dxa"/>
            <w:vAlign w:val="top"/>
          </w:tcPr>
          <w:p w14:paraId="148BCE21">
            <w:pPr>
              <w:spacing w:before="172" w:line="175" w:lineRule="exact"/>
              <w:ind w:left="839"/>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228" w:type="dxa"/>
            <w:vAlign w:val="top"/>
          </w:tcPr>
          <w:p w14:paraId="27D4244A">
            <w:pPr>
              <w:spacing w:before="169" w:line="177" w:lineRule="exact"/>
              <w:ind w:left="150"/>
              <w:rPr>
                <w:rFonts w:ascii="微软雅黑" w:hAnsi="微软雅黑" w:eastAsia="微软雅黑" w:cs="微软雅黑"/>
                <w:sz w:val="17"/>
                <w:szCs w:val="17"/>
              </w:rPr>
            </w:pPr>
            <w:r>
              <w:rPr>
                <w:rFonts w:ascii="微软雅黑" w:hAnsi="微软雅黑" w:eastAsia="微软雅黑" w:cs="微软雅黑"/>
                <w:color w:val="212529"/>
                <w:spacing w:val="-2"/>
                <w:position w:val="-1"/>
                <w:sz w:val="17"/>
                <w:szCs w:val="17"/>
              </w:rPr>
              <w:t>2025年合计</w:t>
            </w:r>
          </w:p>
        </w:tc>
        <w:tc>
          <w:tcPr>
            <w:tcW w:w="1198" w:type="dxa"/>
            <w:vAlign w:val="top"/>
          </w:tcPr>
          <w:p w14:paraId="30B74A97">
            <w:pPr>
              <w:spacing w:before="169" w:line="179" w:lineRule="exact"/>
              <w:ind w:left="52"/>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当年预算安排</w:t>
            </w:r>
          </w:p>
        </w:tc>
        <w:tc>
          <w:tcPr>
            <w:tcW w:w="816" w:type="dxa"/>
            <w:vAlign w:val="top"/>
          </w:tcPr>
          <w:p w14:paraId="6121F5AB">
            <w:pPr>
              <w:spacing w:before="63" w:line="159" w:lineRule="auto"/>
              <w:ind w:left="214" w:right="46" w:hanging="182"/>
              <w:rPr>
                <w:rFonts w:ascii="微软雅黑" w:hAnsi="微软雅黑" w:eastAsia="微软雅黑" w:cs="微软雅黑"/>
                <w:sz w:val="17"/>
                <w:szCs w:val="17"/>
              </w:rPr>
            </w:pPr>
            <w:r>
              <w:rPr>
                <w:rFonts w:ascii="微软雅黑" w:hAnsi="微软雅黑" w:eastAsia="微软雅黑" w:cs="微软雅黑"/>
                <w:color w:val="212529"/>
                <w:spacing w:val="10"/>
                <w:sz w:val="17"/>
                <w:szCs w:val="17"/>
              </w:rPr>
              <w:t>上年结转</w:t>
            </w:r>
            <w:r>
              <w:rPr>
                <w:rFonts w:ascii="微软雅黑" w:hAnsi="微软雅黑" w:eastAsia="微软雅黑" w:cs="微软雅黑"/>
                <w:color w:val="212529"/>
                <w:spacing w:val="1"/>
                <w:sz w:val="17"/>
                <w:szCs w:val="17"/>
              </w:rPr>
              <w:t xml:space="preserve"> </w:t>
            </w:r>
            <w:r>
              <w:rPr>
                <w:rFonts w:ascii="微软雅黑" w:hAnsi="微软雅黑" w:eastAsia="微软雅黑" w:cs="微软雅黑"/>
                <w:color w:val="212529"/>
                <w:spacing w:val="9"/>
                <w:sz w:val="17"/>
                <w:szCs w:val="17"/>
              </w:rPr>
              <w:t>安排</w:t>
            </w:r>
          </w:p>
        </w:tc>
      </w:tr>
      <w:tr w14:paraId="09BCA1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3AD5B607">
            <w:pPr>
              <w:spacing w:before="172" w:line="219" w:lineRule="auto"/>
              <w:ind w:left="9"/>
              <w:rPr>
                <w:rFonts w:ascii="宋体" w:hAnsi="宋体" w:eastAsia="宋体" w:cs="宋体"/>
                <w:sz w:val="18"/>
                <w:szCs w:val="18"/>
              </w:rPr>
            </w:pPr>
            <w:r>
              <w:rPr>
                <w:rFonts w:ascii="宋体" w:hAnsi="宋体" w:eastAsia="宋体" w:cs="宋体"/>
                <w:color w:val="212529"/>
                <w:spacing w:val="-2"/>
                <w:sz w:val="18"/>
                <w:szCs w:val="18"/>
              </w:rPr>
              <w:t>一、一般公共预算</w:t>
            </w:r>
          </w:p>
        </w:tc>
        <w:tc>
          <w:tcPr>
            <w:tcW w:w="1213" w:type="dxa"/>
            <w:vAlign w:val="top"/>
          </w:tcPr>
          <w:p w14:paraId="2E9E7B4F">
            <w:pPr>
              <w:spacing w:before="200" w:line="183" w:lineRule="auto"/>
              <w:ind w:left="632"/>
              <w:rPr>
                <w:rFonts w:ascii="宋体" w:hAnsi="宋体" w:eastAsia="宋体" w:cs="宋体"/>
                <w:sz w:val="18"/>
                <w:szCs w:val="18"/>
              </w:rPr>
            </w:pPr>
            <w:r>
              <w:rPr>
                <w:rFonts w:ascii="宋体" w:hAnsi="宋体" w:eastAsia="宋体" w:cs="宋体"/>
                <w:color w:val="212529"/>
                <w:spacing w:val="-2"/>
                <w:sz w:val="18"/>
                <w:szCs w:val="18"/>
              </w:rPr>
              <w:t>789.73</w:t>
            </w:r>
          </w:p>
        </w:tc>
        <w:tc>
          <w:tcPr>
            <w:tcW w:w="2081" w:type="dxa"/>
            <w:vAlign w:val="top"/>
          </w:tcPr>
          <w:p w14:paraId="2BAE0436">
            <w:pPr>
              <w:spacing w:before="172" w:line="219" w:lineRule="auto"/>
              <w:ind w:left="2"/>
              <w:rPr>
                <w:rFonts w:ascii="宋体" w:hAnsi="宋体" w:eastAsia="宋体" w:cs="宋体"/>
                <w:sz w:val="18"/>
                <w:szCs w:val="18"/>
              </w:rPr>
            </w:pPr>
            <w:r>
              <w:rPr>
                <w:rFonts w:ascii="宋体" w:hAnsi="宋体" w:eastAsia="宋体" w:cs="宋体"/>
                <w:color w:val="212529"/>
                <w:spacing w:val="-1"/>
                <w:sz w:val="18"/>
                <w:szCs w:val="18"/>
              </w:rPr>
              <w:t>一、一般公共服务支出</w:t>
            </w:r>
          </w:p>
        </w:tc>
        <w:tc>
          <w:tcPr>
            <w:tcW w:w="1228" w:type="dxa"/>
            <w:vAlign w:val="top"/>
          </w:tcPr>
          <w:p w14:paraId="5CFF276F">
            <w:pPr>
              <w:spacing w:before="200" w:line="183" w:lineRule="auto"/>
              <w:ind w:left="651"/>
              <w:rPr>
                <w:rFonts w:ascii="宋体" w:hAnsi="宋体" w:eastAsia="宋体" w:cs="宋体"/>
                <w:sz w:val="18"/>
                <w:szCs w:val="18"/>
              </w:rPr>
            </w:pPr>
            <w:r>
              <w:rPr>
                <w:rFonts w:ascii="宋体" w:hAnsi="宋体" w:eastAsia="宋体" w:cs="宋体"/>
                <w:color w:val="212529"/>
                <w:spacing w:val="-2"/>
                <w:sz w:val="18"/>
                <w:szCs w:val="18"/>
              </w:rPr>
              <w:t>789.73</w:t>
            </w:r>
          </w:p>
        </w:tc>
        <w:tc>
          <w:tcPr>
            <w:tcW w:w="1198" w:type="dxa"/>
            <w:vAlign w:val="top"/>
          </w:tcPr>
          <w:p w14:paraId="16DC247E">
            <w:pPr>
              <w:spacing w:before="200" w:line="183" w:lineRule="auto"/>
              <w:ind w:right="19"/>
              <w:jc w:val="right"/>
              <w:rPr>
                <w:rFonts w:ascii="宋体" w:hAnsi="宋体" w:eastAsia="宋体" w:cs="宋体"/>
                <w:sz w:val="18"/>
                <w:szCs w:val="18"/>
              </w:rPr>
            </w:pPr>
            <w:r>
              <w:rPr>
                <w:rFonts w:ascii="宋体" w:hAnsi="宋体" w:eastAsia="宋体" w:cs="宋体"/>
                <w:color w:val="212529"/>
                <w:spacing w:val="-2"/>
                <w:sz w:val="18"/>
                <w:szCs w:val="18"/>
              </w:rPr>
              <w:t>789.73</w:t>
            </w:r>
          </w:p>
        </w:tc>
        <w:tc>
          <w:tcPr>
            <w:tcW w:w="816" w:type="dxa"/>
            <w:vAlign w:val="top"/>
          </w:tcPr>
          <w:p w14:paraId="11890F0D">
            <w:pPr>
              <w:pStyle w:val="6"/>
            </w:pPr>
          </w:p>
        </w:tc>
      </w:tr>
      <w:tr w14:paraId="357BAB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6090B6D3">
            <w:pPr>
              <w:spacing w:before="173" w:line="218" w:lineRule="auto"/>
              <w:ind w:left="9"/>
              <w:rPr>
                <w:rFonts w:ascii="宋体" w:hAnsi="宋体" w:eastAsia="宋体" w:cs="宋体"/>
                <w:sz w:val="18"/>
                <w:szCs w:val="18"/>
              </w:rPr>
            </w:pPr>
            <w:r>
              <w:rPr>
                <w:rFonts w:ascii="宋体" w:hAnsi="宋体" w:eastAsia="宋体" w:cs="宋体"/>
                <w:color w:val="212529"/>
                <w:spacing w:val="-1"/>
                <w:sz w:val="18"/>
                <w:szCs w:val="18"/>
              </w:rPr>
              <w:t>二、政府性基金预算</w:t>
            </w:r>
          </w:p>
        </w:tc>
        <w:tc>
          <w:tcPr>
            <w:tcW w:w="1213" w:type="dxa"/>
            <w:vAlign w:val="top"/>
          </w:tcPr>
          <w:p w14:paraId="33425B8F">
            <w:pPr>
              <w:spacing w:before="200" w:line="184" w:lineRule="auto"/>
              <w:ind w:left="630"/>
              <w:rPr>
                <w:rFonts w:ascii="宋体" w:hAnsi="宋体" w:eastAsia="宋体" w:cs="宋体"/>
                <w:sz w:val="18"/>
                <w:szCs w:val="18"/>
              </w:rPr>
            </w:pPr>
            <w:r>
              <w:rPr>
                <w:rFonts w:ascii="宋体" w:hAnsi="宋体" w:eastAsia="宋体" w:cs="宋体"/>
                <w:color w:val="212529"/>
                <w:spacing w:val="-2"/>
                <w:sz w:val="18"/>
                <w:szCs w:val="18"/>
              </w:rPr>
              <w:t>277.14</w:t>
            </w:r>
          </w:p>
        </w:tc>
        <w:tc>
          <w:tcPr>
            <w:tcW w:w="2081" w:type="dxa"/>
            <w:vAlign w:val="top"/>
          </w:tcPr>
          <w:p w14:paraId="7BEDB3AB">
            <w:pPr>
              <w:spacing w:before="174" w:line="219" w:lineRule="auto"/>
              <w:ind w:left="2"/>
              <w:rPr>
                <w:rFonts w:ascii="宋体" w:hAnsi="宋体" w:eastAsia="宋体" w:cs="宋体"/>
                <w:sz w:val="18"/>
                <w:szCs w:val="18"/>
              </w:rPr>
            </w:pPr>
            <w:r>
              <w:rPr>
                <w:rFonts w:ascii="宋体" w:hAnsi="宋体" w:eastAsia="宋体" w:cs="宋体"/>
                <w:color w:val="212529"/>
                <w:spacing w:val="-2"/>
                <w:sz w:val="18"/>
                <w:szCs w:val="18"/>
              </w:rPr>
              <w:t>二、外交支出</w:t>
            </w:r>
          </w:p>
        </w:tc>
        <w:tc>
          <w:tcPr>
            <w:tcW w:w="1228" w:type="dxa"/>
            <w:vAlign w:val="top"/>
          </w:tcPr>
          <w:p w14:paraId="7AE25BC0">
            <w:pPr>
              <w:pStyle w:val="6"/>
            </w:pPr>
          </w:p>
        </w:tc>
        <w:tc>
          <w:tcPr>
            <w:tcW w:w="1198" w:type="dxa"/>
            <w:vAlign w:val="top"/>
          </w:tcPr>
          <w:p w14:paraId="1941FDB9">
            <w:pPr>
              <w:pStyle w:val="6"/>
            </w:pPr>
          </w:p>
        </w:tc>
        <w:tc>
          <w:tcPr>
            <w:tcW w:w="816" w:type="dxa"/>
            <w:vAlign w:val="top"/>
          </w:tcPr>
          <w:p w14:paraId="6D052A1B">
            <w:pPr>
              <w:pStyle w:val="6"/>
            </w:pPr>
          </w:p>
        </w:tc>
      </w:tr>
      <w:tr w14:paraId="20734B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3F62A110">
            <w:pPr>
              <w:spacing w:before="174" w:line="218" w:lineRule="auto"/>
              <w:ind w:left="6"/>
              <w:rPr>
                <w:rFonts w:ascii="宋体" w:hAnsi="宋体" w:eastAsia="宋体" w:cs="宋体"/>
                <w:sz w:val="18"/>
                <w:szCs w:val="18"/>
              </w:rPr>
            </w:pPr>
            <w:r>
              <w:rPr>
                <w:rFonts w:ascii="宋体" w:hAnsi="宋体" w:eastAsia="宋体" w:cs="宋体"/>
                <w:color w:val="212529"/>
                <w:spacing w:val="-1"/>
                <w:sz w:val="18"/>
                <w:szCs w:val="18"/>
              </w:rPr>
              <w:t>三、国有资本经营预算</w:t>
            </w:r>
          </w:p>
        </w:tc>
        <w:tc>
          <w:tcPr>
            <w:tcW w:w="1213" w:type="dxa"/>
            <w:vAlign w:val="top"/>
          </w:tcPr>
          <w:p w14:paraId="607EE86D">
            <w:pPr>
              <w:pStyle w:val="6"/>
            </w:pPr>
          </w:p>
        </w:tc>
        <w:tc>
          <w:tcPr>
            <w:tcW w:w="2081" w:type="dxa"/>
            <w:vAlign w:val="top"/>
          </w:tcPr>
          <w:p w14:paraId="4C88FFE0">
            <w:pPr>
              <w:spacing w:before="175" w:line="219" w:lineRule="auto"/>
              <w:rPr>
                <w:rFonts w:ascii="宋体" w:hAnsi="宋体" w:eastAsia="宋体" w:cs="宋体"/>
                <w:sz w:val="18"/>
                <w:szCs w:val="18"/>
              </w:rPr>
            </w:pPr>
            <w:r>
              <w:rPr>
                <w:rFonts w:ascii="宋体" w:hAnsi="宋体" w:eastAsia="宋体" w:cs="宋体"/>
                <w:color w:val="212529"/>
                <w:spacing w:val="-1"/>
                <w:sz w:val="18"/>
                <w:szCs w:val="18"/>
              </w:rPr>
              <w:t>三、国防支出</w:t>
            </w:r>
          </w:p>
        </w:tc>
        <w:tc>
          <w:tcPr>
            <w:tcW w:w="1228" w:type="dxa"/>
            <w:vAlign w:val="top"/>
          </w:tcPr>
          <w:p w14:paraId="5876144B">
            <w:pPr>
              <w:pStyle w:val="6"/>
            </w:pPr>
          </w:p>
        </w:tc>
        <w:tc>
          <w:tcPr>
            <w:tcW w:w="1198" w:type="dxa"/>
            <w:vAlign w:val="top"/>
          </w:tcPr>
          <w:p w14:paraId="571CB652">
            <w:pPr>
              <w:pStyle w:val="6"/>
            </w:pPr>
          </w:p>
        </w:tc>
        <w:tc>
          <w:tcPr>
            <w:tcW w:w="816" w:type="dxa"/>
            <w:vAlign w:val="top"/>
          </w:tcPr>
          <w:p w14:paraId="10380299">
            <w:pPr>
              <w:pStyle w:val="6"/>
            </w:pPr>
          </w:p>
        </w:tc>
      </w:tr>
      <w:tr w14:paraId="70A098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294D6B93">
            <w:pPr>
              <w:spacing w:before="175" w:line="219" w:lineRule="auto"/>
              <w:ind w:left="23"/>
              <w:rPr>
                <w:rFonts w:ascii="宋体" w:hAnsi="宋体" w:eastAsia="宋体" w:cs="宋体"/>
                <w:sz w:val="18"/>
                <w:szCs w:val="18"/>
              </w:rPr>
            </w:pPr>
            <w:r>
              <w:rPr>
                <w:rFonts w:ascii="宋体" w:hAnsi="宋体" w:eastAsia="宋体" w:cs="宋体"/>
                <w:color w:val="212529"/>
                <w:spacing w:val="-3"/>
                <w:sz w:val="18"/>
                <w:szCs w:val="18"/>
              </w:rPr>
              <w:t>四、财政专户管理资金</w:t>
            </w:r>
          </w:p>
        </w:tc>
        <w:tc>
          <w:tcPr>
            <w:tcW w:w="1213" w:type="dxa"/>
            <w:vAlign w:val="top"/>
          </w:tcPr>
          <w:p w14:paraId="4E4AE5CC">
            <w:pPr>
              <w:pStyle w:val="6"/>
            </w:pPr>
          </w:p>
        </w:tc>
        <w:tc>
          <w:tcPr>
            <w:tcW w:w="2081" w:type="dxa"/>
            <w:vAlign w:val="top"/>
          </w:tcPr>
          <w:p w14:paraId="6F437931">
            <w:pPr>
              <w:spacing w:before="175" w:line="219" w:lineRule="auto"/>
              <w:ind w:left="16"/>
              <w:rPr>
                <w:rFonts w:ascii="宋体" w:hAnsi="宋体" w:eastAsia="宋体" w:cs="宋体"/>
                <w:sz w:val="18"/>
                <w:szCs w:val="18"/>
              </w:rPr>
            </w:pPr>
            <w:r>
              <w:rPr>
                <w:rFonts w:ascii="宋体" w:hAnsi="宋体" w:eastAsia="宋体" w:cs="宋体"/>
                <w:color w:val="212529"/>
                <w:spacing w:val="-3"/>
                <w:sz w:val="18"/>
                <w:szCs w:val="18"/>
              </w:rPr>
              <w:t>四、公共安全支出</w:t>
            </w:r>
          </w:p>
        </w:tc>
        <w:tc>
          <w:tcPr>
            <w:tcW w:w="1228" w:type="dxa"/>
            <w:vAlign w:val="top"/>
          </w:tcPr>
          <w:p w14:paraId="5225A82A">
            <w:pPr>
              <w:pStyle w:val="6"/>
            </w:pPr>
          </w:p>
        </w:tc>
        <w:tc>
          <w:tcPr>
            <w:tcW w:w="1198" w:type="dxa"/>
            <w:vAlign w:val="top"/>
          </w:tcPr>
          <w:p w14:paraId="43D51FF2">
            <w:pPr>
              <w:pStyle w:val="6"/>
            </w:pPr>
          </w:p>
        </w:tc>
        <w:tc>
          <w:tcPr>
            <w:tcW w:w="816" w:type="dxa"/>
            <w:vAlign w:val="top"/>
          </w:tcPr>
          <w:p w14:paraId="752CB67B">
            <w:pPr>
              <w:pStyle w:val="6"/>
            </w:pPr>
          </w:p>
        </w:tc>
      </w:tr>
      <w:tr w14:paraId="06F747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7016DCAC">
            <w:pPr>
              <w:spacing w:before="177" w:line="219" w:lineRule="auto"/>
              <w:ind w:left="9"/>
              <w:rPr>
                <w:rFonts w:ascii="宋体" w:hAnsi="宋体" w:eastAsia="宋体" w:cs="宋体"/>
                <w:sz w:val="18"/>
                <w:szCs w:val="18"/>
              </w:rPr>
            </w:pPr>
            <w:r>
              <w:rPr>
                <w:rFonts w:ascii="宋体" w:hAnsi="宋体" w:eastAsia="宋体" w:cs="宋体"/>
                <w:color w:val="212529"/>
                <w:spacing w:val="-2"/>
                <w:sz w:val="18"/>
                <w:szCs w:val="18"/>
              </w:rPr>
              <w:t>五、单位资金</w:t>
            </w:r>
          </w:p>
        </w:tc>
        <w:tc>
          <w:tcPr>
            <w:tcW w:w="1213" w:type="dxa"/>
            <w:vAlign w:val="top"/>
          </w:tcPr>
          <w:p w14:paraId="67CEC376">
            <w:pPr>
              <w:pStyle w:val="6"/>
            </w:pPr>
          </w:p>
        </w:tc>
        <w:tc>
          <w:tcPr>
            <w:tcW w:w="2081" w:type="dxa"/>
            <w:vAlign w:val="top"/>
          </w:tcPr>
          <w:p w14:paraId="47A00366">
            <w:pPr>
              <w:spacing w:before="176" w:line="219" w:lineRule="auto"/>
              <w:ind w:left="2"/>
              <w:rPr>
                <w:rFonts w:ascii="宋体" w:hAnsi="宋体" w:eastAsia="宋体" w:cs="宋体"/>
                <w:sz w:val="18"/>
                <w:szCs w:val="18"/>
              </w:rPr>
            </w:pPr>
            <w:r>
              <w:rPr>
                <w:rFonts w:ascii="宋体" w:hAnsi="宋体" w:eastAsia="宋体" w:cs="宋体"/>
                <w:color w:val="212529"/>
                <w:spacing w:val="-2"/>
                <w:sz w:val="18"/>
                <w:szCs w:val="18"/>
              </w:rPr>
              <w:t>五、教育支出</w:t>
            </w:r>
          </w:p>
        </w:tc>
        <w:tc>
          <w:tcPr>
            <w:tcW w:w="1228" w:type="dxa"/>
            <w:vAlign w:val="top"/>
          </w:tcPr>
          <w:p w14:paraId="702CA3D9">
            <w:pPr>
              <w:pStyle w:val="6"/>
            </w:pPr>
          </w:p>
        </w:tc>
        <w:tc>
          <w:tcPr>
            <w:tcW w:w="1198" w:type="dxa"/>
            <w:vAlign w:val="top"/>
          </w:tcPr>
          <w:p w14:paraId="5AA3F49B">
            <w:pPr>
              <w:pStyle w:val="6"/>
            </w:pPr>
          </w:p>
        </w:tc>
        <w:tc>
          <w:tcPr>
            <w:tcW w:w="816" w:type="dxa"/>
            <w:vAlign w:val="top"/>
          </w:tcPr>
          <w:p w14:paraId="148321B5">
            <w:pPr>
              <w:pStyle w:val="6"/>
            </w:pPr>
          </w:p>
        </w:tc>
      </w:tr>
      <w:tr w14:paraId="267A3D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08338256">
            <w:pPr>
              <w:pStyle w:val="6"/>
            </w:pPr>
          </w:p>
        </w:tc>
        <w:tc>
          <w:tcPr>
            <w:tcW w:w="1213" w:type="dxa"/>
            <w:vAlign w:val="top"/>
          </w:tcPr>
          <w:p w14:paraId="41D3EB81">
            <w:pPr>
              <w:pStyle w:val="6"/>
            </w:pPr>
          </w:p>
        </w:tc>
        <w:tc>
          <w:tcPr>
            <w:tcW w:w="2081" w:type="dxa"/>
            <w:vAlign w:val="top"/>
          </w:tcPr>
          <w:p w14:paraId="6FE9A07E">
            <w:pPr>
              <w:spacing w:before="177" w:line="218" w:lineRule="auto"/>
              <w:rPr>
                <w:rFonts w:ascii="宋体" w:hAnsi="宋体" w:eastAsia="宋体" w:cs="宋体"/>
                <w:sz w:val="18"/>
                <w:szCs w:val="18"/>
              </w:rPr>
            </w:pPr>
            <w:r>
              <w:rPr>
                <w:rFonts w:ascii="宋体" w:hAnsi="宋体" w:eastAsia="宋体" w:cs="宋体"/>
                <w:color w:val="212529"/>
                <w:spacing w:val="-1"/>
                <w:sz w:val="18"/>
                <w:szCs w:val="18"/>
              </w:rPr>
              <w:t>六、科学技术支出</w:t>
            </w:r>
          </w:p>
        </w:tc>
        <w:tc>
          <w:tcPr>
            <w:tcW w:w="1228" w:type="dxa"/>
            <w:vAlign w:val="top"/>
          </w:tcPr>
          <w:p w14:paraId="0AF89935">
            <w:pPr>
              <w:pStyle w:val="6"/>
            </w:pPr>
          </w:p>
        </w:tc>
        <w:tc>
          <w:tcPr>
            <w:tcW w:w="1198" w:type="dxa"/>
            <w:vAlign w:val="top"/>
          </w:tcPr>
          <w:p w14:paraId="74CE3876">
            <w:pPr>
              <w:pStyle w:val="6"/>
            </w:pPr>
          </w:p>
        </w:tc>
        <w:tc>
          <w:tcPr>
            <w:tcW w:w="816" w:type="dxa"/>
            <w:vAlign w:val="top"/>
          </w:tcPr>
          <w:p w14:paraId="6DF9A487">
            <w:pPr>
              <w:pStyle w:val="6"/>
            </w:pPr>
          </w:p>
        </w:tc>
      </w:tr>
      <w:tr w14:paraId="17130B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62AA804C">
            <w:pPr>
              <w:pStyle w:val="6"/>
            </w:pPr>
          </w:p>
        </w:tc>
        <w:tc>
          <w:tcPr>
            <w:tcW w:w="1213" w:type="dxa"/>
            <w:vAlign w:val="top"/>
          </w:tcPr>
          <w:p w14:paraId="43B03D54">
            <w:pPr>
              <w:pStyle w:val="6"/>
            </w:pPr>
          </w:p>
        </w:tc>
        <w:tc>
          <w:tcPr>
            <w:tcW w:w="2081" w:type="dxa"/>
            <w:vAlign w:val="top"/>
          </w:tcPr>
          <w:p w14:paraId="274FE2EA">
            <w:pPr>
              <w:spacing w:before="74" w:line="217" w:lineRule="auto"/>
              <w:ind w:right="93"/>
              <w:rPr>
                <w:rFonts w:ascii="宋体" w:hAnsi="宋体" w:eastAsia="宋体" w:cs="宋体"/>
                <w:sz w:val="18"/>
                <w:szCs w:val="18"/>
              </w:rPr>
            </w:pPr>
            <w:r>
              <w:rPr>
                <w:rFonts w:ascii="宋体" w:hAnsi="宋体" w:eastAsia="宋体" w:cs="宋体"/>
                <w:color w:val="212529"/>
                <w:spacing w:val="-1"/>
                <w:sz w:val="18"/>
                <w:szCs w:val="18"/>
              </w:rPr>
              <w:t>七、文化旅游体育与传媒</w:t>
            </w:r>
            <w:r>
              <w:rPr>
                <w:rFonts w:ascii="宋体" w:hAnsi="宋体" w:eastAsia="宋体" w:cs="宋体"/>
                <w:color w:val="212529"/>
                <w:spacing w:val="2"/>
                <w:sz w:val="18"/>
                <w:szCs w:val="18"/>
              </w:rPr>
              <w:t xml:space="preserve"> </w:t>
            </w:r>
            <w:r>
              <w:rPr>
                <w:rFonts w:ascii="宋体" w:hAnsi="宋体" w:eastAsia="宋体" w:cs="宋体"/>
                <w:color w:val="212529"/>
                <w:spacing w:val="-2"/>
                <w:sz w:val="18"/>
                <w:szCs w:val="18"/>
              </w:rPr>
              <w:t>支出</w:t>
            </w:r>
          </w:p>
        </w:tc>
        <w:tc>
          <w:tcPr>
            <w:tcW w:w="1228" w:type="dxa"/>
            <w:vAlign w:val="top"/>
          </w:tcPr>
          <w:p w14:paraId="3E7ED5DF">
            <w:pPr>
              <w:pStyle w:val="6"/>
            </w:pPr>
          </w:p>
        </w:tc>
        <w:tc>
          <w:tcPr>
            <w:tcW w:w="1198" w:type="dxa"/>
            <w:vAlign w:val="top"/>
          </w:tcPr>
          <w:p w14:paraId="72453B56">
            <w:pPr>
              <w:pStyle w:val="6"/>
            </w:pPr>
          </w:p>
        </w:tc>
        <w:tc>
          <w:tcPr>
            <w:tcW w:w="816" w:type="dxa"/>
            <w:vAlign w:val="top"/>
          </w:tcPr>
          <w:p w14:paraId="5F98DFC4">
            <w:pPr>
              <w:pStyle w:val="6"/>
            </w:pPr>
          </w:p>
        </w:tc>
      </w:tr>
      <w:tr w14:paraId="4C14D8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2F2C269A">
            <w:pPr>
              <w:pStyle w:val="6"/>
            </w:pPr>
          </w:p>
        </w:tc>
        <w:tc>
          <w:tcPr>
            <w:tcW w:w="1213" w:type="dxa"/>
            <w:vAlign w:val="top"/>
          </w:tcPr>
          <w:p w14:paraId="155843FA">
            <w:pPr>
              <w:pStyle w:val="6"/>
            </w:pPr>
          </w:p>
        </w:tc>
        <w:tc>
          <w:tcPr>
            <w:tcW w:w="2081" w:type="dxa"/>
            <w:vAlign w:val="top"/>
          </w:tcPr>
          <w:p w14:paraId="1F576027">
            <w:pPr>
              <w:spacing w:before="179" w:line="218" w:lineRule="auto"/>
              <w:ind w:left="2"/>
              <w:rPr>
                <w:rFonts w:ascii="宋体" w:hAnsi="宋体" w:eastAsia="宋体" w:cs="宋体"/>
                <w:sz w:val="18"/>
                <w:szCs w:val="18"/>
              </w:rPr>
            </w:pPr>
            <w:r>
              <w:rPr>
                <w:rFonts w:ascii="宋体" w:hAnsi="宋体" w:eastAsia="宋体" w:cs="宋体"/>
                <w:color w:val="212529"/>
                <w:spacing w:val="-1"/>
                <w:sz w:val="18"/>
                <w:szCs w:val="18"/>
              </w:rPr>
              <w:t>八、社会保障和就业支出</w:t>
            </w:r>
          </w:p>
        </w:tc>
        <w:tc>
          <w:tcPr>
            <w:tcW w:w="1228" w:type="dxa"/>
            <w:vAlign w:val="top"/>
          </w:tcPr>
          <w:p w14:paraId="52A65A08">
            <w:pPr>
              <w:pStyle w:val="6"/>
            </w:pPr>
          </w:p>
        </w:tc>
        <w:tc>
          <w:tcPr>
            <w:tcW w:w="1198" w:type="dxa"/>
            <w:vAlign w:val="top"/>
          </w:tcPr>
          <w:p w14:paraId="2907DDEE">
            <w:pPr>
              <w:pStyle w:val="6"/>
            </w:pPr>
          </w:p>
        </w:tc>
        <w:tc>
          <w:tcPr>
            <w:tcW w:w="816" w:type="dxa"/>
            <w:vAlign w:val="top"/>
          </w:tcPr>
          <w:p w14:paraId="5D2DE84B">
            <w:pPr>
              <w:pStyle w:val="6"/>
            </w:pPr>
          </w:p>
        </w:tc>
      </w:tr>
      <w:tr w14:paraId="5BE4ED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223D9241">
            <w:pPr>
              <w:pStyle w:val="6"/>
            </w:pPr>
          </w:p>
        </w:tc>
        <w:tc>
          <w:tcPr>
            <w:tcW w:w="1213" w:type="dxa"/>
            <w:vAlign w:val="top"/>
          </w:tcPr>
          <w:p w14:paraId="2FEBFBFD">
            <w:pPr>
              <w:pStyle w:val="6"/>
            </w:pPr>
          </w:p>
        </w:tc>
        <w:tc>
          <w:tcPr>
            <w:tcW w:w="2081" w:type="dxa"/>
            <w:vAlign w:val="top"/>
          </w:tcPr>
          <w:p w14:paraId="51F71EAD">
            <w:pPr>
              <w:spacing w:before="180" w:line="218" w:lineRule="auto"/>
              <w:ind w:left="2"/>
              <w:rPr>
                <w:rFonts w:ascii="宋体" w:hAnsi="宋体" w:eastAsia="宋体" w:cs="宋体"/>
                <w:sz w:val="18"/>
                <w:szCs w:val="18"/>
              </w:rPr>
            </w:pPr>
            <w:r>
              <w:rPr>
                <w:rFonts w:ascii="宋体" w:hAnsi="宋体" w:eastAsia="宋体" w:cs="宋体"/>
                <w:color w:val="212529"/>
                <w:spacing w:val="-1"/>
                <w:sz w:val="18"/>
                <w:szCs w:val="18"/>
              </w:rPr>
              <w:t>九、社会保险基金支出</w:t>
            </w:r>
          </w:p>
        </w:tc>
        <w:tc>
          <w:tcPr>
            <w:tcW w:w="1228" w:type="dxa"/>
            <w:vAlign w:val="top"/>
          </w:tcPr>
          <w:p w14:paraId="386CBD7D">
            <w:pPr>
              <w:pStyle w:val="6"/>
            </w:pPr>
          </w:p>
        </w:tc>
        <w:tc>
          <w:tcPr>
            <w:tcW w:w="1198" w:type="dxa"/>
            <w:vAlign w:val="top"/>
          </w:tcPr>
          <w:p w14:paraId="462F30A1">
            <w:pPr>
              <w:pStyle w:val="6"/>
            </w:pPr>
          </w:p>
        </w:tc>
        <w:tc>
          <w:tcPr>
            <w:tcW w:w="816" w:type="dxa"/>
            <w:vAlign w:val="top"/>
          </w:tcPr>
          <w:p w14:paraId="636344DB">
            <w:pPr>
              <w:pStyle w:val="6"/>
            </w:pPr>
          </w:p>
        </w:tc>
      </w:tr>
      <w:tr w14:paraId="351CCA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279360AF">
            <w:pPr>
              <w:pStyle w:val="6"/>
            </w:pPr>
          </w:p>
        </w:tc>
        <w:tc>
          <w:tcPr>
            <w:tcW w:w="1213" w:type="dxa"/>
            <w:vAlign w:val="top"/>
          </w:tcPr>
          <w:p w14:paraId="3B4D6D2E">
            <w:pPr>
              <w:pStyle w:val="6"/>
            </w:pPr>
          </w:p>
        </w:tc>
        <w:tc>
          <w:tcPr>
            <w:tcW w:w="2081" w:type="dxa"/>
            <w:vAlign w:val="top"/>
          </w:tcPr>
          <w:p w14:paraId="102E6AC6">
            <w:pPr>
              <w:spacing w:before="181" w:line="219" w:lineRule="auto"/>
              <w:rPr>
                <w:rFonts w:ascii="宋体" w:hAnsi="宋体" w:eastAsia="宋体" w:cs="宋体"/>
                <w:sz w:val="18"/>
                <w:szCs w:val="18"/>
              </w:rPr>
            </w:pPr>
            <w:r>
              <w:rPr>
                <w:rFonts w:ascii="宋体" w:hAnsi="宋体" w:eastAsia="宋体" w:cs="宋体"/>
                <w:color w:val="212529"/>
                <w:spacing w:val="-1"/>
                <w:sz w:val="18"/>
                <w:szCs w:val="18"/>
              </w:rPr>
              <w:t>十、卫生健康支出</w:t>
            </w:r>
          </w:p>
        </w:tc>
        <w:tc>
          <w:tcPr>
            <w:tcW w:w="1228" w:type="dxa"/>
            <w:vAlign w:val="top"/>
          </w:tcPr>
          <w:p w14:paraId="29A035AE">
            <w:pPr>
              <w:pStyle w:val="6"/>
            </w:pPr>
          </w:p>
        </w:tc>
        <w:tc>
          <w:tcPr>
            <w:tcW w:w="1198" w:type="dxa"/>
            <w:vAlign w:val="top"/>
          </w:tcPr>
          <w:p w14:paraId="2D7428D9">
            <w:pPr>
              <w:pStyle w:val="6"/>
            </w:pPr>
          </w:p>
        </w:tc>
        <w:tc>
          <w:tcPr>
            <w:tcW w:w="816" w:type="dxa"/>
            <w:vAlign w:val="top"/>
          </w:tcPr>
          <w:p w14:paraId="6ECA6022">
            <w:pPr>
              <w:pStyle w:val="6"/>
            </w:pPr>
          </w:p>
        </w:tc>
      </w:tr>
      <w:tr w14:paraId="30DAA4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464A5FDD">
            <w:pPr>
              <w:pStyle w:val="6"/>
            </w:pPr>
          </w:p>
        </w:tc>
        <w:tc>
          <w:tcPr>
            <w:tcW w:w="1213" w:type="dxa"/>
            <w:vAlign w:val="top"/>
          </w:tcPr>
          <w:p w14:paraId="05E18FE3">
            <w:pPr>
              <w:pStyle w:val="6"/>
            </w:pPr>
          </w:p>
        </w:tc>
        <w:tc>
          <w:tcPr>
            <w:tcW w:w="2081" w:type="dxa"/>
            <w:vAlign w:val="top"/>
          </w:tcPr>
          <w:p w14:paraId="7A46C4E2">
            <w:pPr>
              <w:spacing w:before="183" w:line="219" w:lineRule="auto"/>
              <w:rPr>
                <w:rFonts w:ascii="宋体" w:hAnsi="宋体" w:eastAsia="宋体" w:cs="宋体"/>
                <w:sz w:val="18"/>
                <w:szCs w:val="18"/>
              </w:rPr>
            </w:pPr>
            <w:r>
              <w:rPr>
                <w:rFonts w:ascii="宋体" w:hAnsi="宋体" w:eastAsia="宋体" w:cs="宋体"/>
                <w:color w:val="212529"/>
                <w:spacing w:val="-3"/>
                <w:sz w:val="18"/>
                <w:szCs w:val="18"/>
              </w:rPr>
              <w:t>十一、节能环保支出</w:t>
            </w:r>
          </w:p>
        </w:tc>
        <w:tc>
          <w:tcPr>
            <w:tcW w:w="1228" w:type="dxa"/>
            <w:vAlign w:val="top"/>
          </w:tcPr>
          <w:p w14:paraId="67D73D00">
            <w:pPr>
              <w:pStyle w:val="6"/>
            </w:pPr>
          </w:p>
        </w:tc>
        <w:tc>
          <w:tcPr>
            <w:tcW w:w="1198" w:type="dxa"/>
            <w:vAlign w:val="top"/>
          </w:tcPr>
          <w:p w14:paraId="1FDF96E4">
            <w:pPr>
              <w:pStyle w:val="6"/>
            </w:pPr>
          </w:p>
        </w:tc>
        <w:tc>
          <w:tcPr>
            <w:tcW w:w="816" w:type="dxa"/>
            <w:vAlign w:val="top"/>
          </w:tcPr>
          <w:p w14:paraId="6C47C481">
            <w:pPr>
              <w:pStyle w:val="6"/>
            </w:pPr>
          </w:p>
        </w:tc>
      </w:tr>
      <w:tr w14:paraId="092EF6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14" w:type="dxa"/>
            <w:vAlign w:val="top"/>
          </w:tcPr>
          <w:p w14:paraId="14A3A9B7">
            <w:pPr>
              <w:pStyle w:val="6"/>
            </w:pPr>
          </w:p>
        </w:tc>
        <w:tc>
          <w:tcPr>
            <w:tcW w:w="1213" w:type="dxa"/>
            <w:vAlign w:val="top"/>
          </w:tcPr>
          <w:p w14:paraId="51E8512B">
            <w:pPr>
              <w:pStyle w:val="6"/>
            </w:pPr>
          </w:p>
        </w:tc>
        <w:tc>
          <w:tcPr>
            <w:tcW w:w="2081" w:type="dxa"/>
            <w:vAlign w:val="top"/>
          </w:tcPr>
          <w:p w14:paraId="66471CFC">
            <w:pPr>
              <w:spacing w:before="183" w:line="219" w:lineRule="auto"/>
              <w:rPr>
                <w:rFonts w:ascii="宋体" w:hAnsi="宋体" w:eastAsia="宋体" w:cs="宋体"/>
                <w:sz w:val="18"/>
                <w:szCs w:val="18"/>
              </w:rPr>
            </w:pPr>
            <w:r>
              <w:rPr>
                <w:rFonts w:ascii="宋体" w:hAnsi="宋体" w:eastAsia="宋体" w:cs="宋体"/>
                <w:color w:val="212529"/>
                <w:spacing w:val="-1"/>
                <w:sz w:val="18"/>
                <w:szCs w:val="18"/>
              </w:rPr>
              <w:t>十二、城乡社区支出</w:t>
            </w:r>
          </w:p>
        </w:tc>
        <w:tc>
          <w:tcPr>
            <w:tcW w:w="1228" w:type="dxa"/>
            <w:vAlign w:val="top"/>
          </w:tcPr>
          <w:p w14:paraId="53B2D7DC">
            <w:pPr>
              <w:spacing w:before="210" w:line="184" w:lineRule="auto"/>
              <w:ind w:left="649"/>
              <w:rPr>
                <w:rFonts w:ascii="宋体" w:hAnsi="宋体" w:eastAsia="宋体" w:cs="宋体"/>
                <w:sz w:val="18"/>
                <w:szCs w:val="18"/>
              </w:rPr>
            </w:pPr>
            <w:r>
              <w:rPr>
                <w:rFonts w:ascii="宋体" w:hAnsi="宋体" w:eastAsia="宋体" w:cs="宋体"/>
                <w:color w:val="212529"/>
                <w:spacing w:val="-2"/>
                <w:sz w:val="18"/>
                <w:szCs w:val="18"/>
              </w:rPr>
              <w:t>277.14</w:t>
            </w:r>
          </w:p>
        </w:tc>
        <w:tc>
          <w:tcPr>
            <w:tcW w:w="1198" w:type="dxa"/>
            <w:vAlign w:val="top"/>
          </w:tcPr>
          <w:p w14:paraId="068C732D">
            <w:pPr>
              <w:spacing w:before="210" w:line="184" w:lineRule="auto"/>
              <w:ind w:right="19"/>
              <w:jc w:val="right"/>
              <w:rPr>
                <w:rFonts w:ascii="宋体" w:hAnsi="宋体" w:eastAsia="宋体" w:cs="宋体"/>
                <w:sz w:val="18"/>
                <w:szCs w:val="18"/>
              </w:rPr>
            </w:pPr>
            <w:r>
              <w:rPr>
                <w:rFonts w:ascii="宋体" w:hAnsi="宋体" w:eastAsia="宋体" w:cs="宋体"/>
                <w:color w:val="212529"/>
                <w:spacing w:val="-2"/>
                <w:sz w:val="18"/>
                <w:szCs w:val="18"/>
              </w:rPr>
              <w:t>277.14</w:t>
            </w:r>
          </w:p>
        </w:tc>
        <w:tc>
          <w:tcPr>
            <w:tcW w:w="816" w:type="dxa"/>
            <w:vAlign w:val="top"/>
          </w:tcPr>
          <w:p w14:paraId="189FD0F1">
            <w:pPr>
              <w:pStyle w:val="6"/>
            </w:pPr>
          </w:p>
        </w:tc>
      </w:tr>
      <w:tr w14:paraId="072489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14" w:type="dxa"/>
            <w:vAlign w:val="top"/>
          </w:tcPr>
          <w:p w14:paraId="43439930">
            <w:pPr>
              <w:pStyle w:val="6"/>
            </w:pPr>
          </w:p>
        </w:tc>
        <w:tc>
          <w:tcPr>
            <w:tcW w:w="1213" w:type="dxa"/>
            <w:vAlign w:val="top"/>
          </w:tcPr>
          <w:p w14:paraId="697425EE">
            <w:pPr>
              <w:pStyle w:val="6"/>
            </w:pPr>
          </w:p>
        </w:tc>
        <w:tc>
          <w:tcPr>
            <w:tcW w:w="2081" w:type="dxa"/>
            <w:vAlign w:val="top"/>
          </w:tcPr>
          <w:p w14:paraId="0E7E0915">
            <w:pPr>
              <w:spacing w:before="183" w:line="219" w:lineRule="auto"/>
              <w:rPr>
                <w:rFonts w:ascii="宋体" w:hAnsi="宋体" w:eastAsia="宋体" w:cs="宋体"/>
                <w:sz w:val="18"/>
                <w:szCs w:val="18"/>
              </w:rPr>
            </w:pPr>
            <w:r>
              <w:rPr>
                <w:rFonts w:ascii="宋体" w:hAnsi="宋体" w:eastAsia="宋体" w:cs="宋体"/>
                <w:color w:val="212529"/>
                <w:spacing w:val="-1"/>
                <w:sz w:val="18"/>
                <w:szCs w:val="18"/>
              </w:rPr>
              <w:t>十三、农林水支出</w:t>
            </w:r>
          </w:p>
        </w:tc>
        <w:tc>
          <w:tcPr>
            <w:tcW w:w="1228" w:type="dxa"/>
            <w:vAlign w:val="top"/>
          </w:tcPr>
          <w:p w14:paraId="4ECBF822">
            <w:pPr>
              <w:pStyle w:val="6"/>
            </w:pPr>
          </w:p>
        </w:tc>
        <w:tc>
          <w:tcPr>
            <w:tcW w:w="1198" w:type="dxa"/>
            <w:vAlign w:val="top"/>
          </w:tcPr>
          <w:p w14:paraId="22A493DC">
            <w:pPr>
              <w:pStyle w:val="6"/>
            </w:pPr>
          </w:p>
        </w:tc>
        <w:tc>
          <w:tcPr>
            <w:tcW w:w="816" w:type="dxa"/>
            <w:vAlign w:val="top"/>
          </w:tcPr>
          <w:p w14:paraId="0F88214F">
            <w:pPr>
              <w:pStyle w:val="6"/>
            </w:pPr>
          </w:p>
        </w:tc>
      </w:tr>
      <w:tr w14:paraId="6A2666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14" w:type="dxa"/>
            <w:vAlign w:val="top"/>
          </w:tcPr>
          <w:p w14:paraId="5BD929A3">
            <w:pPr>
              <w:pStyle w:val="6"/>
            </w:pPr>
          </w:p>
        </w:tc>
        <w:tc>
          <w:tcPr>
            <w:tcW w:w="1213" w:type="dxa"/>
            <w:vAlign w:val="top"/>
          </w:tcPr>
          <w:p w14:paraId="5715BFA5">
            <w:pPr>
              <w:pStyle w:val="6"/>
            </w:pPr>
          </w:p>
        </w:tc>
        <w:tc>
          <w:tcPr>
            <w:tcW w:w="2081" w:type="dxa"/>
            <w:vAlign w:val="top"/>
          </w:tcPr>
          <w:p w14:paraId="5850DC40">
            <w:pPr>
              <w:spacing w:before="183" w:line="219" w:lineRule="auto"/>
              <w:rPr>
                <w:rFonts w:ascii="宋体" w:hAnsi="宋体" w:eastAsia="宋体" w:cs="宋体"/>
                <w:sz w:val="18"/>
                <w:szCs w:val="18"/>
              </w:rPr>
            </w:pPr>
            <w:r>
              <w:rPr>
                <w:rFonts w:ascii="宋体" w:hAnsi="宋体" w:eastAsia="宋体" w:cs="宋体"/>
                <w:color w:val="212529"/>
                <w:spacing w:val="-1"/>
                <w:sz w:val="18"/>
                <w:szCs w:val="18"/>
              </w:rPr>
              <w:t>十四、交通运输支出</w:t>
            </w:r>
          </w:p>
        </w:tc>
        <w:tc>
          <w:tcPr>
            <w:tcW w:w="1228" w:type="dxa"/>
            <w:vAlign w:val="top"/>
          </w:tcPr>
          <w:p w14:paraId="50A1D750">
            <w:pPr>
              <w:pStyle w:val="6"/>
            </w:pPr>
          </w:p>
        </w:tc>
        <w:tc>
          <w:tcPr>
            <w:tcW w:w="1198" w:type="dxa"/>
            <w:vAlign w:val="top"/>
          </w:tcPr>
          <w:p w14:paraId="0155EFBA">
            <w:pPr>
              <w:pStyle w:val="6"/>
            </w:pPr>
          </w:p>
        </w:tc>
        <w:tc>
          <w:tcPr>
            <w:tcW w:w="816" w:type="dxa"/>
            <w:vAlign w:val="top"/>
          </w:tcPr>
          <w:p w14:paraId="4A40CF9E">
            <w:pPr>
              <w:pStyle w:val="6"/>
            </w:pPr>
          </w:p>
        </w:tc>
      </w:tr>
      <w:tr w14:paraId="542253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14" w:type="dxa"/>
            <w:vAlign w:val="top"/>
          </w:tcPr>
          <w:p w14:paraId="14411A6E">
            <w:pPr>
              <w:pStyle w:val="6"/>
            </w:pPr>
          </w:p>
        </w:tc>
        <w:tc>
          <w:tcPr>
            <w:tcW w:w="1213" w:type="dxa"/>
            <w:vAlign w:val="top"/>
          </w:tcPr>
          <w:p w14:paraId="38FF6BE0">
            <w:pPr>
              <w:pStyle w:val="6"/>
            </w:pPr>
          </w:p>
        </w:tc>
        <w:tc>
          <w:tcPr>
            <w:tcW w:w="2081" w:type="dxa"/>
            <w:vAlign w:val="top"/>
          </w:tcPr>
          <w:p w14:paraId="24E76F92">
            <w:pPr>
              <w:spacing w:before="79" w:line="217" w:lineRule="auto"/>
              <w:ind w:right="93"/>
              <w:rPr>
                <w:rFonts w:ascii="宋体" w:hAnsi="宋体" w:eastAsia="宋体" w:cs="宋体"/>
                <w:sz w:val="18"/>
                <w:szCs w:val="18"/>
              </w:rPr>
            </w:pPr>
            <w:r>
              <w:rPr>
                <w:rFonts w:ascii="宋体" w:hAnsi="宋体" w:eastAsia="宋体" w:cs="宋体"/>
                <w:color w:val="212529"/>
                <w:spacing w:val="-1"/>
                <w:sz w:val="18"/>
                <w:szCs w:val="18"/>
              </w:rPr>
              <w:t>十五、资源勘探工业信息</w:t>
            </w:r>
            <w:r>
              <w:rPr>
                <w:rFonts w:ascii="宋体" w:hAnsi="宋体" w:eastAsia="宋体" w:cs="宋体"/>
                <w:color w:val="212529"/>
                <w:spacing w:val="2"/>
                <w:sz w:val="18"/>
                <w:szCs w:val="18"/>
              </w:rPr>
              <w:t xml:space="preserve"> </w:t>
            </w:r>
            <w:r>
              <w:rPr>
                <w:rFonts w:ascii="宋体" w:hAnsi="宋体" w:eastAsia="宋体" w:cs="宋体"/>
                <w:color w:val="212529"/>
                <w:spacing w:val="-2"/>
                <w:sz w:val="18"/>
                <w:szCs w:val="18"/>
              </w:rPr>
              <w:t>等支出</w:t>
            </w:r>
          </w:p>
        </w:tc>
        <w:tc>
          <w:tcPr>
            <w:tcW w:w="1228" w:type="dxa"/>
            <w:vAlign w:val="top"/>
          </w:tcPr>
          <w:p w14:paraId="6F3F67F1">
            <w:pPr>
              <w:pStyle w:val="6"/>
            </w:pPr>
          </w:p>
        </w:tc>
        <w:tc>
          <w:tcPr>
            <w:tcW w:w="1198" w:type="dxa"/>
            <w:vAlign w:val="top"/>
          </w:tcPr>
          <w:p w14:paraId="0E491A69">
            <w:pPr>
              <w:pStyle w:val="6"/>
            </w:pPr>
          </w:p>
        </w:tc>
        <w:tc>
          <w:tcPr>
            <w:tcW w:w="816" w:type="dxa"/>
            <w:vAlign w:val="top"/>
          </w:tcPr>
          <w:p w14:paraId="71C33CF0">
            <w:pPr>
              <w:pStyle w:val="6"/>
            </w:pPr>
          </w:p>
        </w:tc>
      </w:tr>
      <w:tr w14:paraId="09A0F4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14" w:type="dxa"/>
            <w:vAlign w:val="top"/>
          </w:tcPr>
          <w:p w14:paraId="5CD9F3EC">
            <w:pPr>
              <w:pStyle w:val="6"/>
            </w:pPr>
          </w:p>
        </w:tc>
        <w:tc>
          <w:tcPr>
            <w:tcW w:w="1213" w:type="dxa"/>
            <w:vAlign w:val="top"/>
          </w:tcPr>
          <w:p w14:paraId="6AD881A9">
            <w:pPr>
              <w:pStyle w:val="6"/>
            </w:pPr>
          </w:p>
        </w:tc>
        <w:tc>
          <w:tcPr>
            <w:tcW w:w="2081" w:type="dxa"/>
            <w:vAlign w:val="top"/>
          </w:tcPr>
          <w:p w14:paraId="4555C3AA">
            <w:pPr>
              <w:spacing w:before="183" w:line="219" w:lineRule="auto"/>
              <w:rPr>
                <w:rFonts w:ascii="宋体" w:hAnsi="宋体" w:eastAsia="宋体" w:cs="宋体"/>
                <w:sz w:val="18"/>
                <w:szCs w:val="18"/>
              </w:rPr>
            </w:pPr>
            <w:r>
              <w:rPr>
                <w:rFonts w:ascii="宋体" w:hAnsi="宋体" w:eastAsia="宋体" w:cs="宋体"/>
                <w:color w:val="212529"/>
                <w:spacing w:val="-1"/>
                <w:sz w:val="18"/>
                <w:szCs w:val="18"/>
              </w:rPr>
              <w:t>十六、商业服务业等支出</w:t>
            </w:r>
          </w:p>
        </w:tc>
        <w:tc>
          <w:tcPr>
            <w:tcW w:w="1228" w:type="dxa"/>
            <w:vAlign w:val="top"/>
          </w:tcPr>
          <w:p w14:paraId="79AF6227">
            <w:pPr>
              <w:pStyle w:val="6"/>
            </w:pPr>
          </w:p>
        </w:tc>
        <w:tc>
          <w:tcPr>
            <w:tcW w:w="1198" w:type="dxa"/>
            <w:vAlign w:val="top"/>
          </w:tcPr>
          <w:p w14:paraId="683E8274">
            <w:pPr>
              <w:pStyle w:val="6"/>
            </w:pPr>
          </w:p>
        </w:tc>
        <w:tc>
          <w:tcPr>
            <w:tcW w:w="816" w:type="dxa"/>
            <w:vAlign w:val="top"/>
          </w:tcPr>
          <w:p w14:paraId="1F40968D">
            <w:pPr>
              <w:pStyle w:val="6"/>
            </w:pPr>
          </w:p>
        </w:tc>
      </w:tr>
      <w:tr w14:paraId="63A5E5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14" w:type="dxa"/>
            <w:vAlign w:val="top"/>
          </w:tcPr>
          <w:p w14:paraId="42E4BD96">
            <w:pPr>
              <w:pStyle w:val="6"/>
            </w:pPr>
          </w:p>
        </w:tc>
        <w:tc>
          <w:tcPr>
            <w:tcW w:w="1213" w:type="dxa"/>
            <w:vAlign w:val="top"/>
          </w:tcPr>
          <w:p w14:paraId="7CCDB4CB">
            <w:pPr>
              <w:pStyle w:val="6"/>
            </w:pPr>
          </w:p>
        </w:tc>
        <w:tc>
          <w:tcPr>
            <w:tcW w:w="2081" w:type="dxa"/>
            <w:vAlign w:val="top"/>
          </w:tcPr>
          <w:p w14:paraId="1D426A80">
            <w:pPr>
              <w:spacing w:before="184" w:line="219" w:lineRule="auto"/>
              <w:rPr>
                <w:rFonts w:ascii="宋体" w:hAnsi="宋体" w:eastAsia="宋体" w:cs="宋体"/>
                <w:sz w:val="18"/>
                <w:szCs w:val="18"/>
              </w:rPr>
            </w:pPr>
            <w:r>
              <w:rPr>
                <w:rFonts w:ascii="宋体" w:hAnsi="宋体" w:eastAsia="宋体" w:cs="宋体"/>
                <w:color w:val="212529"/>
                <w:spacing w:val="-1"/>
                <w:sz w:val="18"/>
                <w:szCs w:val="18"/>
              </w:rPr>
              <w:t>十七、金融支出</w:t>
            </w:r>
          </w:p>
        </w:tc>
        <w:tc>
          <w:tcPr>
            <w:tcW w:w="1228" w:type="dxa"/>
            <w:vAlign w:val="top"/>
          </w:tcPr>
          <w:p w14:paraId="216BEA75">
            <w:pPr>
              <w:pStyle w:val="6"/>
            </w:pPr>
          </w:p>
        </w:tc>
        <w:tc>
          <w:tcPr>
            <w:tcW w:w="1198" w:type="dxa"/>
            <w:vAlign w:val="top"/>
          </w:tcPr>
          <w:p w14:paraId="10A64804">
            <w:pPr>
              <w:pStyle w:val="6"/>
            </w:pPr>
          </w:p>
        </w:tc>
        <w:tc>
          <w:tcPr>
            <w:tcW w:w="816" w:type="dxa"/>
            <w:vAlign w:val="top"/>
          </w:tcPr>
          <w:p w14:paraId="733FEFBD">
            <w:pPr>
              <w:pStyle w:val="6"/>
            </w:pPr>
          </w:p>
        </w:tc>
      </w:tr>
      <w:tr w14:paraId="002396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14" w:type="dxa"/>
            <w:vAlign w:val="top"/>
          </w:tcPr>
          <w:p w14:paraId="65D1F3A1">
            <w:pPr>
              <w:pStyle w:val="6"/>
            </w:pPr>
          </w:p>
        </w:tc>
        <w:tc>
          <w:tcPr>
            <w:tcW w:w="1213" w:type="dxa"/>
            <w:vAlign w:val="top"/>
          </w:tcPr>
          <w:p w14:paraId="6311321C">
            <w:pPr>
              <w:pStyle w:val="6"/>
            </w:pPr>
          </w:p>
        </w:tc>
        <w:tc>
          <w:tcPr>
            <w:tcW w:w="2081" w:type="dxa"/>
            <w:vAlign w:val="top"/>
          </w:tcPr>
          <w:p w14:paraId="18D2DA89">
            <w:pPr>
              <w:spacing w:before="184" w:line="219" w:lineRule="auto"/>
              <w:rPr>
                <w:rFonts w:ascii="宋体" w:hAnsi="宋体" w:eastAsia="宋体" w:cs="宋体"/>
                <w:sz w:val="18"/>
                <w:szCs w:val="18"/>
              </w:rPr>
            </w:pPr>
            <w:r>
              <w:rPr>
                <w:rFonts w:ascii="宋体" w:hAnsi="宋体" w:eastAsia="宋体" w:cs="宋体"/>
                <w:color w:val="212529"/>
                <w:spacing w:val="-1"/>
                <w:sz w:val="18"/>
                <w:szCs w:val="18"/>
              </w:rPr>
              <w:t>十八、援助其他地区支出</w:t>
            </w:r>
          </w:p>
        </w:tc>
        <w:tc>
          <w:tcPr>
            <w:tcW w:w="1228" w:type="dxa"/>
            <w:vAlign w:val="top"/>
          </w:tcPr>
          <w:p w14:paraId="2216C242">
            <w:pPr>
              <w:pStyle w:val="6"/>
            </w:pPr>
          </w:p>
        </w:tc>
        <w:tc>
          <w:tcPr>
            <w:tcW w:w="1198" w:type="dxa"/>
            <w:vAlign w:val="top"/>
          </w:tcPr>
          <w:p w14:paraId="6A8B7324">
            <w:pPr>
              <w:pStyle w:val="6"/>
            </w:pPr>
          </w:p>
        </w:tc>
        <w:tc>
          <w:tcPr>
            <w:tcW w:w="816" w:type="dxa"/>
            <w:vAlign w:val="top"/>
          </w:tcPr>
          <w:p w14:paraId="31A51FEB">
            <w:pPr>
              <w:pStyle w:val="6"/>
            </w:pPr>
          </w:p>
        </w:tc>
      </w:tr>
      <w:tr w14:paraId="5BE460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14" w:type="dxa"/>
            <w:vAlign w:val="top"/>
          </w:tcPr>
          <w:p w14:paraId="749D5D37">
            <w:pPr>
              <w:pStyle w:val="6"/>
            </w:pPr>
          </w:p>
        </w:tc>
        <w:tc>
          <w:tcPr>
            <w:tcW w:w="1213" w:type="dxa"/>
            <w:vAlign w:val="top"/>
          </w:tcPr>
          <w:p w14:paraId="5B68E057">
            <w:pPr>
              <w:pStyle w:val="6"/>
            </w:pPr>
          </w:p>
        </w:tc>
        <w:tc>
          <w:tcPr>
            <w:tcW w:w="2081" w:type="dxa"/>
            <w:vAlign w:val="top"/>
          </w:tcPr>
          <w:p w14:paraId="22D081F7">
            <w:pPr>
              <w:spacing w:before="79" w:line="217" w:lineRule="auto"/>
              <w:ind w:right="93"/>
              <w:rPr>
                <w:rFonts w:ascii="宋体" w:hAnsi="宋体" w:eastAsia="宋体" w:cs="宋体"/>
                <w:sz w:val="18"/>
                <w:szCs w:val="18"/>
              </w:rPr>
            </w:pPr>
            <w:r>
              <w:rPr>
                <w:rFonts w:ascii="宋体" w:hAnsi="宋体" w:eastAsia="宋体" w:cs="宋体"/>
                <w:color w:val="212529"/>
                <w:spacing w:val="-1"/>
                <w:sz w:val="18"/>
                <w:szCs w:val="18"/>
              </w:rPr>
              <w:t>十九、自然资源海洋气象</w:t>
            </w:r>
            <w:r>
              <w:rPr>
                <w:rFonts w:ascii="宋体" w:hAnsi="宋体" w:eastAsia="宋体" w:cs="宋体"/>
                <w:color w:val="212529"/>
                <w:spacing w:val="2"/>
                <w:sz w:val="18"/>
                <w:szCs w:val="18"/>
              </w:rPr>
              <w:t xml:space="preserve"> </w:t>
            </w:r>
            <w:r>
              <w:rPr>
                <w:rFonts w:ascii="宋体" w:hAnsi="宋体" w:eastAsia="宋体" w:cs="宋体"/>
                <w:color w:val="212529"/>
                <w:spacing w:val="-2"/>
                <w:sz w:val="18"/>
                <w:szCs w:val="18"/>
              </w:rPr>
              <w:t>等支出</w:t>
            </w:r>
          </w:p>
        </w:tc>
        <w:tc>
          <w:tcPr>
            <w:tcW w:w="1228" w:type="dxa"/>
            <w:vAlign w:val="top"/>
          </w:tcPr>
          <w:p w14:paraId="71D4466C">
            <w:pPr>
              <w:pStyle w:val="6"/>
            </w:pPr>
          </w:p>
        </w:tc>
        <w:tc>
          <w:tcPr>
            <w:tcW w:w="1198" w:type="dxa"/>
            <w:vAlign w:val="top"/>
          </w:tcPr>
          <w:p w14:paraId="50DC323F">
            <w:pPr>
              <w:pStyle w:val="6"/>
            </w:pPr>
          </w:p>
        </w:tc>
        <w:tc>
          <w:tcPr>
            <w:tcW w:w="816" w:type="dxa"/>
            <w:vAlign w:val="top"/>
          </w:tcPr>
          <w:p w14:paraId="1D8C1F2B">
            <w:pPr>
              <w:pStyle w:val="6"/>
            </w:pPr>
          </w:p>
        </w:tc>
      </w:tr>
      <w:tr w14:paraId="160C12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14" w:type="dxa"/>
            <w:vAlign w:val="top"/>
          </w:tcPr>
          <w:p w14:paraId="55E1685E">
            <w:pPr>
              <w:pStyle w:val="6"/>
            </w:pPr>
          </w:p>
        </w:tc>
        <w:tc>
          <w:tcPr>
            <w:tcW w:w="1213" w:type="dxa"/>
            <w:vAlign w:val="top"/>
          </w:tcPr>
          <w:p w14:paraId="1B70E954">
            <w:pPr>
              <w:pStyle w:val="6"/>
            </w:pPr>
          </w:p>
        </w:tc>
        <w:tc>
          <w:tcPr>
            <w:tcW w:w="2081" w:type="dxa"/>
            <w:vAlign w:val="top"/>
          </w:tcPr>
          <w:p w14:paraId="19EA54E4">
            <w:pPr>
              <w:spacing w:before="183" w:line="219" w:lineRule="auto"/>
              <w:ind w:left="2"/>
              <w:rPr>
                <w:rFonts w:ascii="宋体" w:hAnsi="宋体" w:eastAsia="宋体" w:cs="宋体"/>
                <w:sz w:val="18"/>
                <w:szCs w:val="18"/>
              </w:rPr>
            </w:pPr>
            <w:r>
              <w:rPr>
                <w:rFonts w:ascii="宋体" w:hAnsi="宋体" w:eastAsia="宋体" w:cs="宋体"/>
                <w:color w:val="212529"/>
                <w:spacing w:val="-1"/>
                <w:sz w:val="18"/>
                <w:szCs w:val="18"/>
              </w:rPr>
              <w:t>二十、住房保障支出</w:t>
            </w:r>
          </w:p>
        </w:tc>
        <w:tc>
          <w:tcPr>
            <w:tcW w:w="1228" w:type="dxa"/>
            <w:vAlign w:val="top"/>
          </w:tcPr>
          <w:p w14:paraId="4CE8350A">
            <w:pPr>
              <w:pStyle w:val="6"/>
            </w:pPr>
          </w:p>
        </w:tc>
        <w:tc>
          <w:tcPr>
            <w:tcW w:w="1198" w:type="dxa"/>
            <w:vAlign w:val="top"/>
          </w:tcPr>
          <w:p w14:paraId="127ED68C">
            <w:pPr>
              <w:pStyle w:val="6"/>
            </w:pPr>
          </w:p>
        </w:tc>
        <w:tc>
          <w:tcPr>
            <w:tcW w:w="816" w:type="dxa"/>
            <w:vAlign w:val="top"/>
          </w:tcPr>
          <w:p w14:paraId="30645806">
            <w:pPr>
              <w:pStyle w:val="6"/>
            </w:pPr>
          </w:p>
        </w:tc>
      </w:tr>
      <w:tr w14:paraId="5BC4AC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2014" w:type="dxa"/>
            <w:vAlign w:val="top"/>
          </w:tcPr>
          <w:p w14:paraId="59D4E2EA">
            <w:pPr>
              <w:pStyle w:val="6"/>
            </w:pPr>
          </w:p>
        </w:tc>
        <w:tc>
          <w:tcPr>
            <w:tcW w:w="1213" w:type="dxa"/>
            <w:vAlign w:val="top"/>
          </w:tcPr>
          <w:p w14:paraId="0F8F4972">
            <w:pPr>
              <w:pStyle w:val="6"/>
            </w:pPr>
          </w:p>
        </w:tc>
        <w:tc>
          <w:tcPr>
            <w:tcW w:w="2081" w:type="dxa"/>
            <w:vAlign w:val="top"/>
          </w:tcPr>
          <w:p w14:paraId="6C2ECA52">
            <w:pPr>
              <w:spacing w:before="78" w:line="219" w:lineRule="auto"/>
              <w:ind w:left="14" w:right="102" w:hanging="12"/>
              <w:rPr>
                <w:rFonts w:ascii="宋体" w:hAnsi="宋体" w:eastAsia="宋体" w:cs="宋体"/>
                <w:sz w:val="18"/>
                <w:szCs w:val="18"/>
              </w:rPr>
            </w:pPr>
            <w:r>
              <w:rPr>
                <w:rFonts w:ascii="宋体" w:hAnsi="宋体" w:eastAsia="宋体" w:cs="宋体"/>
                <w:color w:val="212529"/>
                <w:spacing w:val="-2"/>
                <w:sz w:val="18"/>
                <w:szCs w:val="18"/>
              </w:rPr>
              <w:t>二十一、粮油物资储备支</w:t>
            </w:r>
            <w:r>
              <w:rPr>
                <w:rFonts w:ascii="宋体" w:hAnsi="宋体" w:eastAsia="宋体" w:cs="宋体"/>
                <w:color w:val="212529"/>
                <w:spacing w:val="1"/>
                <w:sz w:val="18"/>
                <w:szCs w:val="18"/>
              </w:rPr>
              <w:t xml:space="preserve"> </w:t>
            </w:r>
            <w:r>
              <w:rPr>
                <w:rFonts w:ascii="宋体" w:hAnsi="宋体" w:eastAsia="宋体" w:cs="宋体"/>
                <w:color w:val="212529"/>
                <w:sz w:val="18"/>
                <w:szCs w:val="18"/>
              </w:rPr>
              <w:t>出</w:t>
            </w:r>
          </w:p>
        </w:tc>
        <w:tc>
          <w:tcPr>
            <w:tcW w:w="1228" w:type="dxa"/>
            <w:vAlign w:val="top"/>
          </w:tcPr>
          <w:p w14:paraId="45B45385">
            <w:pPr>
              <w:pStyle w:val="6"/>
            </w:pPr>
          </w:p>
        </w:tc>
        <w:tc>
          <w:tcPr>
            <w:tcW w:w="1198" w:type="dxa"/>
            <w:vAlign w:val="top"/>
          </w:tcPr>
          <w:p w14:paraId="7644073B">
            <w:pPr>
              <w:pStyle w:val="6"/>
            </w:pPr>
          </w:p>
        </w:tc>
        <w:tc>
          <w:tcPr>
            <w:tcW w:w="816" w:type="dxa"/>
            <w:vAlign w:val="top"/>
          </w:tcPr>
          <w:p w14:paraId="49BC7C60">
            <w:pPr>
              <w:pStyle w:val="6"/>
            </w:pPr>
          </w:p>
        </w:tc>
      </w:tr>
    </w:tbl>
    <w:p w14:paraId="7E1980F3">
      <w:pPr>
        <w:pStyle w:val="2"/>
      </w:pPr>
    </w:p>
    <w:p w14:paraId="49EB5E54">
      <w:pPr>
        <w:sectPr>
          <w:headerReference r:id="rId10" w:type="default"/>
          <w:footerReference r:id="rId11" w:type="default"/>
          <w:pgSz w:w="11900" w:h="16840"/>
          <w:pgMar w:top="611" w:right="0" w:bottom="312" w:left="0" w:header="357" w:footer="153" w:gutter="0"/>
          <w:cols w:space="720" w:num="1"/>
        </w:sectPr>
      </w:pPr>
    </w:p>
    <w:p w14:paraId="3E288E8D">
      <w:pPr>
        <w:spacing w:before="54"/>
      </w:pPr>
    </w:p>
    <w:p w14:paraId="6532F705">
      <w:pPr>
        <w:spacing w:before="53"/>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14"/>
        <w:gridCol w:w="1213"/>
        <w:gridCol w:w="2081"/>
        <w:gridCol w:w="1228"/>
        <w:gridCol w:w="1198"/>
        <w:gridCol w:w="816"/>
      </w:tblGrid>
      <w:tr w14:paraId="014A0F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2014" w:type="dxa"/>
            <w:vAlign w:val="top"/>
          </w:tcPr>
          <w:p w14:paraId="43A3F366">
            <w:pPr>
              <w:pStyle w:val="6"/>
            </w:pPr>
          </w:p>
        </w:tc>
        <w:tc>
          <w:tcPr>
            <w:tcW w:w="1213" w:type="dxa"/>
            <w:vAlign w:val="top"/>
          </w:tcPr>
          <w:p w14:paraId="68D40DE6">
            <w:pPr>
              <w:pStyle w:val="6"/>
            </w:pPr>
          </w:p>
        </w:tc>
        <w:tc>
          <w:tcPr>
            <w:tcW w:w="2081" w:type="dxa"/>
            <w:vAlign w:val="top"/>
          </w:tcPr>
          <w:p w14:paraId="5E602699">
            <w:pPr>
              <w:spacing w:before="56" w:line="217" w:lineRule="auto"/>
              <w:ind w:right="93" w:firstLine="2"/>
              <w:rPr>
                <w:rFonts w:ascii="宋体" w:hAnsi="宋体" w:eastAsia="宋体" w:cs="宋体"/>
                <w:sz w:val="18"/>
                <w:szCs w:val="18"/>
              </w:rPr>
            </w:pPr>
            <w:bookmarkStart w:id="41" w:name="bookmark37"/>
            <w:bookmarkEnd w:id="41"/>
            <w:r>
              <w:rPr>
                <w:rFonts w:ascii="宋体" w:hAnsi="宋体" w:eastAsia="宋体" w:cs="宋体"/>
                <w:color w:val="212529"/>
                <w:spacing w:val="-1"/>
                <w:sz w:val="18"/>
                <w:szCs w:val="18"/>
              </w:rPr>
              <w:t>二十二、国有资本经营预</w:t>
            </w:r>
            <w:r>
              <w:rPr>
                <w:rFonts w:ascii="宋体" w:hAnsi="宋体" w:eastAsia="宋体" w:cs="宋体"/>
                <w:color w:val="212529"/>
                <w:sz w:val="18"/>
                <w:szCs w:val="18"/>
              </w:rPr>
              <w:t xml:space="preserve"> </w:t>
            </w:r>
            <w:r>
              <w:rPr>
                <w:rFonts w:ascii="宋体" w:hAnsi="宋体" w:eastAsia="宋体" w:cs="宋体"/>
                <w:color w:val="212529"/>
                <w:spacing w:val="-2"/>
                <w:sz w:val="18"/>
                <w:szCs w:val="18"/>
              </w:rPr>
              <w:t>算支出</w:t>
            </w:r>
          </w:p>
        </w:tc>
        <w:tc>
          <w:tcPr>
            <w:tcW w:w="1228" w:type="dxa"/>
            <w:vAlign w:val="top"/>
          </w:tcPr>
          <w:p w14:paraId="68F5E800">
            <w:pPr>
              <w:pStyle w:val="6"/>
            </w:pPr>
          </w:p>
        </w:tc>
        <w:tc>
          <w:tcPr>
            <w:tcW w:w="1198" w:type="dxa"/>
            <w:vAlign w:val="top"/>
          </w:tcPr>
          <w:p w14:paraId="48548736">
            <w:pPr>
              <w:pStyle w:val="6"/>
            </w:pPr>
          </w:p>
        </w:tc>
        <w:tc>
          <w:tcPr>
            <w:tcW w:w="816" w:type="dxa"/>
            <w:vAlign w:val="top"/>
          </w:tcPr>
          <w:p w14:paraId="1CB77D16">
            <w:pPr>
              <w:pStyle w:val="6"/>
            </w:pPr>
          </w:p>
        </w:tc>
      </w:tr>
      <w:tr w14:paraId="3383AB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2014" w:type="dxa"/>
            <w:vAlign w:val="top"/>
          </w:tcPr>
          <w:p w14:paraId="08D14E4C">
            <w:pPr>
              <w:pStyle w:val="6"/>
            </w:pPr>
          </w:p>
        </w:tc>
        <w:tc>
          <w:tcPr>
            <w:tcW w:w="1213" w:type="dxa"/>
            <w:vAlign w:val="top"/>
          </w:tcPr>
          <w:p w14:paraId="67694E66">
            <w:pPr>
              <w:pStyle w:val="6"/>
            </w:pPr>
          </w:p>
        </w:tc>
        <w:tc>
          <w:tcPr>
            <w:tcW w:w="2081" w:type="dxa"/>
            <w:vAlign w:val="top"/>
          </w:tcPr>
          <w:p w14:paraId="0D0F9261">
            <w:pPr>
              <w:spacing w:before="50" w:line="217" w:lineRule="auto"/>
              <w:ind w:left="2" w:right="93"/>
              <w:rPr>
                <w:rFonts w:ascii="宋体" w:hAnsi="宋体" w:eastAsia="宋体" w:cs="宋体"/>
                <w:sz w:val="18"/>
                <w:szCs w:val="18"/>
              </w:rPr>
            </w:pPr>
            <w:r>
              <w:rPr>
                <w:rFonts w:ascii="宋体" w:hAnsi="宋体" w:eastAsia="宋体" w:cs="宋体"/>
                <w:color w:val="212529"/>
                <w:spacing w:val="-1"/>
                <w:sz w:val="18"/>
                <w:szCs w:val="18"/>
              </w:rPr>
              <w:t>二十三、灾害防治及应急</w:t>
            </w:r>
            <w:r>
              <w:rPr>
                <w:rFonts w:ascii="宋体" w:hAnsi="宋体" w:eastAsia="宋体" w:cs="宋体"/>
                <w:color w:val="212529"/>
                <w:sz w:val="18"/>
                <w:szCs w:val="18"/>
              </w:rPr>
              <w:t xml:space="preserve"> </w:t>
            </w:r>
            <w:r>
              <w:rPr>
                <w:rFonts w:ascii="宋体" w:hAnsi="宋体" w:eastAsia="宋体" w:cs="宋体"/>
                <w:color w:val="212529"/>
                <w:spacing w:val="-2"/>
                <w:sz w:val="18"/>
                <w:szCs w:val="18"/>
              </w:rPr>
              <w:t>管理支出</w:t>
            </w:r>
          </w:p>
        </w:tc>
        <w:tc>
          <w:tcPr>
            <w:tcW w:w="1228" w:type="dxa"/>
            <w:vAlign w:val="top"/>
          </w:tcPr>
          <w:p w14:paraId="3536A866">
            <w:pPr>
              <w:pStyle w:val="6"/>
            </w:pPr>
          </w:p>
        </w:tc>
        <w:tc>
          <w:tcPr>
            <w:tcW w:w="1198" w:type="dxa"/>
            <w:vAlign w:val="top"/>
          </w:tcPr>
          <w:p w14:paraId="795E00D9">
            <w:pPr>
              <w:pStyle w:val="6"/>
            </w:pPr>
          </w:p>
        </w:tc>
        <w:tc>
          <w:tcPr>
            <w:tcW w:w="816" w:type="dxa"/>
            <w:vAlign w:val="top"/>
          </w:tcPr>
          <w:p w14:paraId="374BE482">
            <w:pPr>
              <w:pStyle w:val="6"/>
            </w:pPr>
          </w:p>
        </w:tc>
      </w:tr>
      <w:tr w14:paraId="41AF9D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7C4EE57B">
            <w:pPr>
              <w:pStyle w:val="6"/>
            </w:pPr>
          </w:p>
        </w:tc>
        <w:tc>
          <w:tcPr>
            <w:tcW w:w="1213" w:type="dxa"/>
            <w:vAlign w:val="top"/>
          </w:tcPr>
          <w:p w14:paraId="07065714">
            <w:pPr>
              <w:pStyle w:val="6"/>
            </w:pPr>
          </w:p>
        </w:tc>
        <w:tc>
          <w:tcPr>
            <w:tcW w:w="2081" w:type="dxa"/>
            <w:vAlign w:val="top"/>
          </w:tcPr>
          <w:p w14:paraId="258F3FAE">
            <w:pPr>
              <w:spacing w:before="157" w:line="219" w:lineRule="auto"/>
              <w:ind w:left="2"/>
              <w:rPr>
                <w:rFonts w:ascii="宋体" w:hAnsi="宋体" w:eastAsia="宋体" w:cs="宋体"/>
                <w:sz w:val="18"/>
                <w:szCs w:val="18"/>
              </w:rPr>
            </w:pPr>
            <w:r>
              <w:rPr>
                <w:rFonts w:ascii="宋体" w:hAnsi="宋体" w:eastAsia="宋体" w:cs="宋体"/>
                <w:color w:val="212529"/>
                <w:spacing w:val="-2"/>
                <w:sz w:val="18"/>
                <w:szCs w:val="18"/>
              </w:rPr>
              <w:t>二十四、预备费</w:t>
            </w:r>
          </w:p>
        </w:tc>
        <w:tc>
          <w:tcPr>
            <w:tcW w:w="1228" w:type="dxa"/>
            <w:vAlign w:val="top"/>
          </w:tcPr>
          <w:p w14:paraId="70871A09">
            <w:pPr>
              <w:pStyle w:val="6"/>
            </w:pPr>
          </w:p>
        </w:tc>
        <w:tc>
          <w:tcPr>
            <w:tcW w:w="1198" w:type="dxa"/>
            <w:vAlign w:val="top"/>
          </w:tcPr>
          <w:p w14:paraId="03B37C9D">
            <w:pPr>
              <w:pStyle w:val="6"/>
            </w:pPr>
          </w:p>
        </w:tc>
        <w:tc>
          <w:tcPr>
            <w:tcW w:w="816" w:type="dxa"/>
            <w:vAlign w:val="top"/>
          </w:tcPr>
          <w:p w14:paraId="6241CDBB">
            <w:pPr>
              <w:pStyle w:val="6"/>
            </w:pPr>
          </w:p>
        </w:tc>
      </w:tr>
      <w:tr w14:paraId="5B3484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6E89E271">
            <w:pPr>
              <w:pStyle w:val="6"/>
            </w:pPr>
          </w:p>
        </w:tc>
        <w:tc>
          <w:tcPr>
            <w:tcW w:w="1213" w:type="dxa"/>
            <w:vAlign w:val="top"/>
          </w:tcPr>
          <w:p w14:paraId="26745679">
            <w:pPr>
              <w:pStyle w:val="6"/>
            </w:pPr>
          </w:p>
        </w:tc>
        <w:tc>
          <w:tcPr>
            <w:tcW w:w="2081" w:type="dxa"/>
            <w:vAlign w:val="top"/>
          </w:tcPr>
          <w:p w14:paraId="490ADEDA">
            <w:pPr>
              <w:spacing w:before="158" w:line="219" w:lineRule="auto"/>
              <w:ind w:left="2"/>
              <w:rPr>
                <w:rFonts w:ascii="宋体" w:hAnsi="宋体" w:eastAsia="宋体" w:cs="宋体"/>
                <w:sz w:val="18"/>
                <w:szCs w:val="18"/>
              </w:rPr>
            </w:pPr>
            <w:r>
              <w:rPr>
                <w:rFonts w:ascii="宋体" w:hAnsi="宋体" w:eastAsia="宋体" w:cs="宋体"/>
                <w:color w:val="212529"/>
                <w:spacing w:val="-2"/>
                <w:sz w:val="18"/>
                <w:szCs w:val="18"/>
              </w:rPr>
              <w:t>二十五、其他支出</w:t>
            </w:r>
          </w:p>
        </w:tc>
        <w:tc>
          <w:tcPr>
            <w:tcW w:w="1228" w:type="dxa"/>
            <w:vAlign w:val="top"/>
          </w:tcPr>
          <w:p w14:paraId="3887304A">
            <w:pPr>
              <w:pStyle w:val="6"/>
            </w:pPr>
          </w:p>
        </w:tc>
        <w:tc>
          <w:tcPr>
            <w:tcW w:w="1198" w:type="dxa"/>
            <w:vAlign w:val="top"/>
          </w:tcPr>
          <w:p w14:paraId="717CE0EC">
            <w:pPr>
              <w:pStyle w:val="6"/>
            </w:pPr>
          </w:p>
        </w:tc>
        <w:tc>
          <w:tcPr>
            <w:tcW w:w="816" w:type="dxa"/>
            <w:vAlign w:val="top"/>
          </w:tcPr>
          <w:p w14:paraId="1D79E768">
            <w:pPr>
              <w:pStyle w:val="6"/>
            </w:pPr>
          </w:p>
        </w:tc>
      </w:tr>
      <w:tr w14:paraId="01D6B6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7030DD8F">
            <w:pPr>
              <w:pStyle w:val="6"/>
            </w:pPr>
          </w:p>
        </w:tc>
        <w:tc>
          <w:tcPr>
            <w:tcW w:w="1213" w:type="dxa"/>
            <w:vAlign w:val="top"/>
          </w:tcPr>
          <w:p w14:paraId="70A95264">
            <w:pPr>
              <w:pStyle w:val="6"/>
            </w:pPr>
          </w:p>
        </w:tc>
        <w:tc>
          <w:tcPr>
            <w:tcW w:w="2081" w:type="dxa"/>
            <w:vAlign w:val="top"/>
          </w:tcPr>
          <w:p w14:paraId="113AAE77">
            <w:pPr>
              <w:spacing w:before="159" w:line="219" w:lineRule="auto"/>
              <w:ind w:left="2"/>
              <w:rPr>
                <w:rFonts w:ascii="宋体" w:hAnsi="宋体" w:eastAsia="宋体" w:cs="宋体"/>
                <w:sz w:val="18"/>
                <w:szCs w:val="18"/>
              </w:rPr>
            </w:pPr>
            <w:r>
              <w:rPr>
                <w:rFonts w:ascii="宋体" w:hAnsi="宋体" w:eastAsia="宋体" w:cs="宋体"/>
                <w:color w:val="212529"/>
                <w:spacing w:val="-1"/>
                <w:sz w:val="18"/>
                <w:szCs w:val="18"/>
              </w:rPr>
              <w:t>二十六、转移性支出</w:t>
            </w:r>
          </w:p>
        </w:tc>
        <w:tc>
          <w:tcPr>
            <w:tcW w:w="1228" w:type="dxa"/>
            <w:vAlign w:val="top"/>
          </w:tcPr>
          <w:p w14:paraId="4AE49CBF">
            <w:pPr>
              <w:pStyle w:val="6"/>
            </w:pPr>
          </w:p>
        </w:tc>
        <w:tc>
          <w:tcPr>
            <w:tcW w:w="1198" w:type="dxa"/>
            <w:vAlign w:val="top"/>
          </w:tcPr>
          <w:p w14:paraId="557FB581">
            <w:pPr>
              <w:pStyle w:val="6"/>
            </w:pPr>
          </w:p>
        </w:tc>
        <w:tc>
          <w:tcPr>
            <w:tcW w:w="816" w:type="dxa"/>
            <w:vAlign w:val="top"/>
          </w:tcPr>
          <w:p w14:paraId="0959B46F">
            <w:pPr>
              <w:pStyle w:val="6"/>
            </w:pPr>
          </w:p>
        </w:tc>
      </w:tr>
      <w:tr w14:paraId="291D57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4173D02B">
            <w:pPr>
              <w:pStyle w:val="6"/>
            </w:pPr>
          </w:p>
        </w:tc>
        <w:tc>
          <w:tcPr>
            <w:tcW w:w="1213" w:type="dxa"/>
            <w:vAlign w:val="top"/>
          </w:tcPr>
          <w:p w14:paraId="4C06DAD6">
            <w:pPr>
              <w:pStyle w:val="6"/>
            </w:pPr>
          </w:p>
        </w:tc>
        <w:tc>
          <w:tcPr>
            <w:tcW w:w="2081" w:type="dxa"/>
            <w:vAlign w:val="top"/>
          </w:tcPr>
          <w:p w14:paraId="3DD12B6C">
            <w:pPr>
              <w:spacing w:before="159" w:line="218" w:lineRule="auto"/>
              <w:ind w:left="2"/>
              <w:rPr>
                <w:rFonts w:ascii="宋体" w:hAnsi="宋体" w:eastAsia="宋体" w:cs="宋体"/>
                <w:sz w:val="18"/>
                <w:szCs w:val="18"/>
              </w:rPr>
            </w:pPr>
            <w:r>
              <w:rPr>
                <w:rFonts w:ascii="宋体" w:hAnsi="宋体" w:eastAsia="宋体" w:cs="宋体"/>
                <w:color w:val="212529"/>
                <w:spacing w:val="-1"/>
                <w:sz w:val="18"/>
                <w:szCs w:val="18"/>
              </w:rPr>
              <w:t>二十七、债务还本支出</w:t>
            </w:r>
          </w:p>
        </w:tc>
        <w:tc>
          <w:tcPr>
            <w:tcW w:w="1228" w:type="dxa"/>
            <w:vAlign w:val="top"/>
          </w:tcPr>
          <w:p w14:paraId="1A7D460E">
            <w:pPr>
              <w:pStyle w:val="6"/>
            </w:pPr>
          </w:p>
        </w:tc>
        <w:tc>
          <w:tcPr>
            <w:tcW w:w="1198" w:type="dxa"/>
            <w:vAlign w:val="top"/>
          </w:tcPr>
          <w:p w14:paraId="74060963">
            <w:pPr>
              <w:pStyle w:val="6"/>
            </w:pPr>
          </w:p>
        </w:tc>
        <w:tc>
          <w:tcPr>
            <w:tcW w:w="816" w:type="dxa"/>
            <w:vAlign w:val="top"/>
          </w:tcPr>
          <w:p w14:paraId="54EB5F8F">
            <w:pPr>
              <w:pStyle w:val="6"/>
            </w:pPr>
          </w:p>
        </w:tc>
      </w:tr>
      <w:tr w14:paraId="539DF9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1D88F51C">
            <w:pPr>
              <w:pStyle w:val="6"/>
            </w:pPr>
          </w:p>
        </w:tc>
        <w:tc>
          <w:tcPr>
            <w:tcW w:w="1213" w:type="dxa"/>
            <w:vAlign w:val="top"/>
          </w:tcPr>
          <w:p w14:paraId="4522A886">
            <w:pPr>
              <w:pStyle w:val="6"/>
            </w:pPr>
          </w:p>
        </w:tc>
        <w:tc>
          <w:tcPr>
            <w:tcW w:w="2081" w:type="dxa"/>
            <w:vAlign w:val="top"/>
          </w:tcPr>
          <w:p w14:paraId="5B3B7551">
            <w:pPr>
              <w:spacing w:before="160" w:line="219" w:lineRule="auto"/>
              <w:ind w:left="2"/>
              <w:rPr>
                <w:rFonts w:ascii="宋体" w:hAnsi="宋体" w:eastAsia="宋体" w:cs="宋体"/>
                <w:sz w:val="18"/>
                <w:szCs w:val="18"/>
              </w:rPr>
            </w:pPr>
            <w:r>
              <w:rPr>
                <w:rFonts w:ascii="宋体" w:hAnsi="宋体" w:eastAsia="宋体" w:cs="宋体"/>
                <w:color w:val="212529"/>
                <w:spacing w:val="-1"/>
                <w:sz w:val="18"/>
                <w:szCs w:val="18"/>
              </w:rPr>
              <w:t>二十八、债务付息支出</w:t>
            </w:r>
          </w:p>
        </w:tc>
        <w:tc>
          <w:tcPr>
            <w:tcW w:w="1228" w:type="dxa"/>
            <w:vAlign w:val="top"/>
          </w:tcPr>
          <w:p w14:paraId="09A3B2D0">
            <w:pPr>
              <w:pStyle w:val="6"/>
            </w:pPr>
          </w:p>
        </w:tc>
        <w:tc>
          <w:tcPr>
            <w:tcW w:w="1198" w:type="dxa"/>
            <w:vAlign w:val="top"/>
          </w:tcPr>
          <w:p w14:paraId="431A59E2">
            <w:pPr>
              <w:pStyle w:val="6"/>
            </w:pPr>
          </w:p>
        </w:tc>
        <w:tc>
          <w:tcPr>
            <w:tcW w:w="816" w:type="dxa"/>
            <w:vAlign w:val="top"/>
          </w:tcPr>
          <w:p w14:paraId="19879907">
            <w:pPr>
              <w:pStyle w:val="6"/>
            </w:pPr>
          </w:p>
        </w:tc>
      </w:tr>
      <w:tr w14:paraId="2B7E67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2E209FE9">
            <w:pPr>
              <w:pStyle w:val="6"/>
            </w:pPr>
          </w:p>
        </w:tc>
        <w:tc>
          <w:tcPr>
            <w:tcW w:w="1213" w:type="dxa"/>
            <w:vAlign w:val="top"/>
          </w:tcPr>
          <w:p w14:paraId="21637F8A">
            <w:pPr>
              <w:pStyle w:val="6"/>
            </w:pPr>
          </w:p>
        </w:tc>
        <w:tc>
          <w:tcPr>
            <w:tcW w:w="2081" w:type="dxa"/>
            <w:vAlign w:val="top"/>
          </w:tcPr>
          <w:p w14:paraId="2D1A0D8A">
            <w:pPr>
              <w:spacing w:before="56" w:line="219" w:lineRule="auto"/>
              <w:ind w:left="14" w:right="93" w:hanging="12"/>
              <w:rPr>
                <w:rFonts w:ascii="宋体" w:hAnsi="宋体" w:eastAsia="宋体" w:cs="宋体"/>
                <w:sz w:val="18"/>
                <w:szCs w:val="18"/>
              </w:rPr>
            </w:pPr>
            <w:r>
              <w:rPr>
                <w:rFonts w:ascii="宋体" w:hAnsi="宋体" w:eastAsia="宋体" w:cs="宋体"/>
                <w:color w:val="212529"/>
                <w:spacing w:val="-1"/>
                <w:sz w:val="18"/>
                <w:szCs w:val="18"/>
              </w:rPr>
              <w:t>二十九、债务发行费用支</w:t>
            </w:r>
            <w:r>
              <w:rPr>
                <w:rFonts w:ascii="宋体" w:hAnsi="宋体" w:eastAsia="宋体" w:cs="宋体"/>
                <w:color w:val="212529"/>
                <w:sz w:val="18"/>
                <w:szCs w:val="18"/>
              </w:rPr>
              <w:t xml:space="preserve"> 出</w:t>
            </w:r>
          </w:p>
        </w:tc>
        <w:tc>
          <w:tcPr>
            <w:tcW w:w="1228" w:type="dxa"/>
            <w:vAlign w:val="top"/>
          </w:tcPr>
          <w:p w14:paraId="2255C7DA">
            <w:pPr>
              <w:pStyle w:val="6"/>
            </w:pPr>
          </w:p>
        </w:tc>
        <w:tc>
          <w:tcPr>
            <w:tcW w:w="1198" w:type="dxa"/>
            <w:vAlign w:val="top"/>
          </w:tcPr>
          <w:p w14:paraId="55B47993">
            <w:pPr>
              <w:pStyle w:val="6"/>
            </w:pPr>
          </w:p>
        </w:tc>
        <w:tc>
          <w:tcPr>
            <w:tcW w:w="816" w:type="dxa"/>
            <w:vAlign w:val="top"/>
          </w:tcPr>
          <w:p w14:paraId="7B0FFE75">
            <w:pPr>
              <w:pStyle w:val="6"/>
            </w:pPr>
          </w:p>
        </w:tc>
      </w:tr>
      <w:tr w14:paraId="31E11A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3DB98294">
            <w:pPr>
              <w:pStyle w:val="6"/>
            </w:pPr>
          </w:p>
        </w:tc>
        <w:tc>
          <w:tcPr>
            <w:tcW w:w="1213" w:type="dxa"/>
            <w:vAlign w:val="top"/>
          </w:tcPr>
          <w:p w14:paraId="083C4C7C">
            <w:pPr>
              <w:pStyle w:val="6"/>
            </w:pPr>
          </w:p>
        </w:tc>
        <w:tc>
          <w:tcPr>
            <w:tcW w:w="2081" w:type="dxa"/>
            <w:vAlign w:val="top"/>
          </w:tcPr>
          <w:p w14:paraId="01D0EB5A">
            <w:pPr>
              <w:spacing w:before="58" w:line="217" w:lineRule="auto"/>
              <w:ind w:left="15" w:right="93" w:hanging="15"/>
              <w:rPr>
                <w:rFonts w:ascii="宋体" w:hAnsi="宋体" w:eastAsia="宋体" w:cs="宋体"/>
                <w:sz w:val="18"/>
                <w:szCs w:val="18"/>
              </w:rPr>
            </w:pPr>
            <w:r>
              <w:rPr>
                <w:rFonts w:ascii="宋体" w:hAnsi="宋体" w:eastAsia="宋体" w:cs="宋体"/>
                <w:color w:val="212529"/>
                <w:spacing w:val="-1"/>
                <w:sz w:val="18"/>
                <w:szCs w:val="18"/>
              </w:rPr>
              <w:t>三十、抗疫特别国债安排</w:t>
            </w:r>
            <w:r>
              <w:rPr>
                <w:rFonts w:ascii="宋体" w:hAnsi="宋体" w:eastAsia="宋体" w:cs="宋体"/>
                <w:color w:val="212529"/>
                <w:spacing w:val="2"/>
                <w:sz w:val="18"/>
                <w:szCs w:val="18"/>
              </w:rPr>
              <w:t xml:space="preserve"> </w:t>
            </w:r>
            <w:r>
              <w:rPr>
                <w:rFonts w:ascii="宋体" w:hAnsi="宋体" w:eastAsia="宋体" w:cs="宋体"/>
                <w:color w:val="212529"/>
                <w:spacing w:val="-5"/>
                <w:sz w:val="18"/>
                <w:szCs w:val="18"/>
              </w:rPr>
              <w:t>的支出</w:t>
            </w:r>
          </w:p>
        </w:tc>
        <w:tc>
          <w:tcPr>
            <w:tcW w:w="1228" w:type="dxa"/>
            <w:vAlign w:val="top"/>
          </w:tcPr>
          <w:p w14:paraId="3199B7D6">
            <w:pPr>
              <w:pStyle w:val="6"/>
            </w:pPr>
          </w:p>
        </w:tc>
        <w:tc>
          <w:tcPr>
            <w:tcW w:w="1198" w:type="dxa"/>
            <w:vAlign w:val="top"/>
          </w:tcPr>
          <w:p w14:paraId="691757B2">
            <w:pPr>
              <w:pStyle w:val="6"/>
            </w:pPr>
          </w:p>
        </w:tc>
        <w:tc>
          <w:tcPr>
            <w:tcW w:w="816" w:type="dxa"/>
            <w:vAlign w:val="top"/>
          </w:tcPr>
          <w:p w14:paraId="394B8328">
            <w:pPr>
              <w:pStyle w:val="6"/>
            </w:pPr>
          </w:p>
        </w:tc>
      </w:tr>
      <w:tr w14:paraId="084510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1F0349D3">
            <w:pPr>
              <w:pStyle w:val="6"/>
            </w:pPr>
          </w:p>
        </w:tc>
        <w:tc>
          <w:tcPr>
            <w:tcW w:w="1213" w:type="dxa"/>
            <w:vAlign w:val="top"/>
          </w:tcPr>
          <w:p w14:paraId="4F997A16">
            <w:pPr>
              <w:pStyle w:val="6"/>
            </w:pPr>
          </w:p>
        </w:tc>
        <w:tc>
          <w:tcPr>
            <w:tcW w:w="2081" w:type="dxa"/>
            <w:vAlign w:val="top"/>
          </w:tcPr>
          <w:p w14:paraId="6868283D">
            <w:pPr>
              <w:pStyle w:val="6"/>
            </w:pPr>
          </w:p>
        </w:tc>
        <w:tc>
          <w:tcPr>
            <w:tcW w:w="1228" w:type="dxa"/>
            <w:vAlign w:val="top"/>
          </w:tcPr>
          <w:p w14:paraId="0D713CE9">
            <w:pPr>
              <w:pStyle w:val="6"/>
            </w:pPr>
          </w:p>
        </w:tc>
        <w:tc>
          <w:tcPr>
            <w:tcW w:w="1198" w:type="dxa"/>
            <w:vAlign w:val="top"/>
          </w:tcPr>
          <w:p w14:paraId="2210FCEB">
            <w:pPr>
              <w:pStyle w:val="6"/>
            </w:pPr>
          </w:p>
        </w:tc>
        <w:tc>
          <w:tcPr>
            <w:tcW w:w="816" w:type="dxa"/>
            <w:vAlign w:val="top"/>
          </w:tcPr>
          <w:p w14:paraId="0AD5836D">
            <w:pPr>
              <w:pStyle w:val="6"/>
            </w:pPr>
          </w:p>
        </w:tc>
      </w:tr>
      <w:tr w14:paraId="35DE70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1C407F53">
            <w:pPr>
              <w:spacing w:before="161" w:line="180" w:lineRule="exact"/>
              <w:ind w:left="7"/>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1213" w:type="dxa"/>
            <w:vAlign w:val="top"/>
          </w:tcPr>
          <w:p w14:paraId="6D580209">
            <w:pPr>
              <w:pStyle w:val="6"/>
              <w:spacing w:before="186" w:line="184" w:lineRule="auto"/>
              <w:ind w:left="551"/>
              <w:rPr>
                <w:sz w:val="15"/>
                <w:szCs w:val="15"/>
              </w:rPr>
            </w:pPr>
            <w:r>
              <w:rPr>
                <w:color w:val="212529"/>
                <w:spacing w:val="2"/>
                <w:sz w:val="15"/>
                <w:szCs w:val="15"/>
              </w:rPr>
              <w:t>1066. 87</w:t>
            </w:r>
          </w:p>
        </w:tc>
        <w:tc>
          <w:tcPr>
            <w:tcW w:w="2081" w:type="dxa"/>
            <w:vAlign w:val="top"/>
          </w:tcPr>
          <w:p w14:paraId="3FBA6F44">
            <w:pPr>
              <w:spacing w:before="161" w:line="178" w:lineRule="exact"/>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1228" w:type="dxa"/>
            <w:vAlign w:val="top"/>
          </w:tcPr>
          <w:p w14:paraId="048EFA7C">
            <w:pPr>
              <w:pStyle w:val="6"/>
              <w:spacing w:before="186" w:line="184" w:lineRule="auto"/>
              <w:ind w:left="570"/>
              <w:rPr>
                <w:sz w:val="15"/>
                <w:szCs w:val="15"/>
              </w:rPr>
            </w:pPr>
            <w:r>
              <w:rPr>
                <w:color w:val="212529"/>
                <w:spacing w:val="2"/>
                <w:sz w:val="15"/>
                <w:szCs w:val="15"/>
              </w:rPr>
              <w:t>1066. 87</w:t>
            </w:r>
          </w:p>
        </w:tc>
        <w:tc>
          <w:tcPr>
            <w:tcW w:w="1198" w:type="dxa"/>
            <w:vAlign w:val="top"/>
          </w:tcPr>
          <w:p w14:paraId="1081B6CB">
            <w:pPr>
              <w:pStyle w:val="6"/>
              <w:spacing w:before="186" w:line="184" w:lineRule="auto"/>
              <w:ind w:left="552"/>
              <w:rPr>
                <w:sz w:val="15"/>
                <w:szCs w:val="15"/>
              </w:rPr>
            </w:pPr>
            <w:r>
              <w:rPr>
                <w:color w:val="212529"/>
                <w:spacing w:val="2"/>
                <w:sz w:val="15"/>
                <w:szCs w:val="15"/>
              </w:rPr>
              <w:t>1066. 87</w:t>
            </w:r>
          </w:p>
        </w:tc>
        <w:tc>
          <w:tcPr>
            <w:tcW w:w="816" w:type="dxa"/>
            <w:vAlign w:val="top"/>
          </w:tcPr>
          <w:p w14:paraId="1C3D3130">
            <w:pPr>
              <w:pStyle w:val="6"/>
            </w:pPr>
          </w:p>
        </w:tc>
      </w:tr>
      <w:tr w14:paraId="7F4EB4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341BBEA7">
            <w:pPr>
              <w:spacing w:before="165" w:line="219" w:lineRule="auto"/>
              <w:ind w:left="193"/>
              <w:rPr>
                <w:rFonts w:ascii="仿宋" w:hAnsi="仿宋" w:eastAsia="仿宋" w:cs="仿宋"/>
                <w:sz w:val="18"/>
                <w:szCs w:val="18"/>
              </w:rPr>
            </w:pPr>
            <w:r>
              <w:rPr>
                <w:rFonts w:ascii="仿宋" w:hAnsi="仿宋" w:eastAsia="仿宋" w:cs="仿宋"/>
                <w:color w:val="212529"/>
                <w:spacing w:val="-3"/>
                <w:sz w:val="18"/>
                <w:szCs w:val="18"/>
              </w:rPr>
              <w:t>上年结转</w:t>
            </w:r>
          </w:p>
        </w:tc>
        <w:tc>
          <w:tcPr>
            <w:tcW w:w="1213" w:type="dxa"/>
            <w:vAlign w:val="top"/>
          </w:tcPr>
          <w:p w14:paraId="29DD93E8">
            <w:pPr>
              <w:pStyle w:val="6"/>
            </w:pPr>
          </w:p>
        </w:tc>
        <w:tc>
          <w:tcPr>
            <w:tcW w:w="2081" w:type="dxa"/>
            <w:vAlign w:val="top"/>
          </w:tcPr>
          <w:p w14:paraId="0D43A158">
            <w:pPr>
              <w:spacing w:before="165" w:line="219" w:lineRule="auto"/>
              <w:ind w:left="188"/>
              <w:rPr>
                <w:rFonts w:ascii="仿宋" w:hAnsi="仿宋" w:eastAsia="仿宋" w:cs="仿宋"/>
                <w:sz w:val="18"/>
                <w:szCs w:val="18"/>
              </w:rPr>
            </w:pPr>
            <w:r>
              <w:rPr>
                <w:rFonts w:ascii="仿宋" w:hAnsi="仿宋" w:eastAsia="仿宋" w:cs="仿宋"/>
                <w:color w:val="212529"/>
                <w:spacing w:val="-3"/>
                <w:sz w:val="18"/>
                <w:szCs w:val="18"/>
              </w:rPr>
              <w:t>年终结转</w:t>
            </w:r>
          </w:p>
        </w:tc>
        <w:tc>
          <w:tcPr>
            <w:tcW w:w="1228" w:type="dxa"/>
            <w:vAlign w:val="top"/>
          </w:tcPr>
          <w:p w14:paraId="2DA0FCBC">
            <w:pPr>
              <w:pStyle w:val="6"/>
            </w:pPr>
          </w:p>
        </w:tc>
        <w:tc>
          <w:tcPr>
            <w:tcW w:w="1198" w:type="dxa"/>
            <w:vAlign w:val="top"/>
          </w:tcPr>
          <w:p w14:paraId="2EEAFB5A">
            <w:pPr>
              <w:pStyle w:val="6"/>
            </w:pPr>
          </w:p>
        </w:tc>
        <w:tc>
          <w:tcPr>
            <w:tcW w:w="816" w:type="dxa"/>
            <w:vAlign w:val="top"/>
          </w:tcPr>
          <w:p w14:paraId="4C97CF57">
            <w:pPr>
              <w:pStyle w:val="6"/>
            </w:pPr>
          </w:p>
        </w:tc>
      </w:tr>
      <w:tr w14:paraId="74A2CF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2014" w:type="dxa"/>
            <w:vAlign w:val="top"/>
          </w:tcPr>
          <w:p w14:paraId="26E2E61D">
            <w:pPr>
              <w:spacing w:before="164" w:line="179" w:lineRule="exact"/>
              <w:ind w:left="1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收入总计</w:t>
            </w:r>
          </w:p>
        </w:tc>
        <w:tc>
          <w:tcPr>
            <w:tcW w:w="1213" w:type="dxa"/>
            <w:vAlign w:val="top"/>
          </w:tcPr>
          <w:p w14:paraId="57645232">
            <w:pPr>
              <w:pStyle w:val="6"/>
              <w:spacing w:before="188" w:line="172" w:lineRule="auto"/>
              <w:ind w:left="551"/>
              <w:rPr>
                <w:sz w:val="16"/>
                <w:szCs w:val="16"/>
              </w:rPr>
            </w:pPr>
            <w:r>
              <w:rPr>
                <w:color w:val="212529"/>
                <w:spacing w:val="4"/>
                <w:sz w:val="16"/>
                <w:szCs w:val="16"/>
              </w:rPr>
              <w:t>1066.87</w:t>
            </w:r>
          </w:p>
        </w:tc>
        <w:tc>
          <w:tcPr>
            <w:tcW w:w="2081" w:type="dxa"/>
            <w:vAlign w:val="top"/>
          </w:tcPr>
          <w:p w14:paraId="1297DEFA">
            <w:pPr>
              <w:spacing w:before="164" w:line="176" w:lineRule="exact"/>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支出总计</w:t>
            </w:r>
          </w:p>
        </w:tc>
        <w:tc>
          <w:tcPr>
            <w:tcW w:w="1228" w:type="dxa"/>
            <w:vAlign w:val="top"/>
          </w:tcPr>
          <w:p w14:paraId="34449D6A">
            <w:pPr>
              <w:pStyle w:val="6"/>
              <w:spacing w:before="188" w:line="184" w:lineRule="auto"/>
              <w:ind w:left="570"/>
              <w:rPr>
                <w:sz w:val="15"/>
                <w:szCs w:val="15"/>
              </w:rPr>
            </w:pPr>
            <w:r>
              <w:rPr>
                <w:color w:val="212529"/>
                <w:spacing w:val="1"/>
                <w:sz w:val="15"/>
                <w:szCs w:val="15"/>
              </w:rPr>
              <w:t>1066.</w:t>
            </w:r>
            <w:r>
              <w:rPr>
                <w:color w:val="212529"/>
                <w:spacing w:val="14"/>
                <w:w w:val="101"/>
                <w:sz w:val="15"/>
                <w:szCs w:val="15"/>
              </w:rPr>
              <w:t xml:space="preserve"> </w:t>
            </w:r>
            <w:r>
              <w:rPr>
                <w:color w:val="212529"/>
                <w:spacing w:val="1"/>
                <w:sz w:val="15"/>
                <w:szCs w:val="15"/>
              </w:rPr>
              <w:t>87</w:t>
            </w:r>
          </w:p>
        </w:tc>
        <w:tc>
          <w:tcPr>
            <w:tcW w:w="1198" w:type="dxa"/>
            <w:vAlign w:val="top"/>
          </w:tcPr>
          <w:p w14:paraId="025E99F0">
            <w:pPr>
              <w:pStyle w:val="6"/>
              <w:spacing w:before="188" w:line="184" w:lineRule="auto"/>
              <w:ind w:left="552"/>
              <w:rPr>
                <w:sz w:val="15"/>
                <w:szCs w:val="15"/>
              </w:rPr>
            </w:pPr>
            <w:r>
              <w:rPr>
                <w:color w:val="212529"/>
                <w:spacing w:val="2"/>
                <w:sz w:val="15"/>
                <w:szCs w:val="15"/>
              </w:rPr>
              <w:t>1066. 87</w:t>
            </w:r>
          </w:p>
        </w:tc>
        <w:tc>
          <w:tcPr>
            <w:tcW w:w="816" w:type="dxa"/>
            <w:vAlign w:val="top"/>
          </w:tcPr>
          <w:p w14:paraId="009C408C">
            <w:pPr>
              <w:pStyle w:val="6"/>
            </w:pPr>
          </w:p>
        </w:tc>
      </w:tr>
    </w:tbl>
    <w:p w14:paraId="41213E18">
      <w:pPr>
        <w:pStyle w:val="2"/>
      </w:pPr>
    </w:p>
    <w:p w14:paraId="682FE8AA">
      <w:pPr>
        <w:sectPr>
          <w:headerReference r:id="rId12" w:type="default"/>
          <w:footerReference r:id="rId13" w:type="default"/>
          <w:pgSz w:w="11900" w:h="16840"/>
          <w:pgMar w:top="611" w:right="0" w:bottom="312" w:left="0" w:header="357" w:footer="153" w:gutter="0"/>
          <w:cols w:space="720" w:num="1"/>
        </w:sectPr>
      </w:pPr>
    </w:p>
    <w:p w14:paraId="3376F57C">
      <w:pPr>
        <w:spacing w:before="9"/>
      </w:pPr>
    </w:p>
    <w:p w14:paraId="70D88D48">
      <w:pPr>
        <w:spacing w:before="8"/>
      </w:pPr>
    </w:p>
    <w:p w14:paraId="1E2BC677">
      <w:pPr>
        <w:spacing w:before="8"/>
      </w:pPr>
    </w:p>
    <w:tbl>
      <w:tblPr>
        <w:tblStyle w:val="5"/>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31"/>
        <w:gridCol w:w="2982"/>
        <w:gridCol w:w="1468"/>
        <w:gridCol w:w="1274"/>
        <w:gridCol w:w="1318"/>
        <w:gridCol w:w="1513"/>
        <w:gridCol w:w="1498"/>
        <w:gridCol w:w="959"/>
        <w:gridCol w:w="1026"/>
      </w:tblGrid>
      <w:tr w14:paraId="65DFFC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1431" w:type="dxa"/>
            <w:tcBorders>
              <w:top w:val="single" w:color="FFFFFF" w:sz="6" w:space="0"/>
              <w:left w:val="single" w:color="FFFFFF" w:sz="2" w:space="0"/>
              <w:bottom w:val="single" w:color="FFFFFF" w:sz="6" w:space="0"/>
              <w:right w:val="single" w:color="FFFFFF" w:sz="2" w:space="0"/>
            </w:tcBorders>
            <w:vAlign w:val="top"/>
          </w:tcPr>
          <w:p w14:paraId="2750AFF8">
            <w:pPr>
              <w:pStyle w:val="6"/>
            </w:pPr>
          </w:p>
        </w:tc>
        <w:tc>
          <w:tcPr>
            <w:tcW w:w="2982" w:type="dxa"/>
            <w:tcBorders>
              <w:top w:val="single" w:color="FFFFFF" w:sz="6" w:space="0"/>
              <w:left w:val="single" w:color="FFFFFF" w:sz="2" w:space="0"/>
              <w:bottom w:val="single" w:color="FFFFFF" w:sz="6" w:space="0"/>
              <w:right w:val="single" w:color="FFFFFF" w:sz="2" w:space="0"/>
            </w:tcBorders>
            <w:vAlign w:val="top"/>
          </w:tcPr>
          <w:p w14:paraId="5DC73474">
            <w:pPr>
              <w:pStyle w:val="6"/>
            </w:pPr>
          </w:p>
        </w:tc>
        <w:tc>
          <w:tcPr>
            <w:tcW w:w="1468" w:type="dxa"/>
            <w:tcBorders>
              <w:top w:val="single" w:color="FFFFFF" w:sz="6" w:space="0"/>
              <w:left w:val="single" w:color="FFFFFF" w:sz="2" w:space="0"/>
              <w:bottom w:val="single" w:color="FFFFFF" w:sz="6" w:space="0"/>
              <w:right w:val="single" w:color="FFFFFF" w:sz="2" w:space="0"/>
            </w:tcBorders>
            <w:vAlign w:val="top"/>
          </w:tcPr>
          <w:p w14:paraId="04C50B5F">
            <w:pPr>
              <w:pStyle w:val="6"/>
            </w:pPr>
          </w:p>
        </w:tc>
        <w:tc>
          <w:tcPr>
            <w:tcW w:w="1274" w:type="dxa"/>
            <w:tcBorders>
              <w:top w:val="single" w:color="FFFFFF" w:sz="6" w:space="0"/>
              <w:left w:val="single" w:color="FFFFFF" w:sz="2" w:space="0"/>
              <w:bottom w:val="single" w:color="FFFFFF" w:sz="6" w:space="0"/>
              <w:right w:val="single" w:color="FFFFFF" w:sz="2" w:space="0"/>
            </w:tcBorders>
            <w:vAlign w:val="top"/>
          </w:tcPr>
          <w:p w14:paraId="61F6D6BC">
            <w:pPr>
              <w:pStyle w:val="6"/>
            </w:pPr>
          </w:p>
        </w:tc>
        <w:tc>
          <w:tcPr>
            <w:tcW w:w="1318" w:type="dxa"/>
            <w:tcBorders>
              <w:top w:val="single" w:color="FFFFFF" w:sz="6" w:space="0"/>
              <w:left w:val="single" w:color="FFFFFF" w:sz="2" w:space="0"/>
              <w:bottom w:val="single" w:color="FFFFFF" w:sz="6" w:space="0"/>
              <w:right w:val="single" w:color="FFFFFF" w:sz="2" w:space="0"/>
            </w:tcBorders>
            <w:vAlign w:val="top"/>
          </w:tcPr>
          <w:p w14:paraId="1E07AD52">
            <w:pPr>
              <w:pStyle w:val="6"/>
            </w:pPr>
          </w:p>
        </w:tc>
        <w:tc>
          <w:tcPr>
            <w:tcW w:w="1513" w:type="dxa"/>
            <w:tcBorders>
              <w:top w:val="single" w:color="FFFFFF" w:sz="6" w:space="0"/>
              <w:left w:val="single" w:color="FFFFFF" w:sz="2" w:space="0"/>
              <w:bottom w:val="single" w:color="FFFFFF" w:sz="6" w:space="0"/>
              <w:right w:val="single" w:color="FFFFFF" w:sz="2" w:space="0"/>
            </w:tcBorders>
            <w:vAlign w:val="top"/>
          </w:tcPr>
          <w:p w14:paraId="03E1E387">
            <w:pPr>
              <w:pStyle w:val="6"/>
            </w:pPr>
          </w:p>
        </w:tc>
        <w:tc>
          <w:tcPr>
            <w:tcW w:w="1498" w:type="dxa"/>
            <w:tcBorders>
              <w:top w:val="single" w:color="FFFFFF" w:sz="6" w:space="0"/>
              <w:left w:val="single" w:color="FFFFFF" w:sz="2" w:space="0"/>
              <w:bottom w:val="single" w:color="FFFFFF" w:sz="6" w:space="0"/>
              <w:right w:val="single" w:color="FFFFFF" w:sz="2" w:space="0"/>
            </w:tcBorders>
            <w:vAlign w:val="top"/>
          </w:tcPr>
          <w:p w14:paraId="70793D69">
            <w:pPr>
              <w:pStyle w:val="6"/>
            </w:pPr>
          </w:p>
        </w:tc>
        <w:tc>
          <w:tcPr>
            <w:tcW w:w="1985" w:type="dxa"/>
            <w:gridSpan w:val="2"/>
            <w:tcBorders>
              <w:top w:val="single" w:color="FFFFFF" w:sz="6" w:space="0"/>
              <w:left w:val="single" w:color="FFFFFF" w:sz="2" w:space="0"/>
              <w:bottom w:val="single" w:color="FFFFFF" w:sz="6" w:space="0"/>
              <w:right w:val="single" w:color="FFFFFF" w:sz="2" w:space="0"/>
            </w:tcBorders>
            <w:vAlign w:val="top"/>
          </w:tcPr>
          <w:p w14:paraId="6A932719">
            <w:pPr>
              <w:spacing w:before="130" w:line="219" w:lineRule="auto"/>
              <w:ind w:left="963"/>
              <w:rPr>
                <w:rFonts w:ascii="宋体" w:hAnsi="宋体" w:eastAsia="宋体" w:cs="宋体"/>
                <w:sz w:val="18"/>
                <w:szCs w:val="18"/>
              </w:rPr>
            </w:pPr>
            <w:r>
              <w:rPr>
                <w:rFonts w:ascii="宋体" w:hAnsi="宋体" w:eastAsia="宋体" w:cs="宋体"/>
                <w:color w:val="212529"/>
                <w:spacing w:val="-2"/>
                <w:sz w:val="18"/>
                <w:szCs w:val="18"/>
              </w:rPr>
              <w:t>预算公开表2</w:t>
            </w:r>
          </w:p>
        </w:tc>
      </w:tr>
      <w:tr w14:paraId="2CAB8E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3469" w:type="dxa"/>
            <w:gridSpan w:val="9"/>
            <w:tcBorders>
              <w:top w:val="single" w:color="FFFFFF" w:sz="6" w:space="0"/>
              <w:left w:val="single" w:color="FFFFFF" w:sz="6" w:space="0"/>
              <w:bottom w:val="single" w:color="FFFFFF" w:sz="6" w:space="0"/>
              <w:right w:val="single" w:color="FFFFFF" w:sz="6" w:space="0"/>
            </w:tcBorders>
            <w:vAlign w:val="top"/>
          </w:tcPr>
          <w:p w14:paraId="446A08A3">
            <w:pPr>
              <w:spacing w:before="97" w:line="239" w:lineRule="exact"/>
              <w:ind w:left="5644"/>
              <w:outlineLvl w:val="1"/>
              <w:rPr>
                <w:rFonts w:ascii="微软雅黑" w:hAnsi="微软雅黑" w:eastAsia="微软雅黑" w:cs="微软雅黑"/>
                <w:sz w:val="23"/>
                <w:szCs w:val="23"/>
              </w:rPr>
            </w:pPr>
            <w:bookmarkStart w:id="42" w:name="bookmark7"/>
            <w:bookmarkEnd w:id="42"/>
            <w:r>
              <w:rPr>
                <w:rFonts w:ascii="微软雅黑" w:hAnsi="微软雅黑" w:eastAsia="微软雅黑" w:cs="微软雅黑"/>
                <w:color w:val="212529"/>
                <w:position w:val="-1"/>
                <w:sz w:val="23"/>
                <w:szCs w:val="23"/>
              </w:rPr>
              <w:t>2025年预算收入总表</w:t>
            </w:r>
          </w:p>
        </w:tc>
      </w:tr>
      <w:tr w14:paraId="07DC7E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413" w:type="dxa"/>
            <w:gridSpan w:val="2"/>
            <w:tcBorders>
              <w:top w:val="single" w:color="FFFFFF" w:sz="6" w:space="0"/>
              <w:left w:val="single" w:color="FFFFFF" w:sz="2" w:space="0"/>
              <w:right w:val="single" w:color="FFFFFF" w:sz="2" w:space="0"/>
            </w:tcBorders>
            <w:vAlign w:val="top"/>
          </w:tcPr>
          <w:p w14:paraId="294D830C">
            <w:pPr>
              <w:spacing w:before="124" w:line="219" w:lineRule="auto"/>
              <w:ind w:left="14"/>
              <w:rPr>
                <w:rFonts w:ascii="宋体" w:hAnsi="宋体" w:eastAsia="宋体" w:cs="宋体"/>
                <w:sz w:val="18"/>
                <w:szCs w:val="18"/>
              </w:rPr>
            </w:pPr>
            <w:r>
              <w:rPr>
                <w:rFonts w:ascii="宋体" w:hAnsi="宋体" w:eastAsia="宋体" w:cs="宋体"/>
                <w:color w:val="212529"/>
                <w:spacing w:val="-1"/>
                <w:sz w:val="18"/>
                <w:szCs w:val="18"/>
              </w:rPr>
              <w:t>部门名称：长治高新区漳泽工业园事业服务中心</w:t>
            </w:r>
          </w:p>
        </w:tc>
        <w:tc>
          <w:tcPr>
            <w:tcW w:w="1468" w:type="dxa"/>
            <w:tcBorders>
              <w:top w:val="single" w:color="FFFFFF" w:sz="6" w:space="0"/>
              <w:left w:val="single" w:color="FFFFFF" w:sz="2" w:space="0"/>
              <w:right w:val="single" w:color="FFFFFF" w:sz="2" w:space="0"/>
            </w:tcBorders>
            <w:vAlign w:val="top"/>
          </w:tcPr>
          <w:p w14:paraId="4B0F8EDA">
            <w:pPr>
              <w:pStyle w:val="6"/>
            </w:pPr>
          </w:p>
        </w:tc>
        <w:tc>
          <w:tcPr>
            <w:tcW w:w="1274" w:type="dxa"/>
            <w:tcBorders>
              <w:top w:val="single" w:color="FFFFFF" w:sz="6" w:space="0"/>
              <w:left w:val="single" w:color="FFFFFF" w:sz="2" w:space="0"/>
              <w:right w:val="single" w:color="FFFFFF" w:sz="2" w:space="0"/>
            </w:tcBorders>
            <w:vAlign w:val="top"/>
          </w:tcPr>
          <w:p w14:paraId="761A3EC5">
            <w:pPr>
              <w:pStyle w:val="6"/>
            </w:pPr>
          </w:p>
        </w:tc>
        <w:tc>
          <w:tcPr>
            <w:tcW w:w="1318" w:type="dxa"/>
            <w:tcBorders>
              <w:top w:val="single" w:color="FFFFFF" w:sz="6" w:space="0"/>
              <w:left w:val="single" w:color="FFFFFF" w:sz="2" w:space="0"/>
              <w:right w:val="single" w:color="FFFFFF" w:sz="2" w:space="0"/>
            </w:tcBorders>
            <w:vAlign w:val="top"/>
          </w:tcPr>
          <w:p w14:paraId="50F60604">
            <w:pPr>
              <w:pStyle w:val="6"/>
            </w:pPr>
          </w:p>
        </w:tc>
        <w:tc>
          <w:tcPr>
            <w:tcW w:w="1513" w:type="dxa"/>
            <w:tcBorders>
              <w:top w:val="single" w:color="FFFFFF" w:sz="6" w:space="0"/>
              <w:left w:val="single" w:color="FFFFFF" w:sz="2" w:space="0"/>
              <w:right w:val="single" w:color="FFFFFF" w:sz="2" w:space="0"/>
            </w:tcBorders>
            <w:vAlign w:val="top"/>
          </w:tcPr>
          <w:p w14:paraId="6F8873BE">
            <w:pPr>
              <w:pStyle w:val="6"/>
            </w:pPr>
          </w:p>
        </w:tc>
        <w:tc>
          <w:tcPr>
            <w:tcW w:w="1498" w:type="dxa"/>
            <w:tcBorders>
              <w:top w:val="single" w:color="FFFFFF" w:sz="6" w:space="0"/>
              <w:left w:val="single" w:color="FFFFFF" w:sz="2" w:space="0"/>
              <w:right w:val="single" w:color="FFFFFF" w:sz="2" w:space="0"/>
            </w:tcBorders>
            <w:vAlign w:val="top"/>
          </w:tcPr>
          <w:p w14:paraId="06D7543A">
            <w:pPr>
              <w:pStyle w:val="6"/>
            </w:pPr>
          </w:p>
        </w:tc>
        <w:tc>
          <w:tcPr>
            <w:tcW w:w="1985" w:type="dxa"/>
            <w:gridSpan w:val="2"/>
            <w:tcBorders>
              <w:top w:val="single" w:color="FFFFFF" w:sz="6" w:space="0"/>
              <w:left w:val="single" w:color="FFFFFF" w:sz="2" w:space="0"/>
              <w:right w:val="single" w:color="FFFFFF" w:sz="2" w:space="0"/>
            </w:tcBorders>
            <w:vAlign w:val="top"/>
          </w:tcPr>
          <w:p w14:paraId="13BB3F71">
            <w:pPr>
              <w:spacing w:before="125" w:line="219" w:lineRule="auto"/>
              <w:ind w:left="1054"/>
              <w:rPr>
                <w:rFonts w:ascii="宋体" w:hAnsi="宋体" w:eastAsia="宋体" w:cs="宋体"/>
                <w:sz w:val="18"/>
                <w:szCs w:val="18"/>
              </w:rPr>
            </w:pPr>
            <w:r>
              <w:rPr>
                <w:rFonts w:ascii="宋体" w:hAnsi="宋体" w:eastAsia="宋体" w:cs="宋体"/>
                <w:color w:val="212529"/>
                <w:spacing w:val="-2"/>
                <w:sz w:val="18"/>
                <w:szCs w:val="18"/>
              </w:rPr>
              <w:t>单位：万元</w:t>
            </w:r>
          </w:p>
        </w:tc>
      </w:tr>
      <w:tr w14:paraId="79FA86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413" w:type="dxa"/>
            <w:gridSpan w:val="2"/>
            <w:vAlign w:val="top"/>
          </w:tcPr>
          <w:p w14:paraId="65A42613">
            <w:pPr>
              <w:spacing w:before="126" w:line="175" w:lineRule="exact"/>
              <w:ind w:left="2008"/>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8030" w:type="dxa"/>
            <w:gridSpan w:val="6"/>
            <w:vAlign w:val="top"/>
          </w:tcPr>
          <w:p w14:paraId="6C46A772">
            <w:pPr>
              <w:spacing w:before="122" w:line="180" w:lineRule="exact"/>
              <w:ind w:left="3647"/>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本年收入</w:t>
            </w:r>
          </w:p>
        </w:tc>
        <w:tc>
          <w:tcPr>
            <w:tcW w:w="1026" w:type="dxa"/>
            <w:vMerge w:val="restart"/>
            <w:tcBorders>
              <w:bottom w:val="nil"/>
            </w:tcBorders>
            <w:vAlign w:val="top"/>
          </w:tcPr>
          <w:p w14:paraId="4384F3E2">
            <w:pPr>
              <w:pStyle w:val="6"/>
              <w:spacing w:line="273" w:lineRule="auto"/>
            </w:pPr>
          </w:p>
          <w:p w14:paraId="5B053FC6">
            <w:pPr>
              <w:spacing w:before="73" w:line="178" w:lineRule="exact"/>
              <w:ind w:left="140"/>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上年结转</w:t>
            </w:r>
          </w:p>
        </w:tc>
      </w:tr>
      <w:tr w14:paraId="785F9C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0F3D861D">
            <w:pPr>
              <w:spacing w:before="124" w:line="178" w:lineRule="exact"/>
              <w:ind w:left="333"/>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科目编码</w:t>
            </w:r>
          </w:p>
        </w:tc>
        <w:tc>
          <w:tcPr>
            <w:tcW w:w="2982" w:type="dxa"/>
            <w:vAlign w:val="top"/>
          </w:tcPr>
          <w:p w14:paraId="4143B1F1">
            <w:pPr>
              <w:spacing w:before="124" w:line="178" w:lineRule="exact"/>
              <w:ind w:left="1109"/>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科目名称</w:t>
            </w:r>
          </w:p>
        </w:tc>
        <w:tc>
          <w:tcPr>
            <w:tcW w:w="1468" w:type="dxa"/>
            <w:vAlign w:val="top"/>
          </w:tcPr>
          <w:p w14:paraId="6BBA5EE4">
            <w:pPr>
              <w:spacing w:before="125" w:line="175" w:lineRule="exact"/>
              <w:ind w:left="54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274" w:type="dxa"/>
            <w:vAlign w:val="top"/>
          </w:tcPr>
          <w:p w14:paraId="6C4BF95A">
            <w:pPr>
              <w:spacing w:before="123" w:line="180" w:lineRule="exact"/>
              <w:ind w:left="82"/>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一般公共预算</w:t>
            </w:r>
          </w:p>
        </w:tc>
        <w:tc>
          <w:tcPr>
            <w:tcW w:w="1318" w:type="dxa"/>
            <w:vAlign w:val="top"/>
          </w:tcPr>
          <w:p w14:paraId="11BD1439">
            <w:pPr>
              <w:spacing w:before="124" w:line="178" w:lineRule="exact"/>
              <w:ind w:left="195"/>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政府性基金</w:t>
            </w:r>
          </w:p>
        </w:tc>
        <w:tc>
          <w:tcPr>
            <w:tcW w:w="1513" w:type="dxa"/>
            <w:vAlign w:val="top"/>
          </w:tcPr>
          <w:p w14:paraId="36530757">
            <w:pPr>
              <w:spacing w:before="123" w:line="180" w:lineRule="exact"/>
              <w:ind w:left="38"/>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国有资本经营预算</w:t>
            </w:r>
          </w:p>
        </w:tc>
        <w:tc>
          <w:tcPr>
            <w:tcW w:w="1498" w:type="dxa"/>
            <w:vAlign w:val="top"/>
          </w:tcPr>
          <w:p w14:paraId="69C89B35">
            <w:pPr>
              <w:spacing w:before="123" w:line="178" w:lineRule="exact"/>
              <w:ind w:left="12"/>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财政专户管理资金</w:t>
            </w:r>
          </w:p>
        </w:tc>
        <w:tc>
          <w:tcPr>
            <w:tcW w:w="959" w:type="dxa"/>
            <w:vAlign w:val="top"/>
          </w:tcPr>
          <w:p w14:paraId="05F0C4DD">
            <w:pPr>
              <w:spacing w:before="123" w:line="179" w:lineRule="exact"/>
              <w:ind w:left="106"/>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单位资金</w:t>
            </w:r>
          </w:p>
        </w:tc>
        <w:tc>
          <w:tcPr>
            <w:tcW w:w="1026" w:type="dxa"/>
            <w:vMerge w:val="continue"/>
            <w:tcBorders>
              <w:top w:val="nil"/>
            </w:tcBorders>
            <w:vAlign w:val="top"/>
          </w:tcPr>
          <w:p w14:paraId="26C100A5">
            <w:pPr>
              <w:pStyle w:val="6"/>
            </w:pPr>
          </w:p>
        </w:tc>
      </w:tr>
      <w:tr w14:paraId="305B43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413" w:type="dxa"/>
            <w:gridSpan w:val="2"/>
            <w:vAlign w:val="top"/>
          </w:tcPr>
          <w:p w14:paraId="3F12D485">
            <w:pPr>
              <w:spacing w:before="126" w:line="175" w:lineRule="exact"/>
              <w:ind w:left="201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468" w:type="dxa"/>
            <w:vAlign w:val="top"/>
          </w:tcPr>
          <w:p w14:paraId="3A1DC06E">
            <w:pPr>
              <w:pStyle w:val="6"/>
              <w:spacing w:before="149" w:line="184" w:lineRule="auto"/>
              <w:ind w:left="818"/>
              <w:rPr>
                <w:sz w:val="15"/>
                <w:szCs w:val="15"/>
              </w:rPr>
            </w:pPr>
            <w:r>
              <w:rPr>
                <w:color w:val="212529"/>
                <w:spacing w:val="1"/>
                <w:sz w:val="15"/>
                <w:szCs w:val="15"/>
              </w:rPr>
              <w:t>1066.</w:t>
            </w:r>
            <w:r>
              <w:rPr>
                <w:color w:val="212529"/>
                <w:spacing w:val="14"/>
                <w:w w:val="101"/>
                <w:sz w:val="15"/>
                <w:szCs w:val="15"/>
              </w:rPr>
              <w:t xml:space="preserve"> </w:t>
            </w:r>
            <w:r>
              <w:rPr>
                <w:color w:val="212529"/>
                <w:spacing w:val="1"/>
                <w:sz w:val="15"/>
                <w:szCs w:val="15"/>
              </w:rPr>
              <w:t>87</w:t>
            </w:r>
          </w:p>
        </w:tc>
        <w:tc>
          <w:tcPr>
            <w:tcW w:w="1274" w:type="dxa"/>
            <w:vAlign w:val="top"/>
          </w:tcPr>
          <w:p w14:paraId="4164A42D">
            <w:pPr>
              <w:pStyle w:val="6"/>
              <w:spacing w:before="149" w:line="183" w:lineRule="auto"/>
              <w:ind w:left="703"/>
              <w:rPr>
                <w:sz w:val="15"/>
                <w:szCs w:val="15"/>
              </w:rPr>
            </w:pPr>
            <w:r>
              <w:rPr>
                <w:color w:val="212529"/>
                <w:spacing w:val="1"/>
                <w:sz w:val="15"/>
                <w:szCs w:val="15"/>
              </w:rPr>
              <w:t>789.</w:t>
            </w:r>
            <w:r>
              <w:rPr>
                <w:color w:val="212529"/>
                <w:spacing w:val="18"/>
                <w:sz w:val="15"/>
                <w:szCs w:val="15"/>
              </w:rPr>
              <w:t xml:space="preserve"> </w:t>
            </w:r>
            <w:r>
              <w:rPr>
                <w:color w:val="212529"/>
                <w:spacing w:val="1"/>
                <w:sz w:val="15"/>
                <w:szCs w:val="15"/>
              </w:rPr>
              <w:t>73</w:t>
            </w:r>
          </w:p>
        </w:tc>
        <w:tc>
          <w:tcPr>
            <w:tcW w:w="1318" w:type="dxa"/>
            <w:vAlign w:val="top"/>
          </w:tcPr>
          <w:p w14:paraId="16F4633E">
            <w:pPr>
              <w:pStyle w:val="6"/>
              <w:spacing w:before="149" w:line="184" w:lineRule="auto"/>
              <w:ind w:left="745"/>
              <w:rPr>
                <w:sz w:val="15"/>
                <w:szCs w:val="15"/>
              </w:rPr>
            </w:pPr>
            <w:r>
              <w:rPr>
                <w:color w:val="212529"/>
                <w:spacing w:val="3"/>
                <w:sz w:val="15"/>
                <w:szCs w:val="15"/>
              </w:rPr>
              <w:t>277.</w:t>
            </w:r>
            <w:r>
              <w:rPr>
                <w:color w:val="212529"/>
                <w:spacing w:val="12"/>
                <w:w w:val="101"/>
                <w:sz w:val="15"/>
                <w:szCs w:val="15"/>
              </w:rPr>
              <w:t xml:space="preserve"> </w:t>
            </w:r>
            <w:r>
              <w:rPr>
                <w:color w:val="212529"/>
                <w:spacing w:val="3"/>
                <w:sz w:val="15"/>
                <w:szCs w:val="15"/>
              </w:rPr>
              <w:t>14</w:t>
            </w:r>
          </w:p>
        </w:tc>
        <w:tc>
          <w:tcPr>
            <w:tcW w:w="1513" w:type="dxa"/>
            <w:vAlign w:val="top"/>
          </w:tcPr>
          <w:p w14:paraId="64803F25">
            <w:pPr>
              <w:pStyle w:val="6"/>
            </w:pPr>
          </w:p>
        </w:tc>
        <w:tc>
          <w:tcPr>
            <w:tcW w:w="1498" w:type="dxa"/>
            <w:vAlign w:val="top"/>
          </w:tcPr>
          <w:p w14:paraId="170B47FA">
            <w:pPr>
              <w:pStyle w:val="6"/>
            </w:pPr>
          </w:p>
        </w:tc>
        <w:tc>
          <w:tcPr>
            <w:tcW w:w="959" w:type="dxa"/>
            <w:vAlign w:val="top"/>
          </w:tcPr>
          <w:p w14:paraId="4B54AC80">
            <w:pPr>
              <w:pStyle w:val="6"/>
            </w:pPr>
          </w:p>
        </w:tc>
        <w:tc>
          <w:tcPr>
            <w:tcW w:w="1026" w:type="dxa"/>
            <w:vAlign w:val="top"/>
          </w:tcPr>
          <w:p w14:paraId="4B4A1DCA">
            <w:pPr>
              <w:pStyle w:val="6"/>
            </w:pPr>
          </w:p>
        </w:tc>
      </w:tr>
      <w:tr w14:paraId="6902FB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40C0AC6F">
            <w:pPr>
              <w:spacing w:before="155" w:line="184" w:lineRule="auto"/>
              <w:ind w:left="9"/>
              <w:rPr>
                <w:rFonts w:ascii="宋体" w:hAnsi="宋体" w:eastAsia="宋体" w:cs="宋体"/>
                <w:sz w:val="18"/>
                <w:szCs w:val="18"/>
              </w:rPr>
            </w:pPr>
            <w:r>
              <w:rPr>
                <w:rFonts w:ascii="宋体" w:hAnsi="宋体" w:eastAsia="宋体" w:cs="宋体"/>
                <w:color w:val="212529"/>
                <w:spacing w:val="-3"/>
                <w:sz w:val="18"/>
                <w:szCs w:val="18"/>
              </w:rPr>
              <w:t>201</w:t>
            </w:r>
          </w:p>
        </w:tc>
        <w:tc>
          <w:tcPr>
            <w:tcW w:w="2982" w:type="dxa"/>
            <w:vAlign w:val="top"/>
          </w:tcPr>
          <w:p w14:paraId="47186E04">
            <w:pPr>
              <w:spacing w:before="128" w:line="219" w:lineRule="auto"/>
              <w:ind w:left="4"/>
              <w:rPr>
                <w:rFonts w:ascii="宋体" w:hAnsi="宋体" w:eastAsia="宋体" w:cs="宋体"/>
                <w:sz w:val="18"/>
                <w:szCs w:val="18"/>
              </w:rPr>
            </w:pPr>
            <w:r>
              <w:rPr>
                <w:rFonts w:ascii="宋体" w:hAnsi="宋体" w:eastAsia="宋体" w:cs="宋体"/>
                <w:color w:val="212529"/>
                <w:spacing w:val="-2"/>
                <w:sz w:val="18"/>
                <w:szCs w:val="18"/>
              </w:rPr>
              <w:t>一般公共服务支出</w:t>
            </w:r>
          </w:p>
        </w:tc>
        <w:tc>
          <w:tcPr>
            <w:tcW w:w="1468" w:type="dxa"/>
            <w:vAlign w:val="top"/>
          </w:tcPr>
          <w:p w14:paraId="7F735B3F">
            <w:pPr>
              <w:spacing w:before="156" w:line="183" w:lineRule="auto"/>
              <w:ind w:right="23"/>
              <w:jc w:val="right"/>
              <w:rPr>
                <w:rFonts w:ascii="宋体" w:hAnsi="宋体" w:eastAsia="宋体" w:cs="宋体"/>
                <w:sz w:val="18"/>
                <w:szCs w:val="18"/>
              </w:rPr>
            </w:pPr>
            <w:r>
              <w:rPr>
                <w:rFonts w:ascii="宋体" w:hAnsi="宋体" w:eastAsia="宋体" w:cs="宋体"/>
                <w:color w:val="212529"/>
                <w:spacing w:val="-2"/>
                <w:sz w:val="18"/>
                <w:szCs w:val="18"/>
              </w:rPr>
              <w:t>789.73</w:t>
            </w:r>
          </w:p>
        </w:tc>
        <w:tc>
          <w:tcPr>
            <w:tcW w:w="1274" w:type="dxa"/>
            <w:vAlign w:val="top"/>
          </w:tcPr>
          <w:p w14:paraId="4235C6E2">
            <w:pPr>
              <w:spacing w:before="156" w:line="183" w:lineRule="auto"/>
              <w:ind w:right="24"/>
              <w:jc w:val="right"/>
              <w:rPr>
                <w:rFonts w:ascii="宋体" w:hAnsi="宋体" w:eastAsia="宋体" w:cs="宋体"/>
                <w:sz w:val="18"/>
                <w:szCs w:val="18"/>
              </w:rPr>
            </w:pPr>
            <w:r>
              <w:rPr>
                <w:rFonts w:ascii="宋体" w:hAnsi="宋体" w:eastAsia="宋体" w:cs="宋体"/>
                <w:color w:val="212529"/>
                <w:spacing w:val="-2"/>
                <w:sz w:val="18"/>
                <w:szCs w:val="18"/>
              </w:rPr>
              <w:t>789.73</w:t>
            </w:r>
          </w:p>
        </w:tc>
        <w:tc>
          <w:tcPr>
            <w:tcW w:w="1318" w:type="dxa"/>
            <w:vAlign w:val="top"/>
          </w:tcPr>
          <w:p w14:paraId="1A681255">
            <w:pPr>
              <w:pStyle w:val="6"/>
            </w:pPr>
          </w:p>
        </w:tc>
        <w:tc>
          <w:tcPr>
            <w:tcW w:w="1513" w:type="dxa"/>
            <w:vAlign w:val="top"/>
          </w:tcPr>
          <w:p w14:paraId="04540D2F">
            <w:pPr>
              <w:pStyle w:val="6"/>
            </w:pPr>
          </w:p>
        </w:tc>
        <w:tc>
          <w:tcPr>
            <w:tcW w:w="1498" w:type="dxa"/>
            <w:vAlign w:val="top"/>
          </w:tcPr>
          <w:p w14:paraId="1495F313">
            <w:pPr>
              <w:pStyle w:val="6"/>
            </w:pPr>
          </w:p>
        </w:tc>
        <w:tc>
          <w:tcPr>
            <w:tcW w:w="959" w:type="dxa"/>
            <w:vAlign w:val="top"/>
          </w:tcPr>
          <w:p w14:paraId="693CE00A">
            <w:pPr>
              <w:pStyle w:val="6"/>
            </w:pPr>
          </w:p>
        </w:tc>
        <w:tc>
          <w:tcPr>
            <w:tcW w:w="1026" w:type="dxa"/>
            <w:vAlign w:val="top"/>
          </w:tcPr>
          <w:p w14:paraId="62D2B35E">
            <w:pPr>
              <w:pStyle w:val="6"/>
            </w:pPr>
          </w:p>
        </w:tc>
      </w:tr>
      <w:tr w14:paraId="4C4B0B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48E209B0">
            <w:pPr>
              <w:spacing w:before="156" w:line="184" w:lineRule="auto"/>
              <w:ind w:left="9"/>
              <w:rPr>
                <w:rFonts w:ascii="宋体" w:hAnsi="宋体" w:eastAsia="宋体" w:cs="宋体"/>
                <w:sz w:val="18"/>
                <w:szCs w:val="18"/>
              </w:rPr>
            </w:pPr>
            <w:r>
              <w:rPr>
                <w:rFonts w:ascii="宋体" w:hAnsi="宋体" w:eastAsia="宋体" w:cs="宋体"/>
                <w:color w:val="212529"/>
                <w:spacing w:val="-2"/>
                <w:sz w:val="18"/>
                <w:szCs w:val="18"/>
              </w:rPr>
              <w:t>20103</w:t>
            </w:r>
          </w:p>
        </w:tc>
        <w:tc>
          <w:tcPr>
            <w:tcW w:w="2982" w:type="dxa"/>
            <w:vAlign w:val="top"/>
          </w:tcPr>
          <w:p w14:paraId="01E3743E">
            <w:pPr>
              <w:spacing w:before="129" w:line="218" w:lineRule="auto"/>
              <w:ind w:left="2"/>
              <w:rPr>
                <w:rFonts w:ascii="宋体" w:hAnsi="宋体" w:eastAsia="宋体" w:cs="宋体"/>
                <w:sz w:val="18"/>
                <w:szCs w:val="18"/>
              </w:rPr>
            </w:pPr>
            <w:r>
              <w:rPr>
                <w:rFonts w:ascii="宋体" w:hAnsi="宋体" w:eastAsia="宋体" w:cs="宋体"/>
                <w:color w:val="212529"/>
                <w:spacing w:val="-1"/>
                <w:sz w:val="18"/>
                <w:szCs w:val="18"/>
              </w:rPr>
              <w:t>政府办公厅（室）及相关机构事务</w:t>
            </w:r>
          </w:p>
        </w:tc>
        <w:tc>
          <w:tcPr>
            <w:tcW w:w="1468" w:type="dxa"/>
            <w:vAlign w:val="top"/>
          </w:tcPr>
          <w:p w14:paraId="72019627">
            <w:pPr>
              <w:spacing w:before="157" w:line="183" w:lineRule="auto"/>
              <w:ind w:right="23"/>
              <w:jc w:val="right"/>
              <w:rPr>
                <w:rFonts w:ascii="宋体" w:hAnsi="宋体" w:eastAsia="宋体" w:cs="宋体"/>
                <w:sz w:val="18"/>
                <w:szCs w:val="18"/>
              </w:rPr>
            </w:pPr>
            <w:r>
              <w:rPr>
                <w:rFonts w:ascii="宋体" w:hAnsi="宋体" w:eastAsia="宋体" w:cs="宋体"/>
                <w:color w:val="212529"/>
                <w:spacing w:val="-2"/>
                <w:sz w:val="18"/>
                <w:szCs w:val="18"/>
              </w:rPr>
              <w:t>609.76</w:t>
            </w:r>
          </w:p>
        </w:tc>
        <w:tc>
          <w:tcPr>
            <w:tcW w:w="1274" w:type="dxa"/>
            <w:vAlign w:val="top"/>
          </w:tcPr>
          <w:p w14:paraId="2C5F4FB3">
            <w:pPr>
              <w:spacing w:before="157" w:line="183" w:lineRule="auto"/>
              <w:ind w:right="25"/>
              <w:jc w:val="right"/>
              <w:rPr>
                <w:rFonts w:ascii="宋体" w:hAnsi="宋体" w:eastAsia="宋体" w:cs="宋体"/>
                <w:sz w:val="18"/>
                <w:szCs w:val="18"/>
              </w:rPr>
            </w:pPr>
            <w:r>
              <w:rPr>
                <w:rFonts w:ascii="宋体" w:hAnsi="宋体" w:eastAsia="宋体" w:cs="宋体"/>
                <w:color w:val="212529"/>
                <w:spacing w:val="-2"/>
                <w:sz w:val="18"/>
                <w:szCs w:val="18"/>
              </w:rPr>
              <w:t>609.76</w:t>
            </w:r>
          </w:p>
        </w:tc>
        <w:tc>
          <w:tcPr>
            <w:tcW w:w="1318" w:type="dxa"/>
            <w:vAlign w:val="top"/>
          </w:tcPr>
          <w:p w14:paraId="7EE5D61A">
            <w:pPr>
              <w:pStyle w:val="6"/>
            </w:pPr>
          </w:p>
        </w:tc>
        <w:tc>
          <w:tcPr>
            <w:tcW w:w="1513" w:type="dxa"/>
            <w:vAlign w:val="top"/>
          </w:tcPr>
          <w:p w14:paraId="64B278F4">
            <w:pPr>
              <w:pStyle w:val="6"/>
            </w:pPr>
          </w:p>
        </w:tc>
        <w:tc>
          <w:tcPr>
            <w:tcW w:w="1498" w:type="dxa"/>
            <w:vAlign w:val="top"/>
          </w:tcPr>
          <w:p w14:paraId="67BFE104">
            <w:pPr>
              <w:pStyle w:val="6"/>
            </w:pPr>
          </w:p>
        </w:tc>
        <w:tc>
          <w:tcPr>
            <w:tcW w:w="959" w:type="dxa"/>
            <w:vAlign w:val="top"/>
          </w:tcPr>
          <w:p w14:paraId="6CC688A4">
            <w:pPr>
              <w:pStyle w:val="6"/>
            </w:pPr>
          </w:p>
        </w:tc>
        <w:tc>
          <w:tcPr>
            <w:tcW w:w="1026" w:type="dxa"/>
            <w:vAlign w:val="top"/>
          </w:tcPr>
          <w:p w14:paraId="716AC306">
            <w:pPr>
              <w:pStyle w:val="6"/>
            </w:pPr>
          </w:p>
        </w:tc>
      </w:tr>
      <w:tr w14:paraId="2C74D5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302B50D6">
            <w:pPr>
              <w:spacing w:before="157" w:line="184" w:lineRule="auto"/>
              <w:ind w:left="9"/>
              <w:rPr>
                <w:rFonts w:ascii="宋体" w:hAnsi="宋体" w:eastAsia="宋体" w:cs="宋体"/>
                <w:sz w:val="18"/>
                <w:szCs w:val="18"/>
              </w:rPr>
            </w:pPr>
            <w:r>
              <w:rPr>
                <w:rFonts w:ascii="宋体" w:hAnsi="宋体" w:eastAsia="宋体" w:cs="宋体"/>
                <w:color w:val="212529"/>
                <w:spacing w:val="-2"/>
                <w:sz w:val="18"/>
                <w:szCs w:val="18"/>
              </w:rPr>
              <w:t>2010350</w:t>
            </w:r>
          </w:p>
        </w:tc>
        <w:tc>
          <w:tcPr>
            <w:tcW w:w="2982" w:type="dxa"/>
            <w:vAlign w:val="top"/>
          </w:tcPr>
          <w:p w14:paraId="08DA6410">
            <w:pPr>
              <w:spacing w:before="131" w:line="219" w:lineRule="auto"/>
              <w:ind w:left="3"/>
              <w:rPr>
                <w:rFonts w:ascii="宋体" w:hAnsi="宋体" w:eastAsia="宋体" w:cs="宋体"/>
                <w:sz w:val="18"/>
                <w:szCs w:val="18"/>
              </w:rPr>
            </w:pPr>
            <w:r>
              <w:rPr>
                <w:rFonts w:ascii="宋体" w:hAnsi="宋体" w:eastAsia="宋体" w:cs="宋体"/>
                <w:color w:val="212529"/>
                <w:spacing w:val="-2"/>
                <w:sz w:val="18"/>
                <w:szCs w:val="18"/>
              </w:rPr>
              <w:t>事业运行</w:t>
            </w:r>
          </w:p>
        </w:tc>
        <w:tc>
          <w:tcPr>
            <w:tcW w:w="1468" w:type="dxa"/>
            <w:vAlign w:val="top"/>
          </w:tcPr>
          <w:p w14:paraId="44FC6C02">
            <w:pPr>
              <w:spacing w:before="158" w:line="183" w:lineRule="auto"/>
              <w:ind w:right="23"/>
              <w:jc w:val="right"/>
              <w:rPr>
                <w:rFonts w:ascii="宋体" w:hAnsi="宋体" w:eastAsia="宋体" w:cs="宋体"/>
                <w:sz w:val="18"/>
                <w:szCs w:val="18"/>
              </w:rPr>
            </w:pPr>
            <w:r>
              <w:rPr>
                <w:rFonts w:ascii="宋体" w:hAnsi="宋体" w:eastAsia="宋体" w:cs="宋体"/>
                <w:color w:val="212529"/>
                <w:spacing w:val="-2"/>
                <w:sz w:val="18"/>
                <w:szCs w:val="18"/>
              </w:rPr>
              <w:t>246.73</w:t>
            </w:r>
          </w:p>
        </w:tc>
        <w:tc>
          <w:tcPr>
            <w:tcW w:w="1274" w:type="dxa"/>
            <w:vAlign w:val="top"/>
          </w:tcPr>
          <w:p w14:paraId="361F7174">
            <w:pPr>
              <w:spacing w:before="158" w:line="183" w:lineRule="auto"/>
              <w:ind w:right="24"/>
              <w:jc w:val="right"/>
              <w:rPr>
                <w:rFonts w:ascii="宋体" w:hAnsi="宋体" w:eastAsia="宋体" w:cs="宋体"/>
                <w:sz w:val="18"/>
                <w:szCs w:val="18"/>
              </w:rPr>
            </w:pPr>
            <w:r>
              <w:rPr>
                <w:rFonts w:ascii="宋体" w:hAnsi="宋体" w:eastAsia="宋体" w:cs="宋体"/>
                <w:color w:val="212529"/>
                <w:spacing w:val="-2"/>
                <w:sz w:val="18"/>
                <w:szCs w:val="18"/>
              </w:rPr>
              <w:t>246.73</w:t>
            </w:r>
          </w:p>
        </w:tc>
        <w:tc>
          <w:tcPr>
            <w:tcW w:w="1318" w:type="dxa"/>
            <w:vAlign w:val="top"/>
          </w:tcPr>
          <w:p w14:paraId="6A90510C">
            <w:pPr>
              <w:pStyle w:val="6"/>
            </w:pPr>
          </w:p>
        </w:tc>
        <w:tc>
          <w:tcPr>
            <w:tcW w:w="1513" w:type="dxa"/>
            <w:vAlign w:val="top"/>
          </w:tcPr>
          <w:p w14:paraId="1A725020">
            <w:pPr>
              <w:pStyle w:val="6"/>
            </w:pPr>
          </w:p>
        </w:tc>
        <w:tc>
          <w:tcPr>
            <w:tcW w:w="1498" w:type="dxa"/>
            <w:vAlign w:val="top"/>
          </w:tcPr>
          <w:p w14:paraId="09ED56B6">
            <w:pPr>
              <w:pStyle w:val="6"/>
            </w:pPr>
          </w:p>
        </w:tc>
        <w:tc>
          <w:tcPr>
            <w:tcW w:w="959" w:type="dxa"/>
            <w:vAlign w:val="top"/>
          </w:tcPr>
          <w:p w14:paraId="494F2B1D">
            <w:pPr>
              <w:pStyle w:val="6"/>
            </w:pPr>
          </w:p>
        </w:tc>
        <w:tc>
          <w:tcPr>
            <w:tcW w:w="1026" w:type="dxa"/>
            <w:vAlign w:val="top"/>
          </w:tcPr>
          <w:p w14:paraId="4AA0ABCE">
            <w:pPr>
              <w:pStyle w:val="6"/>
            </w:pPr>
          </w:p>
        </w:tc>
      </w:tr>
      <w:tr w14:paraId="51D1F5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6CBC3994">
            <w:pPr>
              <w:spacing w:before="158" w:line="184" w:lineRule="auto"/>
              <w:ind w:left="9"/>
              <w:rPr>
                <w:rFonts w:ascii="宋体" w:hAnsi="宋体" w:eastAsia="宋体" w:cs="宋体"/>
                <w:sz w:val="18"/>
                <w:szCs w:val="18"/>
              </w:rPr>
            </w:pPr>
            <w:r>
              <w:rPr>
                <w:rFonts w:ascii="宋体" w:hAnsi="宋体" w:eastAsia="宋体" w:cs="宋体"/>
                <w:color w:val="212529"/>
                <w:spacing w:val="-2"/>
                <w:sz w:val="18"/>
                <w:szCs w:val="18"/>
              </w:rPr>
              <w:t>2010399</w:t>
            </w:r>
          </w:p>
        </w:tc>
        <w:tc>
          <w:tcPr>
            <w:tcW w:w="2982" w:type="dxa"/>
            <w:vAlign w:val="top"/>
          </w:tcPr>
          <w:p w14:paraId="19D09B87">
            <w:pPr>
              <w:spacing w:before="26" w:line="204" w:lineRule="auto"/>
              <w:ind w:left="5" w:right="92" w:hanging="4"/>
              <w:rPr>
                <w:rFonts w:ascii="宋体" w:hAnsi="宋体" w:eastAsia="宋体" w:cs="宋体"/>
                <w:sz w:val="18"/>
                <w:szCs w:val="18"/>
              </w:rPr>
            </w:pPr>
            <w:r>
              <w:rPr>
                <w:rFonts w:ascii="宋体" w:hAnsi="宋体" w:eastAsia="宋体" w:cs="宋体"/>
                <w:color w:val="212529"/>
                <w:spacing w:val="-1"/>
                <w:sz w:val="18"/>
                <w:szCs w:val="18"/>
              </w:rPr>
              <w:t>其他政府办公厅（室）及相关机构事</w:t>
            </w:r>
            <w:r>
              <w:rPr>
                <w:rFonts w:ascii="宋体" w:hAnsi="宋体" w:eastAsia="宋体" w:cs="宋体"/>
                <w:color w:val="212529"/>
                <w:spacing w:val="8"/>
                <w:sz w:val="18"/>
                <w:szCs w:val="18"/>
              </w:rPr>
              <w:t xml:space="preserve"> </w:t>
            </w:r>
            <w:r>
              <w:rPr>
                <w:rFonts w:ascii="宋体" w:hAnsi="宋体" w:eastAsia="宋体" w:cs="宋体"/>
                <w:color w:val="212529"/>
                <w:spacing w:val="-3"/>
                <w:sz w:val="18"/>
                <w:szCs w:val="18"/>
              </w:rPr>
              <w:t>务支出</w:t>
            </w:r>
          </w:p>
        </w:tc>
        <w:tc>
          <w:tcPr>
            <w:tcW w:w="1468" w:type="dxa"/>
            <w:vAlign w:val="top"/>
          </w:tcPr>
          <w:p w14:paraId="2ABFF994">
            <w:pPr>
              <w:spacing w:before="159" w:line="183" w:lineRule="auto"/>
              <w:ind w:right="23"/>
              <w:jc w:val="right"/>
              <w:rPr>
                <w:rFonts w:ascii="宋体" w:hAnsi="宋体" w:eastAsia="宋体" w:cs="宋体"/>
                <w:sz w:val="18"/>
                <w:szCs w:val="18"/>
              </w:rPr>
            </w:pPr>
            <w:r>
              <w:rPr>
                <w:rFonts w:ascii="宋体" w:hAnsi="宋体" w:eastAsia="宋体" w:cs="宋体"/>
                <w:color w:val="212529"/>
                <w:spacing w:val="-2"/>
                <w:sz w:val="18"/>
                <w:szCs w:val="18"/>
              </w:rPr>
              <w:t>363.03</w:t>
            </w:r>
          </w:p>
        </w:tc>
        <w:tc>
          <w:tcPr>
            <w:tcW w:w="1274" w:type="dxa"/>
            <w:vAlign w:val="top"/>
          </w:tcPr>
          <w:p w14:paraId="338FA905">
            <w:pPr>
              <w:spacing w:before="159" w:line="183" w:lineRule="auto"/>
              <w:ind w:right="24"/>
              <w:jc w:val="right"/>
              <w:rPr>
                <w:rFonts w:ascii="宋体" w:hAnsi="宋体" w:eastAsia="宋体" w:cs="宋体"/>
                <w:sz w:val="18"/>
                <w:szCs w:val="18"/>
              </w:rPr>
            </w:pPr>
            <w:r>
              <w:rPr>
                <w:rFonts w:ascii="宋体" w:hAnsi="宋体" w:eastAsia="宋体" w:cs="宋体"/>
                <w:color w:val="212529"/>
                <w:spacing w:val="-2"/>
                <w:sz w:val="18"/>
                <w:szCs w:val="18"/>
              </w:rPr>
              <w:t>363.03</w:t>
            </w:r>
          </w:p>
        </w:tc>
        <w:tc>
          <w:tcPr>
            <w:tcW w:w="1318" w:type="dxa"/>
            <w:vAlign w:val="top"/>
          </w:tcPr>
          <w:p w14:paraId="4F619E19">
            <w:pPr>
              <w:pStyle w:val="6"/>
            </w:pPr>
          </w:p>
        </w:tc>
        <w:tc>
          <w:tcPr>
            <w:tcW w:w="1513" w:type="dxa"/>
            <w:vAlign w:val="top"/>
          </w:tcPr>
          <w:p w14:paraId="05E6E7EF">
            <w:pPr>
              <w:pStyle w:val="6"/>
            </w:pPr>
          </w:p>
        </w:tc>
        <w:tc>
          <w:tcPr>
            <w:tcW w:w="1498" w:type="dxa"/>
            <w:vAlign w:val="top"/>
          </w:tcPr>
          <w:p w14:paraId="4F0F0C86">
            <w:pPr>
              <w:pStyle w:val="6"/>
            </w:pPr>
          </w:p>
        </w:tc>
        <w:tc>
          <w:tcPr>
            <w:tcW w:w="959" w:type="dxa"/>
            <w:vAlign w:val="top"/>
          </w:tcPr>
          <w:p w14:paraId="135AF95C">
            <w:pPr>
              <w:pStyle w:val="6"/>
            </w:pPr>
          </w:p>
        </w:tc>
        <w:tc>
          <w:tcPr>
            <w:tcW w:w="1026" w:type="dxa"/>
            <w:vAlign w:val="top"/>
          </w:tcPr>
          <w:p w14:paraId="10C51FAD">
            <w:pPr>
              <w:pStyle w:val="6"/>
            </w:pPr>
          </w:p>
        </w:tc>
      </w:tr>
      <w:tr w14:paraId="66D750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27EEB257">
            <w:pPr>
              <w:spacing w:before="159" w:line="184" w:lineRule="auto"/>
              <w:ind w:left="9"/>
              <w:rPr>
                <w:rFonts w:ascii="宋体" w:hAnsi="宋体" w:eastAsia="宋体" w:cs="宋体"/>
                <w:sz w:val="18"/>
                <w:szCs w:val="18"/>
              </w:rPr>
            </w:pPr>
            <w:r>
              <w:rPr>
                <w:rFonts w:ascii="宋体" w:hAnsi="宋体" w:eastAsia="宋体" w:cs="宋体"/>
                <w:color w:val="212529"/>
                <w:spacing w:val="-2"/>
                <w:sz w:val="18"/>
                <w:szCs w:val="18"/>
              </w:rPr>
              <w:t>20105</w:t>
            </w:r>
          </w:p>
        </w:tc>
        <w:tc>
          <w:tcPr>
            <w:tcW w:w="2982" w:type="dxa"/>
            <w:vAlign w:val="top"/>
          </w:tcPr>
          <w:p w14:paraId="72754769">
            <w:pPr>
              <w:spacing w:before="132" w:line="219" w:lineRule="auto"/>
              <w:ind w:left="4"/>
              <w:rPr>
                <w:rFonts w:ascii="宋体" w:hAnsi="宋体" w:eastAsia="宋体" w:cs="宋体"/>
                <w:sz w:val="18"/>
                <w:szCs w:val="18"/>
              </w:rPr>
            </w:pPr>
            <w:r>
              <w:rPr>
                <w:rFonts w:ascii="宋体" w:hAnsi="宋体" w:eastAsia="宋体" w:cs="宋体"/>
                <w:color w:val="212529"/>
                <w:spacing w:val="-2"/>
                <w:sz w:val="18"/>
                <w:szCs w:val="18"/>
              </w:rPr>
              <w:t>统计信息事务</w:t>
            </w:r>
          </w:p>
        </w:tc>
        <w:tc>
          <w:tcPr>
            <w:tcW w:w="1468" w:type="dxa"/>
            <w:vAlign w:val="top"/>
          </w:tcPr>
          <w:p w14:paraId="625A4C6D">
            <w:pPr>
              <w:spacing w:before="160" w:line="183" w:lineRule="auto"/>
              <w:ind w:right="24"/>
              <w:jc w:val="right"/>
              <w:rPr>
                <w:rFonts w:ascii="宋体" w:hAnsi="宋体" w:eastAsia="宋体" w:cs="宋体"/>
                <w:sz w:val="18"/>
                <w:szCs w:val="18"/>
              </w:rPr>
            </w:pPr>
            <w:r>
              <w:rPr>
                <w:rFonts w:ascii="宋体" w:hAnsi="宋体" w:eastAsia="宋体" w:cs="宋体"/>
                <w:color w:val="212529"/>
                <w:spacing w:val="-2"/>
                <w:sz w:val="18"/>
                <w:szCs w:val="18"/>
              </w:rPr>
              <w:t>42.97</w:t>
            </w:r>
          </w:p>
        </w:tc>
        <w:tc>
          <w:tcPr>
            <w:tcW w:w="1274" w:type="dxa"/>
            <w:vAlign w:val="top"/>
          </w:tcPr>
          <w:p w14:paraId="72E70F78">
            <w:pPr>
              <w:spacing w:before="160" w:line="183" w:lineRule="auto"/>
              <w:ind w:right="25"/>
              <w:jc w:val="right"/>
              <w:rPr>
                <w:rFonts w:ascii="宋体" w:hAnsi="宋体" w:eastAsia="宋体" w:cs="宋体"/>
                <w:sz w:val="18"/>
                <w:szCs w:val="18"/>
              </w:rPr>
            </w:pPr>
            <w:r>
              <w:rPr>
                <w:rFonts w:ascii="宋体" w:hAnsi="宋体" w:eastAsia="宋体" w:cs="宋体"/>
                <w:color w:val="212529"/>
                <w:spacing w:val="-2"/>
                <w:sz w:val="18"/>
                <w:szCs w:val="18"/>
              </w:rPr>
              <w:t>42.97</w:t>
            </w:r>
          </w:p>
        </w:tc>
        <w:tc>
          <w:tcPr>
            <w:tcW w:w="1318" w:type="dxa"/>
            <w:vAlign w:val="top"/>
          </w:tcPr>
          <w:p w14:paraId="3C307148">
            <w:pPr>
              <w:pStyle w:val="6"/>
            </w:pPr>
          </w:p>
        </w:tc>
        <w:tc>
          <w:tcPr>
            <w:tcW w:w="1513" w:type="dxa"/>
            <w:vAlign w:val="top"/>
          </w:tcPr>
          <w:p w14:paraId="55CFA260">
            <w:pPr>
              <w:pStyle w:val="6"/>
            </w:pPr>
          </w:p>
        </w:tc>
        <w:tc>
          <w:tcPr>
            <w:tcW w:w="1498" w:type="dxa"/>
            <w:vAlign w:val="top"/>
          </w:tcPr>
          <w:p w14:paraId="6F85D858">
            <w:pPr>
              <w:pStyle w:val="6"/>
            </w:pPr>
          </w:p>
        </w:tc>
        <w:tc>
          <w:tcPr>
            <w:tcW w:w="959" w:type="dxa"/>
            <w:vAlign w:val="top"/>
          </w:tcPr>
          <w:p w14:paraId="76F0141C">
            <w:pPr>
              <w:pStyle w:val="6"/>
            </w:pPr>
          </w:p>
        </w:tc>
        <w:tc>
          <w:tcPr>
            <w:tcW w:w="1026" w:type="dxa"/>
            <w:vAlign w:val="top"/>
          </w:tcPr>
          <w:p w14:paraId="56FA632E">
            <w:pPr>
              <w:pStyle w:val="6"/>
            </w:pPr>
          </w:p>
        </w:tc>
      </w:tr>
      <w:tr w14:paraId="2F91EF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43C5A59E">
            <w:pPr>
              <w:spacing w:before="160" w:line="184" w:lineRule="auto"/>
              <w:ind w:left="9"/>
              <w:rPr>
                <w:rFonts w:ascii="宋体" w:hAnsi="宋体" w:eastAsia="宋体" w:cs="宋体"/>
                <w:sz w:val="18"/>
                <w:szCs w:val="18"/>
              </w:rPr>
            </w:pPr>
            <w:r>
              <w:rPr>
                <w:rFonts w:ascii="宋体" w:hAnsi="宋体" w:eastAsia="宋体" w:cs="宋体"/>
                <w:color w:val="212529"/>
                <w:spacing w:val="-2"/>
                <w:sz w:val="18"/>
                <w:szCs w:val="18"/>
              </w:rPr>
              <w:t>2010507</w:t>
            </w:r>
          </w:p>
        </w:tc>
        <w:tc>
          <w:tcPr>
            <w:tcW w:w="2982" w:type="dxa"/>
            <w:vAlign w:val="top"/>
          </w:tcPr>
          <w:p w14:paraId="76BADAFE">
            <w:pPr>
              <w:spacing w:before="133" w:line="219" w:lineRule="auto"/>
              <w:ind w:left="1"/>
              <w:rPr>
                <w:rFonts w:ascii="宋体" w:hAnsi="宋体" w:eastAsia="宋体" w:cs="宋体"/>
                <w:sz w:val="18"/>
                <w:szCs w:val="18"/>
              </w:rPr>
            </w:pPr>
            <w:r>
              <w:rPr>
                <w:rFonts w:ascii="宋体" w:hAnsi="宋体" w:eastAsia="宋体" w:cs="宋体"/>
                <w:color w:val="212529"/>
                <w:spacing w:val="-1"/>
                <w:sz w:val="18"/>
                <w:szCs w:val="18"/>
              </w:rPr>
              <w:t>专项普查活动</w:t>
            </w:r>
          </w:p>
        </w:tc>
        <w:tc>
          <w:tcPr>
            <w:tcW w:w="1468" w:type="dxa"/>
            <w:vAlign w:val="top"/>
          </w:tcPr>
          <w:p w14:paraId="18AC5C84">
            <w:pPr>
              <w:spacing w:before="161" w:line="183" w:lineRule="auto"/>
              <w:ind w:right="24"/>
              <w:jc w:val="right"/>
              <w:rPr>
                <w:rFonts w:ascii="宋体" w:hAnsi="宋体" w:eastAsia="宋体" w:cs="宋体"/>
                <w:sz w:val="18"/>
                <w:szCs w:val="18"/>
              </w:rPr>
            </w:pPr>
            <w:r>
              <w:rPr>
                <w:rFonts w:ascii="宋体" w:hAnsi="宋体" w:eastAsia="宋体" w:cs="宋体"/>
                <w:color w:val="212529"/>
                <w:spacing w:val="-2"/>
                <w:sz w:val="18"/>
                <w:szCs w:val="18"/>
              </w:rPr>
              <w:t>42.97</w:t>
            </w:r>
          </w:p>
        </w:tc>
        <w:tc>
          <w:tcPr>
            <w:tcW w:w="1274" w:type="dxa"/>
            <w:vAlign w:val="top"/>
          </w:tcPr>
          <w:p w14:paraId="54BDE0E2">
            <w:pPr>
              <w:spacing w:before="161" w:line="183" w:lineRule="auto"/>
              <w:ind w:right="25"/>
              <w:jc w:val="right"/>
              <w:rPr>
                <w:rFonts w:ascii="宋体" w:hAnsi="宋体" w:eastAsia="宋体" w:cs="宋体"/>
                <w:sz w:val="18"/>
                <w:szCs w:val="18"/>
              </w:rPr>
            </w:pPr>
            <w:r>
              <w:rPr>
                <w:rFonts w:ascii="宋体" w:hAnsi="宋体" w:eastAsia="宋体" w:cs="宋体"/>
                <w:color w:val="212529"/>
                <w:spacing w:val="-2"/>
                <w:sz w:val="18"/>
                <w:szCs w:val="18"/>
              </w:rPr>
              <w:t>42.97</w:t>
            </w:r>
          </w:p>
        </w:tc>
        <w:tc>
          <w:tcPr>
            <w:tcW w:w="1318" w:type="dxa"/>
            <w:vAlign w:val="top"/>
          </w:tcPr>
          <w:p w14:paraId="079CA951">
            <w:pPr>
              <w:pStyle w:val="6"/>
            </w:pPr>
          </w:p>
        </w:tc>
        <w:tc>
          <w:tcPr>
            <w:tcW w:w="1513" w:type="dxa"/>
            <w:vAlign w:val="top"/>
          </w:tcPr>
          <w:p w14:paraId="5CB21A11">
            <w:pPr>
              <w:pStyle w:val="6"/>
            </w:pPr>
          </w:p>
        </w:tc>
        <w:tc>
          <w:tcPr>
            <w:tcW w:w="1498" w:type="dxa"/>
            <w:vAlign w:val="top"/>
          </w:tcPr>
          <w:p w14:paraId="2E9BA9FA">
            <w:pPr>
              <w:pStyle w:val="6"/>
            </w:pPr>
          </w:p>
        </w:tc>
        <w:tc>
          <w:tcPr>
            <w:tcW w:w="959" w:type="dxa"/>
            <w:vAlign w:val="top"/>
          </w:tcPr>
          <w:p w14:paraId="50F9F1E2">
            <w:pPr>
              <w:pStyle w:val="6"/>
            </w:pPr>
          </w:p>
        </w:tc>
        <w:tc>
          <w:tcPr>
            <w:tcW w:w="1026" w:type="dxa"/>
            <w:vAlign w:val="top"/>
          </w:tcPr>
          <w:p w14:paraId="5A2CB088">
            <w:pPr>
              <w:pStyle w:val="6"/>
            </w:pPr>
          </w:p>
        </w:tc>
      </w:tr>
      <w:tr w14:paraId="18EC16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1841488C">
            <w:pPr>
              <w:spacing w:before="161" w:line="184" w:lineRule="auto"/>
              <w:ind w:left="9"/>
              <w:rPr>
                <w:rFonts w:ascii="宋体" w:hAnsi="宋体" w:eastAsia="宋体" w:cs="宋体"/>
                <w:sz w:val="18"/>
                <w:szCs w:val="18"/>
              </w:rPr>
            </w:pPr>
            <w:r>
              <w:rPr>
                <w:rFonts w:ascii="宋体" w:hAnsi="宋体" w:eastAsia="宋体" w:cs="宋体"/>
                <w:color w:val="212529"/>
                <w:spacing w:val="-2"/>
                <w:sz w:val="18"/>
                <w:szCs w:val="18"/>
              </w:rPr>
              <w:t>20113</w:t>
            </w:r>
          </w:p>
        </w:tc>
        <w:tc>
          <w:tcPr>
            <w:tcW w:w="2982" w:type="dxa"/>
            <w:vAlign w:val="top"/>
          </w:tcPr>
          <w:p w14:paraId="5D36E11F">
            <w:pPr>
              <w:spacing w:before="134" w:line="219" w:lineRule="auto"/>
              <w:ind w:left="4"/>
              <w:rPr>
                <w:rFonts w:ascii="宋体" w:hAnsi="宋体" w:eastAsia="宋体" w:cs="宋体"/>
                <w:sz w:val="18"/>
                <w:szCs w:val="18"/>
              </w:rPr>
            </w:pPr>
            <w:r>
              <w:rPr>
                <w:rFonts w:ascii="宋体" w:hAnsi="宋体" w:eastAsia="宋体" w:cs="宋体"/>
                <w:color w:val="212529"/>
                <w:spacing w:val="-2"/>
                <w:sz w:val="18"/>
                <w:szCs w:val="18"/>
              </w:rPr>
              <w:t>商贸事务</w:t>
            </w:r>
          </w:p>
        </w:tc>
        <w:tc>
          <w:tcPr>
            <w:tcW w:w="1468" w:type="dxa"/>
            <w:vAlign w:val="top"/>
          </w:tcPr>
          <w:p w14:paraId="3B5CD0F9">
            <w:pPr>
              <w:spacing w:before="162" w:line="183" w:lineRule="auto"/>
              <w:ind w:right="22"/>
              <w:jc w:val="right"/>
              <w:rPr>
                <w:rFonts w:ascii="宋体" w:hAnsi="宋体" w:eastAsia="宋体" w:cs="宋体"/>
                <w:sz w:val="18"/>
                <w:szCs w:val="18"/>
              </w:rPr>
            </w:pPr>
            <w:r>
              <w:rPr>
                <w:rFonts w:ascii="宋体" w:hAnsi="宋体" w:eastAsia="宋体" w:cs="宋体"/>
                <w:color w:val="212529"/>
                <w:spacing w:val="-2"/>
                <w:sz w:val="18"/>
                <w:szCs w:val="18"/>
              </w:rPr>
              <w:t>5.00</w:t>
            </w:r>
          </w:p>
        </w:tc>
        <w:tc>
          <w:tcPr>
            <w:tcW w:w="1274" w:type="dxa"/>
            <w:vAlign w:val="top"/>
          </w:tcPr>
          <w:p w14:paraId="6F5D60B3">
            <w:pPr>
              <w:spacing w:before="162" w:line="183" w:lineRule="auto"/>
              <w:ind w:right="23"/>
              <w:jc w:val="right"/>
              <w:rPr>
                <w:rFonts w:ascii="宋体" w:hAnsi="宋体" w:eastAsia="宋体" w:cs="宋体"/>
                <w:sz w:val="18"/>
                <w:szCs w:val="18"/>
              </w:rPr>
            </w:pPr>
            <w:r>
              <w:rPr>
                <w:rFonts w:ascii="宋体" w:hAnsi="宋体" w:eastAsia="宋体" w:cs="宋体"/>
                <w:color w:val="212529"/>
                <w:spacing w:val="-2"/>
                <w:sz w:val="18"/>
                <w:szCs w:val="18"/>
              </w:rPr>
              <w:t>5.00</w:t>
            </w:r>
          </w:p>
        </w:tc>
        <w:tc>
          <w:tcPr>
            <w:tcW w:w="1318" w:type="dxa"/>
            <w:vAlign w:val="top"/>
          </w:tcPr>
          <w:p w14:paraId="41E53313">
            <w:pPr>
              <w:pStyle w:val="6"/>
            </w:pPr>
          </w:p>
        </w:tc>
        <w:tc>
          <w:tcPr>
            <w:tcW w:w="1513" w:type="dxa"/>
            <w:vAlign w:val="top"/>
          </w:tcPr>
          <w:p w14:paraId="23F8D4B7">
            <w:pPr>
              <w:pStyle w:val="6"/>
            </w:pPr>
          </w:p>
        </w:tc>
        <w:tc>
          <w:tcPr>
            <w:tcW w:w="1498" w:type="dxa"/>
            <w:vAlign w:val="top"/>
          </w:tcPr>
          <w:p w14:paraId="2293C469">
            <w:pPr>
              <w:pStyle w:val="6"/>
            </w:pPr>
          </w:p>
        </w:tc>
        <w:tc>
          <w:tcPr>
            <w:tcW w:w="959" w:type="dxa"/>
            <w:vAlign w:val="top"/>
          </w:tcPr>
          <w:p w14:paraId="103DE16F">
            <w:pPr>
              <w:pStyle w:val="6"/>
            </w:pPr>
          </w:p>
        </w:tc>
        <w:tc>
          <w:tcPr>
            <w:tcW w:w="1026" w:type="dxa"/>
            <w:vAlign w:val="top"/>
          </w:tcPr>
          <w:p w14:paraId="38007524">
            <w:pPr>
              <w:pStyle w:val="6"/>
            </w:pPr>
          </w:p>
        </w:tc>
      </w:tr>
      <w:tr w14:paraId="6D93DA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215E689C">
            <w:pPr>
              <w:spacing w:before="162" w:line="184" w:lineRule="auto"/>
              <w:ind w:left="9"/>
              <w:rPr>
                <w:rFonts w:ascii="宋体" w:hAnsi="宋体" w:eastAsia="宋体" w:cs="宋体"/>
                <w:sz w:val="18"/>
                <w:szCs w:val="18"/>
              </w:rPr>
            </w:pPr>
            <w:r>
              <w:rPr>
                <w:rFonts w:ascii="宋体" w:hAnsi="宋体" w:eastAsia="宋体" w:cs="宋体"/>
                <w:color w:val="212529"/>
                <w:spacing w:val="-2"/>
                <w:sz w:val="18"/>
                <w:szCs w:val="18"/>
              </w:rPr>
              <w:t>2011308</w:t>
            </w:r>
          </w:p>
        </w:tc>
        <w:tc>
          <w:tcPr>
            <w:tcW w:w="2982" w:type="dxa"/>
            <w:vAlign w:val="top"/>
          </w:tcPr>
          <w:p w14:paraId="38CEF37E">
            <w:pPr>
              <w:spacing w:before="136" w:line="219" w:lineRule="auto"/>
              <w:ind w:left="2"/>
              <w:rPr>
                <w:rFonts w:ascii="宋体" w:hAnsi="宋体" w:eastAsia="宋体" w:cs="宋体"/>
                <w:sz w:val="18"/>
                <w:szCs w:val="18"/>
              </w:rPr>
            </w:pPr>
            <w:r>
              <w:rPr>
                <w:rFonts w:ascii="宋体" w:hAnsi="宋体" w:eastAsia="宋体" w:cs="宋体"/>
                <w:color w:val="212529"/>
                <w:spacing w:val="-2"/>
                <w:sz w:val="18"/>
                <w:szCs w:val="18"/>
              </w:rPr>
              <w:t>招商引资</w:t>
            </w:r>
          </w:p>
        </w:tc>
        <w:tc>
          <w:tcPr>
            <w:tcW w:w="1468" w:type="dxa"/>
            <w:vAlign w:val="top"/>
          </w:tcPr>
          <w:p w14:paraId="4B823F64">
            <w:pPr>
              <w:spacing w:before="163" w:line="183" w:lineRule="auto"/>
              <w:ind w:right="22"/>
              <w:jc w:val="right"/>
              <w:rPr>
                <w:rFonts w:ascii="宋体" w:hAnsi="宋体" w:eastAsia="宋体" w:cs="宋体"/>
                <w:sz w:val="18"/>
                <w:szCs w:val="18"/>
              </w:rPr>
            </w:pPr>
            <w:r>
              <w:rPr>
                <w:rFonts w:ascii="宋体" w:hAnsi="宋体" w:eastAsia="宋体" w:cs="宋体"/>
                <w:color w:val="212529"/>
                <w:spacing w:val="-2"/>
                <w:sz w:val="18"/>
                <w:szCs w:val="18"/>
              </w:rPr>
              <w:t>5.00</w:t>
            </w:r>
          </w:p>
        </w:tc>
        <w:tc>
          <w:tcPr>
            <w:tcW w:w="1274" w:type="dxa"/>
            <w:vAlign w:val="top"/>
          </w:tcPr>
          <w:p w14:paraId="2DE09698">
            <w:pPr>
              <w:spacing w:before="163" w:line="183" w:lineRule="auto"/>
              <w:ind w:right="23"/>
              <w:jc w:val="right"/>
              <w:rPr>
                <w:rFonts w:ascii="宋体" w:hAnsi="宋体" w:eastAsia="宋体" w:cs="宋体"/>
                <w:sz w:val="18"/>
                <w:szCs w:val="18"/>
              </w:rPr>
            </w:pPr>
            <w:r>
              <w:rPr>
                <w:rFonts w:ascii="宋体" w:hAnsi="宋体" w:eastAsia="宋体" w:cs="宋体"/>
                <w:color w:val="212529"/>
                <w:spacing w:val="-2"/>
                <w:sz w:val="18"/>
                <w:szCs w:val="18"/>
              </w:rPr>
              <w:t>5.00</w:t>
            </w:r>
          </w:p>
        </w:tc>
        <w:tc>
          <w:tcPr>
            <w:tcW w:w="1318" w:type="dxa"/>
            <w:vAlign w:val="top"/>
          </w:tcPr>
          <w:p w14:paraId="6CB142D5">
            <w:pPr>
              <w:pStyle w:val="6"/>
            </w:pPr>
          </w:p>
        </w:tc>
        <w:tc>
          <w:tcPr>
            <w:tcW w:w="1513" w:type="dxa"/>
            <w:vAlign w:val="top"/>
          </w:tcPr>
          <w:p w14:paraId="5669E4CC">
            <w:pPr>
              <w:pStyle w:val="6"/>
            </w:pPr>
          </w:p>
        </w:tc>
        <w:tc>
          <w:tcPr>
            <w:tcW w:w="1498" w:type="dxa"/>
            <w:vAlign w:val="top"/>
          </w:tcPr>
          <w:p w14:paraId="6355956A">
            <w:pPr>
              <w:pStyle w:val="6"/>
            </w:pPr>
          </w:p>
        </w:tc>
        <w:tc>
          <w:tcPr>
            <w:tcW w:w="959" w:type="dxa"/>
            <w:vAlign w:val="top"/>
          </w:tcPr>
          <w:p w14:paraId="69CED1FD">
            <w:pPr>
              <w:pStyle w:val="6"/>
            </w:pPr>
          </w:p>
        </w:tc>
        <w:tc>
          <w:tcPr>
            <w:tcW w:w="1026" w:type="dxa"/>
            <w:vAlign w:val="top"/>
          </w:tcPr>
          <w:p w14:paraId="00E13A51">
            <w:pPr>
              <w:pStyle w:val="6"/>
            </w:pPr>
          </w:p>
        </w:tc>
      </w:tr>
      <w:tr w14:paraId="5B1BEB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2483967E">
            <w:pPr>
              <w:spacing w:before="163" w:line="184" w:lineRule="auto"/>
              <w:ind w:left="9"/>
              <w:rPr>
                <w:rFonts w:ascii="宋体" w:hAnsi="宋体" w:eastAsia="宋体" w:cs="宋体"/>
                <w:sz w:val="18"/>
                <w:szCs w:val="18"/>
              </w:rPr>
            </w:pPr>
            <w:r>
              <w:rPr>
                <w:rFonts w:ascii="宋体" w:hAnsi="宋体" w:eastAsia="宋体" w:cs="宋体"/>
                <w:color w:val="212529"/>
                <w:spacing w:val="-2"/>
                <w:sz w:val="18"/>
                <w:szCs w:val="18"/>
              </w:rPr>
              <w:t>20136</w:t>
            </w:r>
          </w:p>
        </w:tc>
        <w:tc>
          <w:tcPr>
            <w:tcW w:w="2982" w:type="dxa"/>
            <w:vAlign w:val="top"/>
          </w:tcPr>
          <w:p w14:paraId="29D2D0B8">
            <w:pPr>
              <w:spacing w:before="136" w:line="219" w:lineRule="auto"/>
              <w:ind w:left="1"/>
              <w:rPr>
                <w:rFonts w:ascii="宋体" w:hAnsi="宋体" w:eastAsia="宋体" w:cs="宋体"/>
                <w:sz w:val="18"/>
                <w:szCs w:val="18"/>
              </w:rPr>
            </w:pPr>
            <w:r>
              <w:rPr>
                <w:rFonts w:ascii="宋体" w:hAnsi="宋体" w:eastAsia="宋体" w:cs="宋体"/>
                <w:color w:val="212529"/>
                <w:spacing w:val="-1"/>
                <w:sz w:val="18"/>
                <w:szCs w:val="18"/>
              </w:rPr>
              <w:t>其他共产党事务支出</w:t>
            </w:r>
          </w:p>
        </w:tc>
        <w:tc>
          <w:tcPr>
            <w:tcW w:w="1468" w:type="dxa"/>
            <w:vAlign w:val="top"/>
          </w:tcPr>
          <w:p w14:paraId="2BD476F6">
            <w:pPr>
              <w:spacing w:before="163" w:line="184" w:lineRule="auto"/>
              <w:ind w:right="21"/>
              <w:jc w:val="right"/>
              <w:rPr>
                <w:rFonts w:ascii="宋体" w:hAnsi="宋体" w:eastAsia="宋体" w:cs="宋体"/>
                <w:sz w:val="18"/>
                <w:szCs w:val="18"/>
              </w:rPr>
            </w:pPr>
            <w:r>
              <w:rPr>
                <w:rFonts w:ascii="宋体" w:hAnsi="宋体" w:eastAsia="宋体" w:cs="宋体"/>
                <w:color w:val="212529"/>
                <w:spacing w:val="-3"/>
                <w:sz w:val="18"/>
                <w:szCs w:val="18"/>
              </w:rPr>
              <w:t>132.00</w:t>
            </w:r>
          </w:p>
        </w:tc>
        <w:tc>
          <w:tcPr>
            <w:tcW w:w="1274" w:type="dxa"/>
            <w:vAlign w:val="top"/>
          </w:tcPr>
          <w:p w14:paraId="32089288">
            <w:pPr>
              <w:spacing w:before="163" w:line="184" w:lineRule="auto"/>
              <w:ind w:right="23"/>
              <w:jc w:val="right"/>
              <w:rPr>
                <w:rFonts w:ascii="宋体" w:hAnsi="宋体" w:eastAsia="宋体" w:cs="宋体"/>
                <w:sz w:val="18"/>
                <w:szCs w:val="18"/>
              </w:rPr>
            </w:pPr>
            <w:r>
              <w:rPr>
                <w:rFonts w:ascii="宋体" w:hAnsi="宋体" w:eastAsia="宋体" w:cs="宋体"/>
                <w:color w:val="212529"/>
                <w:spacing w:val="-3"/>
                <w:sz w:val="18"/>
                <w:szCs w:val="18"/>
              </w:rPr>
              <w:t>132.00</w:t>
            </w:r>
          </w:p>
        </w:tc>
        <w:tc>
          <w:tcPr>
            <w:tcW w:w="1318" w:type="dxa"/>
            <w:vAlign w:val="top"/>
          </w:tcPr>
          <w:p w14:paraId="441BD37D">
            <w:pPr>
              <w:pStyle w:val="6"/>
            </w:pPr>
          </w:p>
        </w:tc>
        <w:tc>
          <w:tcPr>
            <w:tcW w:w="1513" w:type="dxa"/>
            <w:vAlign w:val="top"/>
          </w:tcPr>
          <w:p w14:paraId="58F856BC">
            <w:pPr>
              <w:pStyle w:val="6"/>
            </w:pPr>
          </w:p>
        </w:tc>
        <w:tc>
          <w:tcPr>
            <w:tcW w:w="1498" w:type="dxa"/>
            <w:vAlign w:val="top"/>
          </w:tcPr>
          <w:p w14:paraId="35A0AB5A">
            <w:pPr>
              <w:pStyle w:val="6"/>
            </w:pPr>
          </w:p>
        </w:tc>
        <w:tc>
          <w:tcPr>
            <w:tcW w:w="959" w:type="dxa"/>
            <w:vAlign w:val="top"/>
          </w:tcPr>
          <w:p w14:paraId="79216F9E">
            <w:pPr>
              <w:pStyle w:val="6"/>
            </w:pPr>
          </w:p>
        </w:tc>
        <w:tc>
          <w:tcPr>
            <w:tcW w:w="1026" w:type="dxa"/>
            <w:vAlign w:val="top"/>
          </w:tcPr>
          <w:p w14:paraId="3BBEF9C2">
            <w:pPr>
              <w:pStyle w:val="6"/>
            </w:pPr>
          </w:p>
        </w:tc>
      </w:tr>
      <w:tr w14:paraId="3AB5C3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6DE66798">
            <w:pPr>
              <w:spacing w:before="164" w:line="184" w:lineRule="auto"/>
              <w:ind w:left="9"/>
              <w:rPr>
                <w:rFonts w:ascii="宋体" w:hAnsi="宋体" w:eastAsia="宋体" w:cs="宋体"/>
                <w:sz w:val="18"/>
                <w:szCs w:val="18"/>
              </w:rPr>
            </w:pPr>
            <w:r>
              <w:rPr>
                <w:rFonts w:ascii="宋体" w:hAnsi="宋体" w:eastAsia="宋体" w:cs="宋体"/>
                <w:color w:val="212529"/>
                <w:spacing w:val="-2"/>
                <w:sz w:val="18"/>
                <w:szCs w:val="18"/>
              </w:rPr>
              <w:t>2013699</w:t>
            </w:r>
          </w:p>
        </w:tc>
        <w:tc>
          <w:tcPr>
            <w:tcW w:w="2982" w:type="dxa"/>
            <w:vAlign w:val="top"/>
          </w:tcPr>
          <w:p w14:paraId="4BD3A968">
            <w:pPr>
              <w:spacing w:before="137" w:line="219" w:lineRule="auto"/>
              <w:ind w:left="1"/>
              <w:rPr>
                <w:rFonts w:ascii="宋体" w:hAnsi="宋体" w:eastAsia="宋体" w:cs="宋体"/>
                <w:sz w:val="18"/>
                <w:szCs w:val="18"/>
              </w:rPr>
            </w:pPr>
            <w:r>
              <w:rPr>
                <w:rFonts w:ascii="宋体" w:hAnsi="宋体" w:eastAsia="宋体" w:cs="宋体"/>
                <w:color w:val="212529"/>
                <w:spacing w:val="-1"/>
                <w:sz w:val="18"/>
                <w:szCs w:val="18"/>
              </w:rPr>
              <w:t>其他共产党事务支出</w:t>
            </w:r>
          </w:p>
        </w:tc>
        <w:tc>
          <w:tcPr>
            <w:tcW w:w="1468" w:type="dxa"/>
            <w:vAlign w:val="top"/>
          </w:tcPr>
          <w:p w14:paraId="0C4A9BC6">
            <w:pPr>
              <w:spacing w:before="164" w:line="184" w:lineRule="auto"/>
              <w:ind w:right="21"/>
              <w:jc w:val="right"/>
              <w:rPr>
                <w:rFonts w:ascii="宋体" w:hAnsi="宋体" w:eastAsia="宋体" w:cs="宋体"/>
                <w:sz w:val="18"/>
                <w:szCs w:val="18"/>
              </w:rPr>
            </w:pPr>
            <w:r>
              <w:rPr>
                <w:rFonts w:ascii="宋体" w:hAnsi="宋体" w:eastAsia="宋体" w:cs="宋体"/>
                <w:color w:val="212529"/>
                <w:spacing w:val="-3"/>
                <w:sz w:val="18"/>
                <w:szCs w:val="18"/>
              </w:rPr>
              <w:t>132.00</w:t>
            </w:r>
          </w:p>
        </w:tc>
        <w:tc>
          <w:tcPr>
            <w:tcW w:w="1274" w:type="dxa"/>
            <w:vAlign w:val="top"/>
          </w:tcPr>
          <w:p w14:paraId="0E44283D">
            <w:pPr>
              <w:spacing w:before="164" w:line="184" w:lineRule="auto"/>
              <w:ind w:right="23"/>
              <w:jc w:val="right"/>
              <w:rPr>
                <w:rFonts w:ascii="宋体" w:hAnsi="宋体" w:eastAsia="宋体" w:cs="宋体"/>
                <w:sz w:val="18"/>
                <w:szCs w:val="18"/>
              </w:rPr>
            </w:pPr>
            <w:r>
              <w:rPr>
                <w:rFonts w:ascii="宋体" w:hAnsi="宋体" w:eastAsia="宋体" w:cs="宋体"/>
                <w:color w:val="212529"/>
                <w:spacing w:val="-3"/>
                <w:sz w:val="18"/>
                <w:szCs w:val="18"/>
              </w:rPr>
              <w:t>132.00</w:t>
            </w:r>
          </w:p>
        </w:tc>
        <w:tc>
          <w:tcPr>
            <w:tcW w:w="1318" w:type="dxa"/>
            <w:vAlign w:val="top"/>
          </w:tcPr>
          <w:p w14:paraId="2C85C40B">
            <w:pPr>
              <w:pStyle w:val="6"/>
            </w:pPr>
          </w:p>
        </w:tc>
        <w:tc>
          <w:tcPr>
            <w:tcW w:w="1513" w:type="dxa"/>
            <w:vAlign w:val="top"/>
          </w:tcPr>
          <w:p w14:paraId="6D4A4344">
            <w:pPr>
              <w:pStyle w:val="6"/>
            </w:pPr>
          </w:p>
        </w:tc>
        <w:tc>
          <w:tcPr>
            <w:tcW w:w="1498" w:type="dxa"/>
            <w:vAlign w:val="top"/>
          </w:tcPr>
          <w:p w14:paraId="60D9745D">
            <w:pPr>
              <w:pStyle w:val="6"/>
            </w:pPr>
          </w:p>
        </w:tc>
        <w:tc>
          <w:tcPr>
            <w:tcW w:w="959" w:type="dxa"/>
            <w:vAlign w:val="top"/>
          </w:tcPr>
          <w:p w14:paraId="5DEF5A63">
            <w:pPr>
              <w:pStyle w:val="6"/>
            </w:pPr>
          </w:p>
        </w:tc>
        <w:tc>
          <w:tcPr>
            <w:tcW w:w="1026" w:type="dxa"/>
            <w:vAlign w:val="top"/>
          </w:tcPr>
          <w:p w14:paraId="57E23703">
            <w:pPr>
              <w:pStyle w:val="6"/>
            </w:pPr>
          </w:p>
        </w:tc>
      </w:tr>
      <w:tr w14:paraId="3B5F75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431" w:type="dxa"/>
            <w:vAlign w:val="top"/>
          </w:tcPr>
          <w:p w14:paraId="6A414E84">
            <w:pPr>
              <w:spacing w:before="165" w:line="184" w:lineRule="auto"/>
              <w:ind w:left="9"/>
              <w:rPr>
                <w:rFonts w:ascii="宋体" w:hAnsi="宋体" w:eastAsia="宋体" w:cs="宋体"/>
                <w:sz w:val="18"/>
                <w:szCs w:val="18"/>
              </w:rPr>
            </w:pPr>
            <w:r>
              <w:rPr>
                <w:rFonts w:ascii="宋体" w:hAnsi="宋体" w:eastAsia="宋体" w:cs="宋体"/>
                <w:color w:val="212529"/>
                <w:spacing w:val="-3"/>
                <w:sz w:val="18"/>
                <w:szCs w:val="18"/>
              </w:rPr>
              <w:t>212</w:t>
            </w:r>
          </w:p>
        </w:tc>
        <w:tc>
          <w:tcPr>
            <w:tcW w:w="2982" w:type="dxa"/>
            <w:vAlign w:val="top"/>
          </w:tcPr>
          <w:p w14:paraId="35F3758F">
            <w:pPr>
              <w:spacing w:before="138" w:line="219" w:lineRule="auto"/>
              <w:ind w:left="1"/>
              <w:rPr>
                <w:rFonts w:ascii="宋体" w:hAnsi="宋体" w:eastAsia="宋体" w:cs="宋体"/>
                <w:sz w:val="18"/>
                <w:szCs w:val="18"/>
              </w:rPr>
            </w:pPr>
            <w:r>
              <w:rPr>
                <w:rFonts w:ascii="宋体" w:hAnsi="宋体" w:eastAsia="宋体" w:cs="宋体"/>
                <w:color w:val="212529"/>
                <w:spacing w:val="-1"/>
                <w:sz w:val="18"/>
                <w:szCs w:val="18"/>
              </w:rPr>
              <w:t>城乡社区支出</w:t>
            </w:r>
          </w:p>
        </w:tc>
        <w:tc>
          <w:tcPr>
            <w:tcW w:w="1468" w:type="dxa"/>
            <w:vAlign w:val="top"/>
          </w:tcPr>
          <w:p w14:paraId="4A9685DF">
            <w:pPr>
              <w:spacing w:before="165" w:line="184" w:lineRule="auto"/>
              <w:ind w:right="23"/>
              <w:jc w:val="right"/>
              <w:rPr>
                <w:rFonts w:ascii="宋体" w:hAnsi="宋体" w:eastAsia="宋体" w:cs="宋体"/>
                <w:sz w:val="18"/>
                <w:szCs w:val="18"/>
              </w:rPr>
            </w:pPr>
            <w:r>
              <w:rPr>
                <w:rFonts w:ascii="宋体" w:hAnsi="宋体" w:eastAsia="宋体" w:cs="宋体"/>
                <w:color w:val="212529"/>
                <w:spacing w:val="-2"/>
                <w:sz w:val="18"/>
                <w:szCs w:val="18"/>
              </w:rPr>
              <w:t>277.14</w:t>
            </w:r>
          </w:p>
        </w:tc>
        <w:tc>
          <w:tcPr>
            <w:tcW w:w="1274" w:type="dxa"/>
            <w:vAlign w:val="top"/>
          </w:tcPr>
          <w:p w14:paraId="59D890E8">
            <w:pPr>
              <w:pStyle w:val="6"/>
            </w:pPr>
          </w:p>
        </w:tc>
        <w:tc>
          <w:tcPr>
            <w:tcW w:w="1318" w:type="dxa"/>
            <w:vAlign w:val="top"/>
          </w:tcPr>
          <w:p w14:paraId="55E36333">
            <w:pPr>
              <w:spacing w:before="165" w:line="184" w:lineRule="auto"/>
              <w:ind w:right="24"/>
              <w:jc w:val="right"/>
              <w:rPr>
                <w:rFonts w:ascii="宋体" w:hAnsi="宋体" w:eastAsia="宋体" w:cs="宋体"/>
                <w:sz w:val="18"/>
                <w:szCs w:val="18"/>
              </w:rPr>
            </w:pPr>
            <w:r>
              <w:rPr>
                <w:rFonts w:ascii="宋体" w:hAnsi="宋体" w:eastAsia="宋体" w:cs="宋体"/>
                <w:color w:val="212529"/>
                <w:spacing w:val="-2"/>
                <w:sz w:val="18"/>
                <w:szCs w:val="18"/>
              </w:rPr>
              <w:t>277.14</w:t>
            </w:r>
          </w:p>
        </w:tc>
        <w:tc>
          <w:tcPr>
            <w:tcW w:w="1513" w:type="dxa"/>
            <w:vAlign w:val="top"/>
          </w:tcPr>
          <w:p w14:paraId="22E42997">
            <w:pPr>
              <w:pStyle w:val="6"/>
            </w:pPr>
          </w:p>
        </w:tc>
        <w:tc>
          <w:tcPr>
            <w:tcW w:w="1498" w:type="dxa"/>
            <w:vAlign w:val="top"/>
          </w:tcPr>
          <w:p w14:paraId="7D66B7CB">
            <w:pPr>
              <w:pStyle w:val="6"/>
            </w:pPr>
          </w:p>
        </w:tc>
        <w:tc>
          <w:tcPr>
            <w:tcW w:w="959" w:type="dxa"/>
            <w:vAlign w:val="top"/>
          </w:tcPr>
          <w:p w14:paraId="5023F35A">
            <w:pPr>
              <w:pStyle w:val="6"/>
            </w:pPr>
          </w:p>
        </w:tc>
        <w:tc>
          <w:tcPr>
            <w:tcW w:w="1026" w:type="dxa"/>
            <w:vAlign w:val="top"/>
          </w:tcPr>
          <w:p w14:paraId="04940BF3">
            <w:pPr>
              <w:pStyle w:val="6"/>
            </w:pPr>
          </w:p>
        </w:tc>
      </w:tr>
      <w:tr w14:paraId="43A42D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431" w:type="dxa"/>
            <w:vAlign w:val="top"/>
          </w:tcPr>
          <w:p w14:paraId="73AA04AB">
            <w:pPr>
              <w:spacing w:before="165" w:line="184" w:lineRule="auto"/>
              <w:ind w:left="9"/>
              <w:rPr>
                <w:rFonts w:ascii="宋体" w:hAnsi="宋体" w:eastAsia="宋体" w:cs="宋体"/>
                <w:sz w:val="18"/>
                <w:szCs w:val="18"/>
              </w:rPr>
            </w:pPr>
            <w:r>
              <w:rPr>
                <w:rFonts w:ascii="宋体" w:hAnsi="宋体" w:eastAsia="宋体" w:cs="宋体"/>
                <w:color w:val="212529"/>
                <w:spacing w:val="-2"/>
                <w:sz w:val="18"/>
                <w:szCs w:val="18"/>
              </w:rPr>
              <w:t>21208</w:t>
            </w:r>
          </w:p>
        </w:tc>
        <w:tc>
          <w:tcPr>
            <w:tcW w:w="2982" w:type="dxa"/>
            <w:vAlign w:val="top"/>
          </w:tcPr>
          <w:p w14:paraId="0715100C">
            <w:pPr>
              <w:spacing w:before="138" w:line="219" w:lineRule="auto"/>
              <w:ind w:left="19"/>
              <w:rPr>
                <w:rFonts w:ascii="宋体" w:hAnsi="宋体" w:eastAsia="宋体" w:cs="宋体"/>
                <w:sz w:val="18"/>
                <w:szCs w:val="18"/>
              </w:rPr>
            </w:pPr>
            <w:r>
              <w:rPr>
                <w:rFonts w:ascii="宋体" w:hAnsi="宋体" w:eastAsia="宋体" w:cs="宋体"/>
                <w:color w:val="212529"/>
                <w:spacing w:val="-2"/>
                <w:sz w:val="18"/>
                <w:szCs w:val="18"/>
              </w:rPr>
              <w:t>国有土地使用权出让收入安排的支出</w:t>
            </w:r>
          </w:p>
        </w:tc>
        <w:tc>
          <w:tcPr>
            <w:tcW w:w="1468" w:type="dxa"/>
            <w:vAlign w:val="top"/>
          </w:tcPr>
          <w:p w14:paraId="6B7B7166">
            <w:pPr>
              <w:spacing w:before="165" w:line="184" w:lineRule="auto"/>
              <w:ind w:right="23"/>
              <w:jc w:val="right"/>
              <w:rPr>
                <w:rFonts w:ascii="宋体" w:hAnsi="宋体" w:eastAsia="宋体" w:cs="宋体"/>
                <w:sz w:val="18"/>
                <w:szCs w:val="18"/>
              </w:rPr>
            </w:pPr>
            <w:r>
              <w:rPr>
                <w:rFonts w:ascii="宋体" w:hAnsi="宋体" w:eastAsia="宋体" w:cs="宋体"/>
                <w:color w:val="212529"/>
                <w:spacing w:val="-2"/>
                <w:sz w:val="18"/>
                <w:szCs w:val="18"/>
              </w:rPr>
              <w:t>277.14</w:t>
            </w:r>
          </w:p>
        </w:tc>
        <w:tc>
          <w:tcPr>
            <w:tcW w:w="1274" w:type="dxa"/>
            <w:vAlign w:val="top"/>
          </w:tcPr>
          <w:p w14:paraId="55B76E54">
            <w:pPr>
              <w:pStyle w:val="6"/>
            </w:pPr>
          </w:p>
        </w:tc>
        <w:tc>
          <w:tcPr>
            <w:tcW w:w="1318" w:type="dxa"/>
            <w:vAlign w:val="top"/>
          </w:tcPr>
          <w:p w14:paraId="5CED2F27">
            <w:pPr>
              <w:spacing w:before="165" w:line="184" w:lineRule="auto"/>
              <w:ind w:right="24"/>
              <w:jc w:val="right"/>
              <w:rPr>
                <w:rFonts w:ascii="宋体" w:hAnsi="宋体" w:eastAsia="宋体" w:cs="宋体"/>
                <w:sz w:val="18"/>
                <w:szCs w:val="18"/>
              </w:rPr>
            </w:pPr>
            <w:r>
              <w:rPr>
                <w:rFonts w:ascii="宋体" w:hAnsi="宋体" w:eastAsia="宋体" w:cs="宋体"/>
                <w:color w:val="212529"/>
                <w:spacing w:val="-2"/>
                <w:sz w:val="18"/>
                <w:szCs w:val="18"/>
              </w:rPr>
              <w:t>277.14</w:t>
            </w:r>
          </w:p>
        </w:tc>
        <w:tc>
          <w:tcPr>
            <w:tcW w:w="1513" w:type="dxa"/>
            <w:vAlign w:val="top"/>
          </w:tcPr>
          <w:p w14:paraId="06478963">
            <w:pPr>
              <w:pStyle w:val="6"/>
            </w:pPr>
          </w:p>
        </w:tc>
        <w:tc>
          <w:tcPr>
            <w:tcW w:w="1498" w:type="dxa"/>
            <w:vAlign w:val="top"/>
          </w:tcPr>
          <w:p w14:paraId="372D4B79">
            <w:pPr>
              <w:pStyle w:val="6"/>
            </w:pPr>
          </w:p>
        </w:tc>
        <w:tc>
          <w:tcPr>
            <w:tcW w:w="959" w:type="dxa"/>
            <w:vAlign w:val="top"/>
          </w:tcPr>
          <w:p w14:paraId="776DB916">
            <w:pPr>
              <w:pStyle w:val="6"/>
            </w:pPr>
          </w:p>
        </w:tc>
        <w:tc>
          <w:tcPr>
            <w:tcW w:w="1026" w:type="dxa"/>
            <w:vAlign w:val="top"/>
          </w:tcPr>
          <w:p w14:paraId="22D8E938">
            <w:pPr>
              <w:pStyle w:val="6"/>
            </w:pPr>
          </w:p>
        </w:tc>
      </w:tr>
      <w:tr w14:paraId="3759C7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1431" w:type="dxa"/>
            <w:vAlign w:val="top"/>
          </w:tcPr>
          <w:p w14:paraId="1319CD58">
            <w:pPr>
              <w:spacing w:before="165" w:line="184" w:lineRule="auto"/>
              <w:ind w:left="9"/>
              <w:rPr>
                <w:rFonts w:ascii="宋体" w:hAnsi="宋体" w:eastAsia="宋体" w:cs="宋体"/>
                <w:sz w:val="18"/>
                <w:szCs w:val="18"/>
              </w:rPr>
            </w:pPr>
            <w:r>
              <w:rPr>
                <w:rFonts w:ascii="宋体" w:hAnsi="宋体" w:eastAsia="宋体" w:cs="宋体"/>
                <w:color w:val="212529"/>
                <w:spacing w:val="-2"/>
                <w:sz w:val="18"/>
                <w:szCs w:val="18"/>
              </w:rPr>
              <w:t>2120801</w:t>
            </w:r>
          </w:p>
        </w:tc>
        <w:tc>
          <w:tcPr>
            <w:tcW w:w="2982" w:type="dxa"/>
            <w:vAlign w:val="top"/>
          </w:tcPr>
          <w:p w14:paraId="601726B5">
            <w:pPr>
              <w:spacing w:before="138" w:line="219" w:lineRule="auto"/>
              <w:ind w:left="4"/>
              <w:rPr>
                <w:rFonts w:ascii="宋体" w:hAnsi="宋体" w:eastAsia="宋体" w:cs="宋体"/>
                <w:sz w:val="18"/>
                <w:szCs w:val="18"/>
              </w:rPr>
            </w:pPr>
            <w:r>
              <w:rPr>
                <w:rFonts w:ascii="宋体" w:hAnsi="宋体" w:eastAsia="宋体" w:cs="宋体"/>
                <w:color w:val="212529"/>
                <w:spacing w:val="-1"/>
                <w:sz w:val="18"/>
                <w:szCs w:val="18"/>
              </w:rPr>
              <w:t>征地和拆迁补偿支出</w:t>
            </w:r>
          </w:p>
        </w:tc>
        <w:tc>
          <w:tcPr>
            <w:tcW w:w="1468" w:type="dxa"/>
            <w:vAlign w:val="top"/>
          </w:tcPr>
          <w:p w14:paraId="7380D7E5">
            <w:pPr>
              <w:spacing w:before="165" w:line="184" w:lineRule="auto"/>
              <w:ind w:right="23"/>
              <w:jc w:val="right"/>
              <w:rPr>
                <w:rFonts w:ascii="宋体" w:hAnsi="宋体" w:eastAsia="宋体" w:cs="宋体"/>
                <w:sz w:val="18"/>
                <w:szCs w:val="18"/>
              </w:rPr>
            </w:pPr>
            <w:r>
              <w:rPr>
                <w:rFonts w:ascii="宋体" w:hAnsi="宋体" w:eastAsia="宋体" w:cs="宋体"/>
                <w:color w:val="212529"/>
                <w:spacing w:val="-2"/>
                <w:sz w:val="18"/>
                <w:szCs w:val="18"/>
              </w:rPr>
              <w:t>277.14</w:t>
            </w:r>
          </w:p>
        </w:tc>
        <w:tc>
          <w:tcPr>
            <w:tcW w:w="1274" w:type="dxa"/>
            <w:vAlign w:val="top"/>
          </w:tcPr>
          <w:p w14:paraId="4C547BE6">
            <w:pPr>
              <w:pStyle w:val="6"/>
            </w:pPr>
          </w:p>
        </w:tc>
        <w:tc>
          <w:tcPr>
            <w:tcW w:w="1318" w:type="dxa"/>
            <w:vAlign w:val="top"/>
          </w:tcPr>
          <w:p w14:paraId="4C797946">
            <w:pPr>
              <w:spacing w:before="165" w:line="184" w:lineRule="auto"/>
              <w:ind w:right="24"/>
              <w:jc w:val="right"/>
              <w:rPr>
                <w:rFonts w:ascii="宋体" w:hAnsi="宋体" w:eastAsia="宋体" w:cs="宋体"/>
                <w:sz w:val="18"/>
                <w:szCs w:val="18"/>
              </w:rPr>
            </w:pPr>
            <w:r>
              <w:rPr>
                <w:rFonts w:ascii="宋体" w:hAnsi="宋体" w:eastAsia="宋体" w:cs="宋体"/>
                <w:color w:val="212529"/>
                <w:spacing w:val="-2"/>
                <w:sz w:val="18"/>
                <w:szCs w:val="18"/>
              </w:rPr>
              <w:t>277.14</w:t>
            </w:r>
          </w:p>
        </w:tc>
        <w:tc>
          <w:tcPr>
            <w:tcW w:w="1513" w:type="dxa"/>
            <w:vAlign w:val="top"/>
          </w:tcPr>
          <w:p w14:paraId="19A22613">
            <w:pPr>
              <w:pStyle w:val="6"/>
            </w:pPr>
          </w:p>
        </w:tc>
        <w:tc>
          <w:tcPr>
            <w:tcW w:w="1498" w:type="dxa"/>
            <w:vAlign w:val="top"/>
          </w:tcPr>
          <w:p w14:paraId="19893317">
            <w:pPr>
              <w:pStyle w:val="6"/>
            </w:pPr>
          </w:p>
        </w:tc>
        <w:tc>
          <w:tcPr>
            <w:tcW w:w="959" w:type="dxa"/>
            <w:vAlign w:val="top"/>
          </w:tcPr>
          <w:p w14:paraId="6D379C39">
            <w:pPr>
              <w:pStyle w:val="6"/>
            </w:pPr>
          </w:p>
        </w:tc>
        <w:tc>
          <w:tcPr>
            <w:tcW w:w="1026" w:type="dxa"/>
            <w:vAlign w:val="top"/>
          </w:tcPr>
          <w:p w14:paraId="11E50365">
            <w:pPr>
              <w:pStyle w:val="6"/>
            </w:pPr>
          </w:p>
        </w:tc>
      </w:tr>
    </w:tbl>
    <w:p w14:paraId="6E6E777E">
      <w:pPr>
        <w:pStyle w:val="2"/>
      </w:pPr>
    </w:p>
    <w:p w14:paraId="6CE0F6BB">
      <w:pPr>
        <w:sectPr>
          <w:headerReference r:id="rId14" w:type="default"/>
          <w:footerReference r:id="rId15" w:type="default"/>
          <w:pgSz w:w="16840" w:h="11900"/>
          <w:pgMar w:top="611" w:right="0" w:bottom="312" w:left="0" w:header="357" w:footer="153" w:gutter="0"/>
          <w:cols w:space="720" w:num="1"/>
        </w:sectPr>
      </w:pPr>
    </w:p>
    <w:p w14:paraId="7F7C790D">
      <w:pPr>
        <w:spacing w:before="118"/>
      </w:pPr>
    </w:p>
    <w:p w14:paraId="2951F407">
      <w:pPr>
        <w:spacing w:before="118"/>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33"/>
        <w:gridCol w:w="3305"/>
        <w:gridCol w:w="1458"/>
        <w:gridCol w:w="1328"/>
        <w:gridCol w:w="1334"/>
      </w:tblGrid>
      <w:tr w14:paraId="1E9667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733" w:type="dxa"/>
            <w:tcBorders>
              <w:top w:val="single" w:color="FFFFFF" w:sz="4" w:space="0"/>
              <w:left w:val="single" w:color="FFFFFF" w:sz="2" w:space="0"/>
              <w:bottom w:val="single" w:color="FFFFFF" w:sz="4" w:space="0"/>
              <w:right w:val="single" w:color="FFFFFF" w:sz="2" w:space="0"/>
            </w:tcBorders>
            <w:vAlign w:val="top"/>
          </w:tcPr>
          <w:p w14:paraId="285B934C">
            <w:pPr>
              <w:pStyle w:val="6"/>
            </w:pPr>
          </w:p>
        </w:tc>
        <w:tc>
          <w:tcPr>
            <w:tcW w:w="3305" w:type="dxa"/>
            <w:tcBorders>
              <w:top w:val="single" w:color="FFFFFF" w:sz="4" w:space="0"/>
              <w:left w:val="single" w:color="FFFFFF" w:sz="2" w:space="0"/>
              <w:bottom w:val="single" w:color="FFFFFF" w:sz="4" w:space="0"/>
              <w:right w:val="single" w:color="FFFFFF" w:sz="2" w:space="0"/>
            </w:tcBorders>
            <w:vAlign w:val="top"/>
          </w:tcPr>
          <w:p w14:paraId="504D3AB3">
            <w:pPr>
              <w:pStyle w:val="6"/>
            </w:pPr>
          </w:p>
        </w:tc>
        <w:tc>
          <w:tcPr>
            <w:tcW w:w="1458" w:type="dxa"/>
            <w:tcBorders>
              <w:top w:val="single" w:color="FFFFFF" w:sz="4" w:space="0"/>
              <w:left w:val="single" w:color="FFFFFF" w:sz="2" w:space="0"/>
              <w:bottom w:val="single" w:color="FFFFFF" w:sz="4" w:space="0"/>
              <w:right w:val="single" w:color="FFFFFF" w:sz="2" w:space="0"/>
            </w:tcBorders>
            <w:vAlign w:val="top"/>
          </w:tcPr>
          <w:p w14:paraId="468C97EA">
            <w:pPr>
              <w:pStyle w:val="6"/>
            </w:pPr>
          </w:p>
        </w:tc>
        <w:tc>
          <w:tcPr>
            <w:tcW w:w="1328" w:type="dxa"/>
            <w:tcBorders>
              <w:top w:val="single" w:color="FFFFFF" w:sz="4" w:space="0"/>
              <w:left w:val="single" w:color="FFFFFF" w:sz="2" w:space="0"/>
              <w:bottom w:val="single" w:color="FFFFFF" w:sz="4" w:space="0"/>
              <w:right w:val="single" w:color="FFFFFF" w:sz="2" w:space="0"/>
            </w:tcBorders>
            <w:vAlign w:val="top"/>
          </w:tcPr>
          <w:p w14:paraId="143890A6">
            <w:pPr>
              <w:pStyle w:val="6"/>
            </w:pPr>
          </w:p>
        </w:tc>
        <w:tc>
          <w:tcPr>
            <w:tcW w:w="1334" w:type="dxa"/>
            <w:tcBorders>
              <w:top w:val="single" w:color="FFFFFF" w:sz="4" w:space="0"/>
              <w:left w:val="single" w:color="FFFFFF" w:sz="2" w:space="0"/>
              <w:bottom w:val="single" w:color="FFFFFF" w:sz="4" w:space="0"/>
              <w:right w:val="single" w:color="FFFFFF" w:sz="2" w:space="0"/>
            </w:tcBorders>
            <w:vAlign w:val="top"/>
          </w:tcPr>
          <w:p w14:paraId="17914176">
            <w:pPr>
              <w:spacing w:before="94" w:line="234" w:lineRule="auto"/>
              <w:ind w:left="595"/>
              <w:rPr>
                <w:rFonts w:ascii="宋体" w:hAnsi="宋体" w:eastAsia="宋体" w:cs="宋体"/>
                <w:sz w:val="12"/>
                <w:szCs w:val="12"/>
              </w:rPr>
            </w:pPr>
            <w:r>
              <w:rPr>
                <w:rFonts w:ascii="宋体" w:hAnsi="宋体" w:eastAsia="宋体" w:cs="宋体"/>
                <w:color w:val="212529"/>
                <w:spacing w:val="8"/>
                <w:sz w:val="12"/>
                <w:szCs w:val="12"/>
              </w:rPr>
              <w:t>预算公开表3</w:t>
            </w:r>
          </w:p>
        </w:tc>
      </w:tr>
      <w:tr w14:paraId="36D825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40DF24DE">
            <w:pPr>
              <w:spacing w:before="46" w:line="200" w:lineRule="exact"/>
              <w:ind w:left="3665"/>
              <w:outlineLvl w:val="1"/>
              <w:rPr>
                <w:rFonts w:ascii="微软雅黑" w:hAnsi="微软雅黑" w:eastAsia="微软雅黑" w:cs="微软雅黑"/>
                <w:sz w:val="19"/>
                <w:szCs w:val="19"/>
              </w:rPr>
            </w:pPr>
            <w:bookmarkStart w:id="43" w:name="bookmark38"/>
            <w:bookmarkEnd w:id="43"/>
            <w:bookmarkStart w:id="44" w:name="bookmark8"/>
            <w:bookmarkEnd w:id="44"/>
            <w:r>
              <w:rPr>
                <w:rFonts w:ascii="微软雅黑" w:hAnsi="微软雅黑" w:eastAsia="微软雅黑" w:cs="微软雅黑"/>
                <w:color w:val="212529"/>
                <w:spacing w:val="2"/>
                <w:position w:val="-1"/>
                <w:sz w:val="19"/>
                <w:szCs w:val="19"/>
              </w:rPr>
              <w:t>2025年预算支出总表</w:t>
            </w:r>
          </w:p>
        </w:tc>
      </w:tr>
      <w:tr w14:paraId="521314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6496" w:type="dxa"/>
            <w:gridSpan w:val="3"/>
            <w:tcBorders>
              <w:top w:val="single" w:color="FFFFFF" w:sz="4" w:space="0"/>
              <w:left w:val="single" w:color="FFFFFF" w:sz="2" w:space="0"/>
              <w:right w:val="single" w:color="FFFFFF" w:sz="2" w:space="0"/>
            </w:tcBorders>
            <w:vAlign w:val="top"/>
          </w:tcPr>
          <w:p w14:paraId="3B12BA1A">
            <w:pPr>
              <w:spacing w:before="90" w:line="234" w:lineRule="auto"/>
              <w:ind w:left="9"/>
              <w:rPr>
                <w:rFonts w:ascii="宋体" w:hAnsi="宋体" w:eastAsia="宋体" w:cs="宋体"/>
                <w:sz w:val="12"/>
                <w:szCs w:val="12"/>
              </w:rPr>
            </w:pPr>
            <w:r>
              <w:rPr>
                <w:rFonts w:ascii="宋体" w:hAnsi="宋体" w:eastAsia="宋体" w:cs="宋体"/>
                <w:color w:val="212529"/>
                <w:spacing w:val="9"/>
                <w:sz w:val="12"/>
                <w:szCs w:val="12"/>
              </w:rPr>
              <w:t>部门名称：长治高新区漳泽工业园事业服务中心</w:t>
            </w:r>
          </w:p>
        </w:tc>
        <w:tc>
          <w:tcPr>
            <w:tcW w:w="1328" w:type="dxa"/>
            <w:tcBorders>
              <w:top w:val="single" w:color="FFFFFF" w:sz="4" w:space="0"/>
              <w:left w:val="single" w:color="FFFFFF" w:sz="2" w:space="0"/>
              <w:right w:val="single" w:color="FFFFFF" w:sz="2" w:space="0"/>
            </w:tcBorders>
            <w:vAlign w:val="top"/>
          </w:tcPr>
          <w:p w14:paraId="4E8BCD83">
            <w:pPr>
              <w:pStyle w:val="6"/>
            </w:pPr>
          </w:p>
        </w:tc>
        <w:tc>
          <w:tcPr>
            <w:tcW w:w="1334" w:type="dxa"/>
            <w:tcBorders>
              <w:top w:val="single" w:color="FFFFFF" w:sz="4" w:space="0"/>
              <w:left w:val="single" w:color="FFFFFF" w:sz="2" w:space="0"/>
              <w:right w:val="single" w:color="FFFFFF" w:sz="2" w:space="0"/>
            </w:tcBorders>
            <w:vAlign w:val="top"/>
          </w:tcPr>
          <w:p w14:paraId="15C1F4E3">
            <w:pPr>
              <w:spacing w:before="91" w:line="234" w:lineRule="auto"/>
              <w:ind w:left="661"/>
              <w:rPr>
                <w:rFonts w:ascii="宋体" w:hAnsi="宋体" w:eastAsia="宋体" w:cs="宋体"/>
                <w:sz w:val="12"/>
                <w:szCs w:val="12"/>
              </w:rPr>
            </w:pPr>
            <w:r>
              <w:rPr>
                <w:rFonts w:ascii="宋体" w:hAnsi="宋体" w:eastAsia="宋体" w:cs="宋体"/>
                <w:color w:val="212529"/>
                <w:spacing w:val="8"/>
                <w:sz w:val="12"/>
                <w:szCs w:val="12"/>
              </w:rPr>
              <w:t>单位：万元</w:t>
            </w:r>
          </w:p>
        </w:tc>
      </w:tr>
      <w:tr w14:paraId="496348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5038" w:type="dxa"/>
            <w:gridSpan w:val="2"/>
            <w:vAlign w:val="top"/>
          </w:tcPr>
          <w:p w14:paraId="51F69175">
            <w:pPr>
              <w:spacing w:before="78" w:line="154" w:lineRule="exact"/>
              <w:ind w:left="2343"/>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4120" w:type="dxa"/>
            <w:gridSpan w:val="3"/>
            <w:vAlign w:val="top"/>
          </w:tcPr>
          <w:p w14:paraId="2FEEDC44">
            <w:pPr>
              <w:spacing w:before="76" w:line="157" w:lineRule="exact"/>
              <w:ind w:left="1564"/>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529B5E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1733" w:type="dxa"/>
            <w:vAlign w:val="top"/>
          </w:tcPr>
          <w:p w14:paraId="77A91655">
            <w:pPr>
              <w:spacing w:before="76" w:line="157" w:lineRule="exact"/>
              <w:ind w:left="530"/>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3305" w:type="dxa"/>
            <w:vAlign w:val="top"/>
          </w:tcPr>
          <w:p w14:paraId="1215C25E">
            <w:pPr>
              <w:spacing w:before="76" w:line="157" w:lineRule="exact"/>
              <w:ind w:left="1314"/>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458" w:type="dxa"/>
            <w:vAlign w:val="top"/>
          </w:tcPr>
          <w:p w14:paraId="345E715F">
            <w:pPr>
              <w:spacing w:before="77" w:line="154" w:lineRule="exact"/>
              <w:ind w:left="555"/>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328" w:type="dxa"/>
            <w:vAlign w:val="top"/>
          </w:tcPr>
          <w:p w14:paraId="6A6D6ED2">
            <w:pPr>
              <w:spacing w:before="76" w:line="156" w:lineRule="exact"/>
              <w:ind w:left="325"/>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334" w:type="dxa"/>
            <w:vAlign w:val="top"/>
          </w:tcPr>
          <w:p w14:paraId="69850512">
            <w:pPr>
              <w:spacing w:before="76" w:line="156" w:lineRule="exact"/>
              <w:ind w:left="332"/>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09F925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5038" w:type="dxa"/>
            <w:gridSpan w:val="2"/>
            <w:vAlign w:val="top"/>
          </w:tcPr>
          <w:p w14:paraId="27C667F2">
            <w:pPr>
              <w:spacing w:before="78" w:line="154" w:lineRule="exact"/>
              <w:ind w:left="234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458" w:type="dxa"/>
            <w:vAlign w:val="top"/>
          </w:tcPr>
          <w:p w14:paraId="528E7015">
            <w:pPr>
              <w:pStyle w:val="6"/>
              <w:spacing w:before="98" w:line="162" w:lineRule="auto"/>
              <w:ind w:left="875"/>
              <w:rPr>
                <w:sz w:val="15"/>
                <w:szCs w:val="15"/>
              </w:rPr>
            </w:pPr>
            <w:r>
              <w:rPr>
                <w:color w:val="212529"/>
                <w:sz w:val="15"/>
                <w:szCs w:val="15"/>
              </w:rPr>
              <w:t>1066.87</w:t>
            </w:r>
          </w:p>
        </w:tc>
        <w:tc>
          <w:tcPr>
            <w:tcW w:w="1328" w:type="dxa"/>
            <w:vAlign w:val="top"/>
          </w:tcPr>
          <w:p w14:paraId="71D3923F">
            <w:pPr>
              <w:pStyle w:val="6"/>
              <w:spacing w:before="99" w:line="186" w:lineRule="auto"/>
              <w:ind w:left="819"/>
              <w:rPr>
                <w:sz w:val="13"/>
                <w:szCs w:val="13"/>
              </w:rPr>
            </w:pPr>
            <w:r>
              <w:rPr>
                <w:color w:val="212529"/>
                <w:spacing w:val="5"/>
                <w:sz w:val="13"/>
                <w:szCs w:val="13"/>
              </w:rPr>
              <w:t>246.</w:t>
            </w:r>
            <w:r>
              <w:rPr>
                <w:color w:val="212529"/>
                <w:spacing w:val="9"/>
                <w:sz w:val="13"/>
                <w:szCs w:val="13"/>
              </w:rPr>
              <w:t xml:space="preserve"> </w:t>
            </w:r>
            <w:r>
              <w:rPr>
                <w:color w:val="212529"/>
                <w:spacing w:val="5"/>
                <w:sz w:val="13"/>
                <w:szCs w:val="13"/>
              </w:rPr>
              <w:t>73</w:t>
            </w:r>
          </w:p>
        </w:tc>
        <w:tc>
          <w:tcPr>
            <w:tcW w:w="1334" w:type="dxa"/>
            <w:vAlign w:val="top"/>
          </w:tcPr>
          <w:p w14:paraId="39D3566F">
            <w:pPr>
              <w:pStyle w:val="6"/>
              <w:spacing w:before="99" w:line="186" w:lineRule="auto"/>
              <w:ind w:left="822"/>
              <w:rPr>
                <w:sz w:val="13"/>
                <w:szCs w:val="13"/>
              </w:rPr>
            </w:pPr>
            <w:r>
              <w:rPr>
                <w:color w:val="212529"/>
                <w:spacing w:val="3"/>
                <w:sz w:val="13"/>
                <w:szCs w:val="13"/>
              </w:rPr>
              <w:t>820.</w:t>
            </w:r>
            <w:r>
              <w:rPr>
                <w:color w:val="212529"/>
                <w:spacing w:val="26"/>
                <w:sz w:val="13"/>
                <w:szCs w:val="13"/>
              </w:rPr>
              <w:t xml:space="preserve"> </w:t>
            </w:r>
            <w:r>
              <w:rPr>
                <w:color w:val="212529"/>
                <w:spacing w:val="3"/>
                <w:sz w:val="13"/>
                <w:szCs w:val="13"/>
              </w:rPr>
              <w:t>14</w:t>
            </w:r>
          </w:p>
        </w:tc>
      </w:tr>
      <w:tr w14:paraId="635988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12454E53">
            <w:pPr>
              <w:spacing w:before="104" w:line="191" w:lineRule="auto"/>
              <w:ind w:left="8"/>
              <w:rPr>
                <w:rFonts w:ascii="宋体" w:hAnsi="宋体" w:eastAsia="宋体" w:cs="宋体"/>
                <w:sz w:val="15"/>
                <w:szCs w:val="15"/>
              </w:rPr>
            </w:pPr>
            <w:r>
              <w:rPr>
                <w:rFonts w:ascii="宋体" w:hAnsi="宋体" w:eastAsia="宋体" w:cs="宋体"/>
                <w:color w:val="212529"/>
                <w:spacing w:val="2"/>
                <w:sz w:val="15"/>
                <w:szCs w:val="15"/>
              </w:rPr>
              <w:t>201</w:t>
            </w:r>
          </w:p>
        </w:tc>
        <w:tc>
          <w:tcPr>
            <w:tcW w:w="3305" w:type="dxa"/>
            <w:vAlign w:val="top"/>
          </w:tcPr>
          <w:p w14:paraId="7B659285">
            <w:pPr>
              <w:spacing w:before="80" w:line="229" w:lineRule="auto"/>
              <w:ind w:left="10"/>
              <w:rPr>
                <w:rFonts w:ascii="宋体" w:hAnsi="宋体" w:eastAsia="宋体" w:cs="宋体"/>
                <w:sz w:val="15"/>
                <w:szCs w:val="15"/>
              </w:rPr>
            </w:pPr>
            <w:r>
              <w:rPr>
                <w:rFonts w:ascii="宋体" w:hAnsi="宋体" w:eastAsia="宋体" w:cs="宋体"/>
                <w:color w:val="212529"/>
                <w:spacing w:val="10"/>
                <w:sz w:val="15"/>
                <w:szCs w:val="15"/>
              </w:rPr>
              <w:t>一般公共服务支出</w:t>
            </w:r>
          </w:p>
        </w:tc>
        <w:tc>
          <w:tcPr>
            <w:tcW w:w="1458" w:type="dxa"/>
            <w:vAlign w:val="top"/>
          </w:tcPr>
          <w:p w14:paraId="4202C6D2">
            <w:pPr>
              <w:spacing w:before="105" w:line="190" w:lineRule="auto"/>
              <w:ind w:left="949"/>
              <w:rPr>
                <w:rFonts w:ascii="宋体" w:hAnsi="宋体" w:eastAsia="宋体" w:cs="宋体"/>
                <w:sz w:val="15"/>
                <w:szCs w:val="15"/>
              </w:rPr>
            </w:pPr>
            <w:r>
              <w:rPr>
                <w:rFonts w:ascii="宋体" w:hAnsi="宋体" w:eastAsia="宋体" w:cs="宋体"/>
                <w:color w:val="212529"/>
                <w:spacing w:val="4"/>
                <w:sz w:val="15"/>
                <w:szCs w:val="15"/>
              </w:rPr>
              <w:t>789.73</w:t>
            </w:r>
          </w:p>
        </w:tc>
        <w:tc>
          <w:tcPr>
            <w:tcW w:w="1328" w:type="dxa"/>
            <w:vAlign w:val="top"/>
          </w:tcPr>
          <w:p w14:paraId="72E52690">
            <w:pPr>
              <w:pStyle w:val="6"/>
              <w:spacing w:before="99" w:line="186" w:lineRule="auto"/>
              <w:ind w:left="819"/>
              <w:rPr>
                <w:sz w:val="13"/>
                <w:szCs w:val="13"/>
              </w:rPr>
            </w:pPr>
            <w:r>
              <w:rPr>
                <w:color w:val="212529"/>
                <w:spacing w:val="5"/>
                <w:sz w:val="13"/>
                <w:szCs w:val="13"/>
              </w:rPr>
              <w:t>246.</w:t>
            </w:r>
            <w:r>
              <w:rPr>
                <w:color w:val="212529"/>
                <w:spacing w:val="9"/>
                <w:sz w:val="13"/>
                <w:szCs w:val="13"/>
              </w:rPr>
              <w:t xml:space="preserve"> </w:t>
            </w:r>
            <w:r>
              <w:rPr>
                <w:color w:val="212529"/>
                <w:spacing w:val="5"/>
                <w:sz w:val="13"/>
                <w:szCs w:val="13"/>
              </w:rPr>
              <w:t>73</w:t>
            </w:r>
          </w:p>
        </w:tc>
        <w:tc>
          <w:tcPr>
            <w:tcW w:w="1334" w:type="dxa"/>
            <w:vAlign w:val="top"/>
          </w:tcPr>
          <w:p w14:paraId="07A31E24">
            <w:pPr>
              <w:pStyle w:val="6"/>
              <w:spacing w:before="100" w:line="172" w:lineRule="auto"/>
              <w:ind w:left="824"/>
              <w:rPr>
                <w:sz w:val="14"/>
                <w:szCs w:val="14"/>
              </w:rPr>
            </w:pPr>
            <w:r>
              <w:rPr>
                <w:color w:val="212529"/>
                <w:sz w:val="14"/>
                <w:szCs w:val="14"/>
              </w:rPr>
              <w:t>543.</w:t>
            </w:r>
            <w:r>
              <w:rPr>
                <w:color w:val="212529"/>
                <w:spacing w:val="6"/>
                <w:sz w:val="14"/>
                <w:szCs w:val="14"/>
              </w:rPr>
              <w:t xml:space="preserve"> </w:t>
            </w:r>
            <w:r>
              <w:rPr>
                <w:color w:val="212529"/>
                <w:sz w:val="14"/>
                <w:szCs w:val="14"/>
              </w:rPr>
              <w:t>00</w:t>
            </w:r>
          </w:p>
        </w:tc>
      </w:tr>
      <w:tr w14:paraId="476BF9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1733" w:type="dxa"/>
            <w:vAlign w:val="top"/>
          </w:tcPr>
          <w:p w14:paraId="58B2DCF1">
            <w:pPr>
              <w:spacing w:before="104" w:line="191" w:lineRule="auto"/>
              <w:ind w:left="8"/>
              <w:rPr>
                <w:rFonts w:ascii="宋体" w:hAnsi="宋体" w:eastAsia="宋体" w:cs="宋体"/>
                <w:sz w:val="15"/>
                <w:szCs w:val="15"/>
              </w:rPr>
            </w:pPr>
            <w:r>
              <w:rPr>
                <w:rFonts w:ascii="宋体" w:hAnsi="宋体" w:eastAsia="宋体" w:cs="宋体"/>
                <w:color w:val="212529"/>
                <w:spacing w:val="4"/>
                <w:sz w:val="15"/>
                <w:szCs w:val="15"/>
              </w:rPr>
              <w:t>20103</w:t>
            </w:r>
          </w:p>
        </w:tc>
        <w:tc>
          <w:tcPr>
            <w:tcW w:w="3305" w:type="dxa"/>
            <w:vAlign w:val="top"/>
          </w:tcPr>
          <w:p w14:paraId="3B435A66">
            <w:pPr>
              <w:spacing w:before="81" w:line="228" w:lineRule="auto"/>
              <w:ind w:left="9"/>
              <w:rPr>
                <w:rFonts w:ascii="宋体" w:hAnsi="宋体" w:eastAsia="宋体" w:cs="宋体"/>
                <w:sz w:val="15"/>
                <w:szCs w:val="15"/>
              </w:rPr>
            </w:pPr>
            <w:r>
              <w:rPr>
                <w:rFonts w:ascii="宋体" w:hAnsi="宋体" w:eastAsia="宋体" w:cs="宋体"/>
                <w:color w:val="212529"/>
                <w:spacing w:val="11"/>
                <w:sz w:val="15"/>
                <w:szCs w:val="15"/>
              </w:rPr>
              <w:t>政府办公厅（室）及相关机构事务</w:t>
            </w:r>
          </w:p>
        </w:tc>
        <w:tc>
          <w:tcPr>
            <w:tcW w:w="1458" w:type="dxa"/>
            <w:vAlign w:val="top"/>
          </w:tcPr>
          <w:p w14:paraId="2D145CE2">
            <w:pPr>
              <w:spacing w:before="105" w:line="190" w:lineRule="auto"/>
              <w:ind w:left="946"/>
              <w:rPr>
                <w:rFonts w:ascii="宋体" w:hAnsi="宋体" w:eastAsia="宋体" w:cs="宋体"/>
                <w:sz w:val="15"/>
                <w:szCs w:val="15"/>
              </w:rPr>
            </w:pPr>
            <w:r>
              <w:rPr>
                <w:rFonts w:ascii="宋体" w:hAnsi="宋体" w:eastAsia="宋体" w:cs="宋体"/>
                <w:color w:val="212529"/>
                <w:spacing w:val="4"/>
                <w:sz w:val="15"/>
                <w:szCs w:val="15"/>
              </w:rPr>
              <w:t>609.76</w:t>
            </w:r>
          </w:p>
        </w:tc>
        <w:tc>
          <w:tcPr>
            <w:tcW w:w="1328" w:type="dxa"/>
            <w:vAlign w:val="top"/>
          </w:tcPr>
          <w:p w14:paraId="7315987A">
            <w:pPr>
              <w:pStyle w:val="6"/>
              <w:spacing w:before="99" w:line="186" w:lineRule="auto"/>
              <w:ind w:left="819"/>
              <w:rPr>
                <w:sz w:val="13"/>
                <w:szCs w:val="13"/>
              </w:rPr>
            </w:pPr>
            <w:r>
              <w:rPr>
                <w:color w:val="212529"/>
                <w:spacing w:val="5"/>
                <w:sz w:val="13"/>
                <w:szCs w:val="13"/>
              </w:rPr>
              <w:t>246.</w:t>
            </w:r>
            <w:r>
              <w:rPr>
                <w:color w:val="212529"/>
                <w:spacing w:val="9"/>
                <w:sz w:val="13"/>
                <w:szCs w:val="13"/>
              </w:rPr>
              <w:t xml:space="preserve"> </w:t>
            </w:r>
            <w:r>
              <w:rPr>
                <w:color w:val="212529"/>
                <w:spacing w:val="5"/>
                <w:sz w:val="13"/>
                <w:szCs w:val="13"/>
              </w:rPr>
              <w:t>73</w:t>
            </w:r>
          </w:p>
        </w:tc>
        <w:tc>
          <w:tcPr>
            <w:tcW w:w="1334" w:type="dxa"/>
            <w:vAlign w:val="top"/>
          </w:tcPr>
          <w:p w14:paraId="622BE325">
            <w:pPr>
              <w:pStyle w:val="6"/>
              <w:spacing w:before="99" w:line="186" w:lineRule="auto"/>
              <w:ind w:left="824"/>
              <w:rPr>
                <w:sz w:val="13"/>
                <w:szCs w:val="13"/>
              </w:rPr>
            </w:pPr>
            <w:r>
              <w:rPr>
                <w:color w:val="212529"/>
                <w:spacing w:val="4"/>
                <w:sz w:val="13"/>
                <w:szCs w:val="13"/>
              </w:rPr>
              <w:t>363.</w:t>
            </w:r>
            <w:r>
              <w:rPr>
                <w:color w:val="212529"/>
                <w:spacing w:val="13"/>
                <w:sz w:val="13"/>
                <w:szCs w:val="13"/>
              </w:rPr>
              <w:t xml:space="preserve"> </w:t>
            </w:r>
            <w:r>
              <w:rPr>
                <w:color w:val="212529"/>
                <w:spacing w:val="4"/>
                <w:sz w:val="13"/>
                <w:szCs w:val="13"/>
              </w:rPr>
              <w:t>03</w:t>
            </w:r>
          </w:p>
        </w:tc>
      </w:tr>
      <w:tr w14:paraId="38BC2B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44DBF546">
            <w:pPr>
              <w:spacing w:before="106" w:line="191" w:lineRule="auto"/>
              <w:ind w:left="8"/>
              <w:rPr>
                <w:rFonts w:ascii="宋体" w:hAnsi="宋体" w:eastAsia="宋体" w:cs="宋体"/>
                <w:sz w:val="15"/>
                <w:szCs w:val="15"/>
              </w:rPr>
            </w:pPr>
            <w:r>
              <w:rPr>
                <w:rFonts w:ascii="宋体" w:hAnsi="宋体" w:eastAsia="宋体" w:cs="宋体"/>
                <w:color w:val="212529"/>
                <w:spacing w:val="4"/>
                <w:sz w:val="15"/>
                <w:szCs w:val="15"/>
              </w:rPr>
              <w:t>2010350</w:t>
            </w:r>
          </w:p>
        </w:tc>
        <w:tc>
          <w:tcPr>
            <w:tcW w:w="3305" w:type="dxa"/>
            <w:vAlign w:val="top"/>
          </w:tcPr>
          <w:p w14:paraId="125F5891">
            <w:pPr>
              <w:spacing w:before="82" w:line="230" w:lineRule="auto"/>
              <w:ind w:left="9"/>
              <w:rPr>
                <w:rFonts w:ascii="宋体" w:hAnsi="宋体" w:eastAsia="宋体" w:cs="宋体"/>
                <w:sz w:val="15"/>
                <w:szCs w:val="15"/>
              </w:rPr>
            </w:pPr>
            <w:r>
              <w:rPr>
                <w:rFonts w:ascii="宋体" w:hAnsi="宋体" w:eastAsia="宋体" w:cs="宋体"/>
                <w:color w:val="212529"/>
                <w:spacing w:val="9"/>
                <w:sz w:val="15"/>
                <w:szCs w:val="15"/>
              </w:rPr>
              <w:t>事业运行</w:t>
            </w:r>
          </w:p>
        </w:tc>
        <w:tc>
          <w:tcPr>
            <w:tcW w:w="1458" w:type="dxa"/>
            <w:vAlign w:val="top"/>
          </w:tcPr>
          <w:p w14:paraId="62C1270C">
            <w:pPr>
              <w:spacing w:before="106" w:line="190" w:lineRule="auto"/>
              <w:ind w:left="947"/>
              <w:rPr>
                <w:rFonts w:ascii="宋体" w:hAnsi="宋体" w:eastAsia="宋体" w:cs="宋体"/>
                <w:sz w:val="15"/>
                <w:szCs w:val="15"/>
              </w:rPr>
            </w:pPr>
            <w:r>
              <w:rPr>
                <w:rFonts w:ascii="宋体" w:hAnsi="宋体" w:eastAsia="宋体" w:cs="宋体"/>
                <w:color w:val="212529"/>
                <w:spacing w:val="4"/>
                <w:sz w:val="15"/>
                <w:szCs w:val="15"/>
              </w:rPr>
              <w:t>246.73</w:t>
            </w:r>
          </w:p>
        </w:tc>
        <w:tc>
          <w:tcPr>
            <w:tcW w:w="1328" w:type="dxa"/>
            <w:vAlign w:val="top"/>
          </w:tcPr>
          <w:p w14:paraId="1EF10702">
            <w:pPr>
              <w:spacing w:before="106" w:line="190" w:lineRule="auto"/>
              <w:ind w:right="21"/>
              <w:jc w:val="right"/>
              <w:rPr>
                <w:rFonts w:ascii="宋体" w:hAnsi="宋体" w:eastAsia="宋体" w:cs="宋体"/>
                <w:sz w:val="15"/>
                <w:szCs w:val="15"/>
              </w:rPr>
            </w:pPr>
            <w:r>
              <w:rPr>
                <w:rFonts w:ascii="宋体" w:hAnsi="宋体" w:eastAsia="宋体" w:cs="宋体"/>
                <w:color w:val="212529"/>
                <w:spacing w:val="4"/>
                <w:sz w:val="15"/>
                <w:szCs w:val="15"/>
              </w:rPr>
              <w:t>246.73</w:t>
            </w:r>
          </w:p>
        </w:tc>
        <w:tc>
          <w:tcPr>
            <w:tcW w:w="1334" w:type="dxa"/>
            <w:vAlign w:val="top"/>
          </w:tcPr>
          <w:p w14:paraId="73B9BA6A">
            <w:pPr>
              <w:pStyle w:val="6"/>
            </w:pPr>
          </w:p>
        </w:tc>
      </w:tr>
      <w:tr w14:paraId="64AC8E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4C8624D4">
            <w:pPr>
              <w:spacing w:before="106" w:line="191" w:lineRule="auto"/>
              <w:ind w:left="8"/>
              <w:rPr>
                <w:rFonts w:ascii="宋体" w:hAnsi="宋体" w:eastAsia="宋体" w:cs="宋体"/>
                <w:sz w:val="15"/>
                <w:szCs w:val="15"/>
              </w:rPr>
            </w:pPr>
            <w:r>
              <w:rPr>
                <w:rFonts w:ascii="宋体" w:hAnsi="宋体" w:eastAsia="宋体" w:cs="宋体"/>
                <w:color w:val="212529"/>
                <w:spacing w:val="4"/>
                <w:sz w:val="15"/>
                <w:szCs w:val="15"/>
              </w:rPr>
              <w:t>2010399</w:t>
            </w:r>
          </w:p>
        </w:tc>
        <w:tc>
          <w:tcPr>
            <w:tcW w:w="3305" w:type="dxa"/>
            <w:vAlign w:val="top"/>
          </w:tcPr>
          <w:p w14:paraId="1BD37A5F">
            <w:pPr>
              <w:spacing w:before="82" w:line="228" w:lineRule="auto"/>
              <w:ind w:left="7"/>
              <w:rPr>
                <w:rFonts w:ascii="宋体" w:hAnsi="宋体" w:eastAsia="宋体" w:cs="宋体"/>
                <w:sz w:val="15"/>
                <w:szCs w:val="15"/>
              </w:rPr>
            </w:pPr>
            <w:r>
              <w:rPr>
                <w:rFonts w:ascii="宋体" w:hAnsi="宋体" w:eastAsia="宋体" w:cs="宋体"/>
                <w:color w:val="212529"/>
                <w:spacing w:val="11"/>
                <w:sz w:val="15"/>
                <w:szCs w:val="15"/>
              </w:rPr>
              <w:t>其他政府办公厅（室）及相关机构事务支出</w:t>
            </w:r>
          </w:p>
        </w:tc>
        <w:tc>
          <w:tcPr>
            <w:tcW w:w="1458" w:type="dxa"/>
            <w:vAlign w:val="top"/>
          </w:tcPr>
          <w:p w14:paraId="1ACB9A39">
            <w:pPr>
              <w:spacing w:before="107" w:line="190" w:lineRule="auto"/>
              <w:ind w:left="948"/>
              <w:rPr>
                <w:rFonts w:ascii="宋体" w:hAnsi="宋体" w:eastAsia="宋体" w:cs="宋体"/>
                <w:sz w:val="15"/>
                <w:szCs w:val="15"/>
              </w:rPr>
            </w:pPr>
            <w:r>
              <w:rPr>
                <w:rFonts w:ascii="宋体" w:hAnsi="宋体" w:eastAsia="宋体" w:cs="宋体"/>
                <w:color w:val="212529"/>
                <w:spacing w:val="4"/>
                <w:sz w:val="15"/>
                <w:szCs w:val="15"/>
              </w:rPr>
              <w:t>363.03</w:t>
            </w:r>
          </w:p>
        </w:tc>
        <w:tc>
          <w:tcPr>
            <w:tcW w:w="1328" w:type="dxa"/>
            <w:vAlign w:val="top"/>
          </w:tcPr>
          <w:p w14:paraId="76A4AF0E">
            <w:pPr>
              <w:pStyle w:val="6"/>
            </w:pPr>
          </w:p>
        </w:tc>
        <w:tc>
          <w:tcPr>
            <w:tcW w:w="1334" w:type="dxa"/>
            <w:vAlign w:val="top"/>
          </w:tcPr>
          <w:p w14:paraId="1E3B64ED">
            <w:pPr>
              <w:spacing w:before="107" w:line="190" w:lineRule="auto"/>
              <w:ind w:left="824"/>
              <w:rPr>
                <w:rFonts w:ascii="宋体" w:hAnsi="宋体" w:eastAsia="宋体" w:cs="宋体"/>
                <w:sz w:val="15"/>
                <w:szCs w:val="15"/>
              </w:rPr>
            </w:pPr>
            <w:r>
              <w:rPr>
                <w:rFonts w:ascii="宋体" w:hAnsi="宋体" w:eastAsia="宋体" w:cs="宋体"/>
                <w:color w:val="212529"/>
                <w:spacing w:val="4"/>
                <w:sz w:val="15"/>
                <w:szCs w:val="15"/>
              </w:rPr>
              <w:t>363.03</w:t>
            </w:r>
          </w:p>
        </w:tc>
      </w:tr>
      <w:tr w14:paraId="1D9B17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766D210C">
            <w:pPr>
              <w:spacing w:before="106" w:line="191" w:lineRule="auto"/>
              <w:ind w:left="8"/>
              <w:rPr>
                <w:rFonts w:ascii="宋体" w:hAnsi="宋体" w:eastAsia="宋体" w:cs="宋体"/>
                <w:sz w:val="15"/>
                <w:szCs w:val="15"/>
              </w:rPr>
            </w:pPr>
            <w:r>
              <w:rPr>
                <w:rFonts w:ascii="宋体" w:hAnsi="宋体" w:eastAsia="宋体" w:cs="宋体"/>
                <w:color w:val="212529"/>
                <w:spacing w:val="4"/>
                <w:sz w:val="15"/>
                <w:szCs w:val="15"/>
              </w:rPr>
              <w:t>20105</w:t>
            </w:r>
          </w:p>
        </w:tc>
        <w:tc>
          <w:tcPr>
            <w:tcW w:w="3305" w:type="dxa"/>
            <w:vAlign w:val="top"/>
          </w:tcPr>
          <w:p w14:paraId="453000D2">
            <w:pPr>
              <w:spacing w:before="82" w:line="229" w:lineRule="auto"/>
              <w:ind w:left="10"/>
              <w:rPr>
                <w:rFonts w:ascii="宋体" w:hAnsi="宋体" w:eastAsia="宋体" w:cs="宋体"/>
                <w:sz w:val="15"/>
                <w:szCs w:val="15"/>
              </w:rPr>
            </w:pPr>
            <w:r>
              <w:rPr>
                <w:rFonts w:ascii="宋体" w:hAnsi="宋体" w:eastAsia="宋体" w:cs="宋体"/>
                <w:color w:val="212529"/>
                <w:spacing w:val="10"/>
                <w:sz w:val="15"/>
                <w:szCs w:val="15"/>
              </w:rPr>
              <w:t>统计信息事务</w:t>
            </w:r>
          </w:p>
        </w:tc>
        <w:tc>
          <w:tcPr>
            <w:tcW w:w="1458" w:type="dxa"/>
            <w:vAlign w:val="top"/>
          </w:tcPr>
          <w:p w14:paraId="1A37B774">
            <w:pPr>
              <w:spacing w:before="107" w:line="190" w:lineRule="auto"/>
              <w:ind w:left="1025"/>
              <w:rPr>
                <w:rFonts w:ascii="宋体" w:hAnsi="宋体" w:eastAsia="宋体" w:cs="宋体"/>
                <w:sz w:val="15"/>
                <w:szCs w:val="15"/>
              </w:rPr>
            </w:pPr>
            <w:r>
              <w:rPr>
                <w:rFonts w:ascii="宋体" w:hAnsi="宋体" w:eastAsia="宋体" w:cs="宋体"/>
                <w:color w:val="212529"/>
                <w:spacing w:val="4"/>
                <w:sz w:val="15"/>
                <w:szCs w:val="15"/>
              </w:rPr>
              <w:t>42.97</w:t>
            </w:r>
          </w:p>
        </w:tc>
        <w:tc>
          <w:tcPr>
            <w:tcW w:w="1328" w:type="dxa"/>
            <w:vAlign w:val="top"/>
          </w:tcPr>
          <w:p w14:paraId="2A003428">
            <w:pPr>
              <w:pStyle w:val="6"/>
            </w:pPr>
          </w:p>
        </w:tc>
        <w:tc>
          <w:tcPr>
            <w:tcW w:w="1334" w:type="dxa"/>
            <w:vAlign w:val="top"/>
          </w:tcPr>
          <w:p w14:paraId="6468DEBC">
            <w:pPr>
              <w:pStyle w:val="6"/>
              <w:spacing w:before="102" w:line="186" w:lineRule="auto"/>
              <w:ind w:left="901"/>
              <w:rPr>
                <w:sz w:val="13"/>
                <w:szCs w:val="13"/>
              </w:rPr>
            </w:pPr>
            <w:r>
              <w:rPr>
                <w:color w:val="212529"/>
                <w:spacing w:val="4"/>
                <w:sz w:val="13"/>
                <w:szCs w:val="13"/>
              </w:rPr>
              <w:t>42.</w:t>
            </w:r>
            <w:r>
              <w:rPr>
                <w:color w:val="212529"/>
                <w:spacing w:val="12"/>
                <w:w w:val="102"/>
                <w:sz w:val="13"/>
                <w:szCs w:val="13"/>
              </w:rPr>
              <w:t xml:space="preserve"> </w:t>
            </w:r>
            <w:r>
              <w:rPr>
                <w:color w:val="212529"/>
                <w:spacing w:val="4"/>
                <w:sz w:val="13"/>
                <w:szCs w:val="13"/>
              </w:rPr>
              <w:t>97</w:t>
            </w:r>
          </w:p>
        </w:tc>
      </w:tr>
      <w:tr w14:paraId="041D55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625056B2">
            <w:pPr>
              <w:spacing w:before="107" w:line="191" w:lineRule="auto"/>
              <w:ind w:left="8"/>
              <w:rPr>
                <w:rFonts w:ascii="宋体" w:hAnsi="宋体" w:eastAsia="宋体" w:cs="宋体"/>
                <w:sz w:val="15"/>
                <w:szCs w:val="15"/>
              </w:rPr>
            </w:pPr>
            <w:r>
              <w:rPr>
                <w:rFonts w:ascii="宋体" w:hAnsi="宋体" w:eastAsia="宋体" w:cs="宋体"/>
                <w:color w:val="212529"/>
                <w:spacing w:val="4"/>
                <w:sz w:val="15"/>
                <w:szCs w:val="15"/>
              </w:rPr>
              <w:t>2010507</w:t>
            </w:r>
          </w:p>
        </w:tc>
        <w:tc>
          <w:tcPr>
            <w:tcW w:w="3305" w:type="dxa"/>
            <w:vAlign w:val="top"/>
          </w:tcPr>
          <w:p w14:paraId="7CC87B29">
            <w:pPr>
              <w:spacing w:before="83" w:line="229" w:lineRule="auto"/>
              <w:ind w:left="8"/>
              <w:rPr>
                <w:rFonts w:ascii="宋体" w:hAnsi="宋体" w:eastAsia="宋体" w:cs="宋体"/>
                <w:sz w:val="15"/>
                <w:szCs w:val="15"/>
              </w:rPr>
            </w:pPr>
            <w:r>
              <w:rPr>
                <w:rFonts w:ascii="宋体" w:hAnsi="宋体" w:eastAsia="宋体" w:cs="宋体"/>
                <w:color w:val="212529"/>
                <w:spacing w:val="10"/>
                <w:sz w:val="15"/>
                <w:szCs w:val="15"/>
              </w:rPr>
              <w:t>专项普查活动</w:t>
            </w:r>
          </w:p>
        </w:tc>
        <w:tc>
          <w:tcPr>
            <w:tcW w:w="1458" w:type="dxa"/>
            <w:vAlign w:val="top"/>
          </w:tcPr>
          <w:p w14:paraId="498E84D7">
            <w:pPr>
              <w:spacing w:before="108" w:line="190" w:lineRule="auto"/>
              <w:ind w:left="1025"/>
              <w:rPr>
                <w:rFonts w:ascii="宋体" w:hAnsi="宋体" w:eastAsia="宋体" w:cs="宋体"/>
                <w:sz w:val="15"/>
                <w:szCs w:val="15"/>
              </w:rPr>
            </w:pPr>
            <w:r>
              <w:rPr>
                <w:rFonts w:ascii="宋体" w:hAnsi="宋体" w:eastAsia="宋体" w:cs="宋体"/>
                <w:color w:val="212529"/>
                <w:spacing w:val="4"/>
                <w:sz w:val="15"/>
                <w:szCs w:val="15"/>
              </w:rPr>
              <w:t>42.97</w:t>
            </w:r>
          </w:p>
        </w:tc>
        <w:tc>
          <w:tcPr>
            <w:tcW w:w="1328" w:type="dxa"/>
            <w:vAlign w:val="top"/>
          </w:tcPr>
          <w:p w14:paraId="31E3EA84">
            <w:pPr>
              <w:pStyle w:val="6"/>
            </w:pPr>
          </w:p>
        </w:tc>
        <w:tc>
          <w:tcPr>
            <w:tcW w:w="1334" w:type="dxa"/>
            <w:vAlign w:val="top"/>
          </w:tcPr>
          <w:p w14:paraId="41C18695">
            <w:pPr>
              <w:spacing w:before="108" w:line="190" w:lineRule="auto"/>
              <w:ind w:left="901"/>
              <w:rPr>
                <w:rFonts w:ascii="宋体" w:hAnsi="宋体" w:eastAsia="宋体" w:cs="宋体"/>
                <w:sz w:val="15"/>
                <w:szCs w:val="15"/>
              </w:rPr>
            </w:pPr>
            <w:r>
              <w:rPr>
                <w:rFonts w:ascii="宋体" w:hAnsi="宋体" w:eastAsia="宋体" w:cs="宋体"/>
                <w:color w:val="212529"/>
                <w:spacing w:val="4"/>
                <w:sz w:val="15"/>
                <w:szCs w:val="15"/>
              </w:rPr>
              <w:t>42.97</w:t>
            </w:r>
          </w:p>
        </w:tc>
      </w:tr>
      <w:tr w14:paraId="6AB46C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5A602005">
            <w:pPr>
              <w:spacing w:before="107" w:line="191" w:lineRule="auto"/>
              <w:ind w:left="8"/>
              <w:rPr>
                <w:rFonts w:ascii="宋体" w:hAnsi="宋体" w:eastAsia="宋体" w:cs="宋体"/>
                <w:sz w:val="15"/>
                <w:szCs w:val="15"/>
              </w:rPr>
            </w:pPr>
            <w:r>
              <w:rPr>
                <w:rFonts w:ascii="宋体" w:hAnsi="宋体" w:eastAsia="宋体" w:cs="宋体"/>
                <w:color w:val="212529"/>
                <w:spacing w:val="4"/>
                <w:sz w:val="15"/>
                <w:szCs w:val="15"/>
              </w:rPr>
              <w:t>20113</w:t>
            </w:r>
          </w:p>
        </w:tc>
        <w:tc>
          <w:tcPr>
            <w:tcW w:w="3305" w:type="dxa"/>
            <w:vAlign w:val="top"/>
          </w:tcPr>
          <w:p w14:paraId="236A18B1">
            <w:pPr>
              <w:spacing w:before="83" w:line="229" w:lineRule="auto"/>
              <w:ind w:left="11"/>
              <w:rPr>
                <w:rFonts w:ascii="宋体" w:hAnsi="宋体" w:eastAsia="宋体" w:cs="宋体"/>
                <w:sz w:val="15"/>
                <w:szCs w:val="15"/>
              </w:rPr>
            </w:pPr>
            <w:r>
              <w:rPr>
                <w:rFonts w:ascii="宋体" w:hAnsi="宋体" w:eastAsia="宋体" w:cs="宋体"/>
                <w:color w:val="212529"/>
                <w:spacing w:val="9"/>
                <w:sz w:val="15"/>
                <w:szCs w:val="15"/>
              </w:rPr>
              <w:t>商贸事务</w:t>
            </w:r>
          </w:p>
        </w:tc>
        <w:tc>
          <w:tcPr>
            <w:tcW w:w="1458" w:type="dxa"/>
            <w:vAlign w:val="top"/>
          </w:tcPr>
          <w:p w14:paraId="5D9E81BB">
            <w:pPr>
              <w:spacing w:before="108" w:line="190" w:lineRule="auto"/>
              <w:ind w:left="1110"/>
              <w:rPr>
                <w:rFonts w:ascii="宋体" w:hAnsi="宋体" w:eastAsia="宋体" w:cs="宋体"/>
                <w:sz w:val="15"/>
                <w:szCs w:val="15"/>
              </w:rPr>
            </w:pPr>
            <w:r>
              <w:rPr>
                <w:rFonts w:ascii="宋体" w:hAnsi="宋体" w:eastAsia="宋体" w:cs="宋体"/>
                <w:color w:val="212529"/>
                <w:spacing w:val="3"/>
                <w:sz w:val="15"/>
                <w:szCs w:val="15"/>
              </w:rPr>
              <w:t>5.00</w:t>
            </w:r>
          </w:p>
        </w:tc>
        <w:tc>
          <w:tcPr>
            <w:tcW w:w="1328" w:type="dxa"/>
            <w:vAlign w:val="top"/>
          </w:tcPr>
          <w:p w14:paraId="2897B8EE">
            <w:pPr>
              <w:pStyle w:val="6"/>
            </w:pPr>
          </w:p>
        </w:tc>
        <w:tc>
          <w:tcPr>
            <w:tcW w:w="1334" w:type="dxa"/>
            <w:vAlign w:val="top"/>
          </w:tcPr>
          <w:p w14:paraId="602C6227">
            <w:pPr>
              <w:pStyle w:val="6"/>
              <w:spacing w:before="102" w:line="186" w:lineRule="auto"/>
              <w:ind w:left="986"/>
              <w:rPr>
                <w:sz w:val="13"/>
                <w:szCs w:val="13"/>
              </w:rPr>
            </w:pPr>
            <w:r>
              <w:rPr>
                <w:color w:val="212529"/>
                <w:spacing w:val="2"/>
                <w:sz w:val="13"/>
                <w:szCs w:val="13"/>
              </w:rPr>
              <w:t>5.</w:t>
            </w:r>
            <w:r>
              <w:rPr>
                <w:color w:val="212529"/>
                <w:spacing w:val="14"/>
                <w:sz w:val="13"/>
                <w:szCs w:val="13"/>
              </w:rPr>
              <w:t xml:space="preserve"> </w:t>
            </w:r>
            <w:r>
              <w:rPr>
                <w:color w:val="212529"/>
                <w:spacing w:val="2"/>
                <w:sz w:val="13"/>
                <w:szCs w:val="13"/>
              </w:rPr>
              <w:t>00</w:t>
            </w:r>
          </w:p>
        </w:tc>
      </w:tr>
      <w:tr w14:paraId="43D295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1D5806EF">
            <w:pPr>
              <w:spacing w:before="107" w:line="191" w:lineRule="auto"/>
              <w:ind w:left="8"/>
              <w:rPr>
                <w:rFonts w:ascii="宋体" w:hAnsi="宋体" w:eastAsia="宋体" w:cs="宋体"/>
                <w:sz w:val="15"/>
                <w:szCs w:val="15"/>
              </w:rPr>
            </w:pPr>
            <w:r>
              <w:rPr>
                <w:rFonts w:ascii="宋体" w:hAnsi="宋体" w:eastAsia="宋体" w:cs="宋体"/>
                <w:color w:val="212529"/>
                <w:spacing w:val="4"/>
                <w:sz w:val="15"/>
                <w:szCs w:val="15"/>
              </w:rPr>
              <w:t>2011308</w:t>
            </w:r>
          </w:p>
        </w:tc>
        <w:tc>
          <w:tcPr>
            <w:tcW w:w="3305" w:type="dxa"/>
            <w:vAlign w:val="top"/>
          </w:tcPr>
          <w:p w14:paraId="62167F12">
            <w:pPr>
              <w:spacing w:before="83" w:line="230" w:lineRule="auto"/>
              <w:ind w:left="9"/>
              <w:rPr>
                <w:rFonts w:ascii="宋体" w:hAnsi="宋体" w:eastAsia="宋体" w:cs="宋体"/>
                <w:sz w:val="15"/>
                <w:szCs w:val="15"/>
              </w:rPr>
            </w:pPr>
            <w:r>
              <w:rPr>
                <w:rFonts w:ascii="宋体" w:hAnsi="宋体" w:eastAsia="宋体" w:cs="宋体"/>
                <w:color w:val="212529"/>
                <w:spacing w:val="9"/>
                <w:sz w:val="15"/>
                <w:szCs w:val="15"/>
              </w:rPr>
              <w:t>招商引资</w:t>
            </w:r>
          </w:p>
        </w:tc>
        <w:tc>
          <w:tcPr>
            <w:tcW w:w="1458" w:type="dxa"/>
            <w:vAlign w:val="top"/>
          </w:tcPr>
          <w:p w14:paraId="53554533">
            <w:pPr>
              <w:spacing w:before="108" w:line="190" w:lineRule="auto"/>
              <w:ind w:left="1110"/>
              <w:rPr>
                <w:rFonts w:ascii="宋体" w:hAnsi="宋体" w:eastAsia="宋体" w:cs="宋体"/>
                <w:sz w:val="15"/>
                <w:szCs w:val="15"/>
              </w:rPr>
            </w:pPr>
            <w:r>
              <w:rPr>
                <w:rFonts w:ascii="宋体" w:hAnsi="宋体" w:eastAsia="宋体" w:cs="宋体"/>
                <w:color w:val="212529"/>
                <w:spacing w:val="3"/>
                <w:sz w:val="15"/>
                <w:szCs w:val="15"/>
              </w:rPr>
              <w:t>5.00</w:t>
            </w:r>
          </w:p>
        </w:tc>
        <w:tc>
          <w:tcPr>
            <w:tcW w:w="1328" w:type="dxa"/>
            <w:vAlign w:val="top"/>
          </w:tcPr>
          <w:p w14:paraId="4E8255C7">
            <w:pPr>
              <w:pStyle w:val="6"/>
            </w:pPr>
          </w:p>
        </w:tc>
        <w:tc>
          <w:tcPr>
            <w:tcW w:w="1334" w:type="dxa"/>
            <w:vAlign w:val="top"/>
          </w:tcPr>
          <w:p w14:paraId="173830BF">
            <w:pPr>
              <w:spacing w:before="108" w:line="190" w:lineRule="auto"/>
              <w:ind w:left="986"/>
              <w:rPr>
                <w:rFonts w:ascii="宋体" w:hAnsi="宋体" w:eastAsia="宋体" w:cs="宋体"/>
                <w:sz w:val="15"/>
                <w:szCs w:val="15"/>
              </w:rPr>
            </w:pPr>
            <w:r>
              <w:rPr>
                <w:rFonts w:ascii="宋体" w:hAnsi="宋体" w:eastAsia="宋体" w:cs="宋体"/>
                <w:color w:val="212529"/>
                <w:spacing w:val="3"/>
                <w:sz w:val="15"/>
                <w:szCs w:val="15"/>
              </w:rPr>
              <w:t>5.00</w:t>
            </w:r>
          </w:p>
        </w:tc>
      </w:tr>
      <w:tr w14:paraId="3B89CC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17E07142">
            <w:pPr>
              <w:spacing w:before="108" w:line="191" w:lineRule="auto"/>
              <w:ind w:left="8"/>
              <w:rPr>
                <w:rFonts w:ascii="宋体" w:hAnsi="宋体" w:eastAsia="宋体" w:cs="宋体"/>
                <w:sz w:val="15"/>
                <w:szCs w:val="15"/>
              </w:rPr>
            </w:pPr>
            <w:r>
              <w:rPr>
                <w:rFonts w:ascii="宋体" w:hAnsi="宋体" w:eastAsia="宋体" w:cs="宋体"/>
                <w:color w:val="212529"/>
                <w:spacing w:val="4"/>
                <w:sz w:val="15"/>
                <w:szCs w:val="15"/>
              </w:rPr>
              <w:t>20136</w:t>
            </w:r>
          </w:p>
        </w:tc>
        <w:tc>
          <w:tcPr>
            <w:tcW w:w="3305" w:type="dxa"/>
            <w:vAlign w:val="top"/>
          </w:tcPr>
          <w:p w14:paraId="56E7B5C8">
            <w:pPr>
              <w:spacing w:before="84" w:line="229" w:lineRule="auto"/>
              <w:ind w:left="7"/>
              <w:rPr>
                <w:rFonts w:ascii="宋体" w:hAnsi="宋体" w:eastAsia="宋体" w:cs="宋体"/>
                <w:sz w:val="15"/>
                <w:szCs w:val="15"/>
              </w:rPr>
            </w:pPr>
            <w:r>
              <w:rPr>
                <w:rFonts w:ascii="宋体" w:hAnsi="宋体" w:eastAsia="宋体" w:cs="宋体"/>
                <w:color w:val="212529"/>
                <w:spacing w:val="11"/>
                <w:sz w:val="15"/>
                <w:szCs w:val="15"/>
              </w:rPr>
              <w:t>其他共产党事务支出</w:t>
            </w:r>
          </w:p>
        </w:tc>
        <w:tc>
          <w:tcPr>
            <w:tcW w:w="1458" w:type="dxa"/>
            <w:vAlign w:val="top"/>
          </w:tcPr>
          <w:p w14:paraId="1CF2525D">
            <w:pPr>
              <w:spacing w:before="108" w:line="191" w:lineRule="auto"/>
              <w:ind w:left="956"/>
              <w:rPr>
                <w:rFonts w:ascii="宋体" w:hAnsi="宋体" w:eastAsia="宋体" w:cs="宋体"/>
                <w:sz w:val="15"/>
                <w:szCs w:val="15"/>
              </w:rPr>
            </w:pPr>
            <w:r>
              <w:rPr>
                <w:rFonts w:ascii="宋体" w:hAnsi="宋体" w:eastAsia="宋体" w:cs="宋体"/>
                <w:color w:val="212529"/>
                <w:spacing w:val="2"/>
                <w:sz w:val="15"/>
                <w:szCs w:val="15"/>
              </w:rPr>
              <w:t>132.00</w:t>
            </w:r>
          </w:p>
        </w:tc>
        <w:tc>
          <w:tcPr>
            <w:tcW w:w="1328" w:type="dxa"/>
            <w:vAlign w:val="top"/>
          </w:tcPr>
          <w:p w14:paraId="2BB07348">
            <w:pPr>
              <w:pStyle w:val="6"/>
            </w:pPr>
          </w:p>
        </w:tc>
        <w:tc>
          <w:tcPr>
            <w:tcW w:w="1334" w:type="dxa"/>
            <w:vAlign w:val="top"/>
          </w:tcPr>
          <w:p w14:paraId="2E01F317">
            <w:pPr>
              <w:pStyle w:val="6"/>
              <w:spacing w:before="102" w:line="187" w:lineRule="auto"/>
              <w:ind w:left="833"/>
              <w:rPr>
                <w:sz w:val="13"/>
                <w:szCs w:val="13"/>
              </w:rPr>
            </w:pPr>
            <w:r>
              <w:rPr>
                <w:color w:val="212529"/>
                <w:spacing w:val="2"/>
                <w:sz w:val="13"/>
                <w:szCs w:val="13"/>
              </w:rPr>
              <w:t>132.</w:t>
            </w:r>
            <w:r>
              <w:rPr>
                <w:color w:val="212529"/>
                <w:spacing w:val="18"/>
                <w:w w:val="101"/>
                <w:sz w:val="13"/>
                <w:szCs w:val="13"/>
              </w:rPr>
              <w:t xml:space="preserve"> </w:t>
            </w:r>
            <w:r>
              <w:rPr>
                <w:color w:val="212529"/>
                <w:spacing w:val="2"/>
                <w:sz w:val="13"/>
                <w:szCs w:val="13"/>
              </w:rPr>
              <w:t>00</w:t>
            </w:r>
          </w:p>
        </w:tc>
      </w:tr>
      <w:tr w14:paraId="1C65F2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5EB019FB">
            <w:pPr>
              <w:spacing w:before="108" w:line="191" w:lineRule="auto"/>
              <w:ind w:left="8"/>
              <w:rPr>
                <w:rFonts w:ascii="宋体" w:hAnsi="宋体" w:eastAsia="宋体" w:cs="宋体"/>
                <w:sz w:val="15"/>
                <w:szCs w:val="15"/>
              </w:rPr>
            </w:pPr>
            <w:r>
              <w:rPr>
                <w:rFonts w:ascii="宋体" w:hAnsi="宋体" w:eastAsia="宋体" w:cs="宋体"/>
                <w:color w:val="212529"/>
                <w:spacing w:val="4"/>
                <w:sz w:val="15"/>
                <w:szCs w:val="15"/>
              </w:rPr>
              <w:t>2013699</w:t>
            </w:r>
          </w:p>
        </w:tc>
        <w:tc>
          <w:tcPr>
            <w:tcW w:w="3305" w:type="dxa"/>
            <w:vAlign w:val="top"/>
          </w:tcPr>
          <w:p w14:paraId="51DBC451">
            <w:pPr>
              <w:spacing w:before="84" w:line="229" w:lineRule="auto"/>
              <w:ind w:left="7"/>
              <w:rPr>
                <w:rFonts w:ascii="宋体" w:hAnsi="宋体" w:eastAsia="宋体" w:cs="宋体"/>
                <w:sz w:val="15"/>
                <w:szCs w:val="15"/>
              </w:rPr>
            </w:pPr>
            <w:r>
              <w:rPr>
                <w:rFonts w:ascii="宋体" w:hAnsi="宋体" w:eastAsia="宋体" w:cs="宋体"/>
                <w:color w:val="212529"/>
                <w:spacing w:val="11"/>
                <w:sz w:val="15"/>
                <w:szCs w:val="15"/>
              </w:rPr>
              <w:t>其他共产党事务支出</w:t>
            </w:r>
          </w:p>
        </w:tc>
        <w:tc>
          <w:tcPr>
            <w:tcW w:w="1458" w:type="dxa"/>
            <w:vAlign w:val="top"/>
          </w:tcPr>
          <w:p w14:paraId="73DDD9CF">
            <w:pPr>
              <w:spacing w:before="108" w:line="191" w:lineRule="auto"/>
              <w:ind w:left="956"/>
              <w:rPr>
                <w:rFonts w:ascii="宋体" w:hAnsi="宋体" w:eastAsia="宋体" w:cs="宋体"/>
                <w:sz w:val="15"/>
                <w:szCs w:val="15"/>
              </w:rPr>
            </w:pPr>
            <w:r>
              <w:rPr>
                <w:rFonts w:ascii="宋体" w:hAnsi="宋体" w:eastAsia="宋体" w:cs="宋体"/>
                <w:color w:val="212529"/>
                <w:spacing w:val="2"/>
                <w:sz w:val="15"/>
                <w:szCs w:val="15"/>
              </w:rPr>
              <w:t>132.00</w:t>
            </w:r>
          </w:p>
        </w:tc>
        <w:tc>
          <w:tcPr>
            <w:tcW w:w="1328" w:type="dxa"/>
            <w:vAlign w:val="top"/>
          </w:tcPr>
          <w:p w14:paraId="32C98276">
            <w:pPr>
              <w:pStyle w:val="6"/>
            </w:pPr>
          </w:p>
        </w:tc>
        <w:tc>
          <w:tcPr>
            <w:tcW w:w="1334" w:type="dxa"/>
            <w:vAlign w:val="top"/>
          </w:tcPr>
          <w:p w14:paraId="20E70ACC">
            <w:pPr>
              <w:spacing w:before="108" w:line="191" w:lineRule="auto"/>
              <w:ind w:left="833"/>
              <w:rPr>
                <w:rFonts w:ascii="宋体" w:hAnsi="宋体" w:eastAsia="宋体" w:cs="宋体"/>
                <w:sz w:val="15"/>
                <w:szCs w:val="15"/>
              </w:rPr>
            </w:pPr>
            <w:r>
              <w:rPr>
                <w:rFonts w:ascii="宋体" w:hAnsi="宋体" w:eastAsia="宋体" w:cs="宋体"/>
                <w:color w:val="212529"/>
                <w:spacing w:val="2"/>
                <w:sz w:val="15"/>
                <w:szCs w:val="15"/>
              </w:rPr>
              <w:t>132.00</w:t>
            </w:r>
          </w:p>
        </w:tc>
      </w:tr>
      <w:tr w14:paraId="481D59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3359CC80">
            <w:pPr>
              <w:spacing w:before="108" w:line="191" w:lineRule="auto"/>
              <w:ind w:left="8"/>
              <w:rPr>
                <w:rFonts w:ascii="宋体" w:hAnsi="宋体" w:eastAsia="宋体" w:cs="宋体"/>
                <w:sz w:val="15"/>
                <w:szCs w:val="15"/>
              </w:rPr>
            </w:pPr>
            <w:r>
              <w:rPr>
                <w:rFonts w:ascii="宋体" w:hAnsi="宋体" w:eastAsia="宋体" w:cs="宋体"/>
                <w:color w:val="212529"/>
                <w:spacing w:val="2"/>
                <w:sz w:val="15"/>
                <w:szCs w:val="15"/>
              </w:rPr>
              <w:t>212</w:t>
            </w:r>
          </w:p>
        </w:tc>
        <w:tc>
          <w:tcPr>
            <w:tcW w:w="3305" w:type="dxa"/>
            <w:vAlign w:val="top"/>
          </w:tcPr>
          <w:p w14:paraId="62E03BE1">
            <w:pPr>
              <w:spacing w:before="85" w:line="229" w:lineRule="auto"/>
              <w:ind w:left="8"/>
              <w:rPr>
                <w:rFonts w:ascii="宋体" w:hAnsi="宋体" w:eastAsia="宋体" w:cs="宋体"/>
                <w:sz w:val="15"/>
                <w:szCs w:val="15"/>
              </w:rPr>
            </w:pPr>
            <w:r>
              <w:rPr>
                <w:rFonts w:ascii="宋体" w:hAnsi="宋体" w:eastAsia="宋体" w:cs="宋体"/>
                <w:color w:val="212529"/>
                <w:spacing w:val="10"/>
                <w:sz w:val="15"/>
                <w:szCs w:val="15"/>
              </w:rPr>
              <w:t>城乡社区支出</w:t>
            </w:r>
          </w:p>
        </w:tc>
        <w:tc>
          <w:tcPr>
            <w:tcW w:w="1458" w:type="dxa"/>
            <w:vAlign w:val="top"/>
          </w:tcPr>
          <w:p w14:paraId="76CA444A">
            <w:pPr>
              <w:spacing w:before="108" w:line="191" w:lineRule="auto"/>
              <w:ind w:left="947"/>
              <w:rPr>
                <w:rFonts w:ascii="宋体" w:hAnsi="宋体" w:eastAsia="宋体" w:cs="宋体"/>
                <w:sz w:val="15"/>
                <w:szCs w:val="15"/>
              </w:rPr>
            </w:pPr>
            <w:r>
              <w:rPr>
                <w:rFonts w:ascii="宋体" w:hAnsi="宋体" w:eastAsia="宋体" w:cs="宋体"/>
                <w:color w:val="212529"/>
                <w:spacing w:val="4"/>
                <w:sz w:val="15"/>
                <w:szCs w:val="15"/>
              </w:rPr>
              <w:t>277.14</w:t>
            </w:r>
          </w:p>
        </w:tc>
        <w:tc>
          <w:tcPr>
            <w:tcW w:w="1328" w:type="dxa"/>
            <w:vAlign w:val="top"/>
          </w:tcPr>
          <w:p w14:paraId="41359D78">
            <w:pPr>
              <w:pStyle w:val="6"/>
            </w:pPr>
          </w:p>
        </w:tc>
        <w:tc>
          <w:tcPr>
            <w:tcW w:w="1334" w:type="dxa"/>
            <w:vAlign w:val="top"/>
          </w:tcPr>
          <w:p w14:paraId="19892F90">
            <w:pPr>
              <w:pStyle w:val="6"/>
              <w:spacing w:before="104" w:line="186" w:lineRule="auto"/>
              <w:ind w:left="823"/>
              <w:rPr>
                <w:sz w:val="13"/>
                <w:szCs w:val="13"/>
              </w:rPr>
            </w:pPr>
            <w:r>
              <w:rPr>
                <w:color w:val="212529"/>
                <w:spacing w:val="4"/>
                <w:sz w:val="13"/>
                <w:szCs w:val="13"/>
              </w:rPr>
              <w:t>277.</w:t>
            </w:r>
            <w:r>
              <w:rPr>
                <w:color w:val="212529"/>
                <w:spacing w:val="18"/>
                <w:w w:val="102"/>
                <w:sz w:val="13"/>
                <w:szCs w:val="13"/>
              </w:rPr>
              <w:t xml:space="preserve"> </w:t>
            </w:r>
            <w:r>
              <w:rPr>
                <w:color w:val="212529"/>
                <w:spacing w:val="4"/>
                <w:sz w:val="13"/>
                <w:szCs w:val="13"/>
              </w:rPr>
              <w:t>14</w:t>
            </w:r>
          </w:p>
        </w:tc>
      </w:tr>
      <w:tr w14:paraId="6188C0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19C14892">
            <w:pPr>
              <w:spacing w:before="109" w:line="191" w:lineRule="auto"/>
              <w:ind w:left="8"/>
              <w:rPr>
                <w:rFonts w:ascii="宋体" w:hAnsi="宋体" w:eastAsia="宋体" w:cs="宋体"/>
                <w:sz w:val="15"/>
                <w:szCs w:val="15"/>
              </w:rPr>
            </w:pPr>
            <w:r>
              <w:rPr>
                <w:rFonts w:ascii="宋体" w:hAnsi="宋体" w:eastAsia="宋体" w:cs="宋体"/>
                <w:color w:val="212529"/>
                <w:spacing w:val="4"/>
                <w:sz w:val="15"/>
                <w:szCs w:val="15"/>
              </w:rPr>
              <w:t>21208</w:t>
            </w:r>
          </w:p>
        </w:tc>
        <w:tc>
          <w:tcPr>
            <w:tcW w:w="3305" w:type="dxa"/>
            <w:vAlign w:val="top"/>
          </w:tcPr>
          <w:p w14:paraId="49996BE3">
            <w:pPr>
              <w:spacing w:before="85" w:line="229" w:lineRule="auto"/>
              <w:ind w:left="24"/>
              <w:rPr>
                <w:rFonts w:ascii="宋体" w:hAnsi="宋体" w:eastAsia="宋体" w:cs="宋体"/>
                <w:sz w:val="15"/>
                <w:szCs w:val="15"/>
              </w:rPr>
            </w:pPr>
            <w:r>
              <w:rPr>
                <w:rFonts w:ascii="宋体" w:hAnsi="宋体" w:eastAsia="宋体" w:cs="宋体"/>
                <w:color w:val="212529"/>
                <w:spacing w:val="10"/>
                <w:sz w:val="15"/>
                <w:szCs w:val="15"/>
              </w:rPr>
              <w:t>国有土地使用权出让收入安排的支出</w:t>
            </w:r>
          </w:p>
        </w:tc>
        <w:tc>
          <w:tcPr>
            <w:tcW w:w="1458" w:type="dxa"/>
            <w:vAlign w:val="top"/>
          </w:tcPr>
          <w:p w14:paraId="4572D9BD">
            <w:pPr>
              <w:spacing w:before="109" w:line="191" w:lineRule="auto"/>
              <w:ind w:left="947"/>
              <w:rPr>
                <w:rFonts w:ascii="宋体" w:hAnsi="宋体" w:eastAsia="宋体" w:cs="宋体"/>
                <w:sz w:val="15"/>
                <w:szCs w:val="15"/>
              </w:rPr>
            </w:pPr>
            <w:r>
              <w:rPr>
                <w:rFonts w:ascii="宋体" w:hAnsi="宋体" w:eastAsia="宋体" w:cs="宋体"/>
                <w:color w:val="212529"/>
                <w:spacing w:val="4"/>
                <w:sz w:val="15"/>
                <w:szCs w:val="15"/>
              </w:rPr>
              <w:t>277.14</w:t>
            </w:r>
          </w:p>
        </w:tc>
        <w:tc>
          <w:tcPr>
            <w:tcW w:w="1328" w:type="dxa"/>
            <w:vAlign w:val="top"/>
          </w:tcPr>
          <w:p w14:paraId="5A67EC6C">
            <w:pPr>
              <w:pStyle w:val="6"/>
            </w:pPr>
          </w:p>
        </w:tc>
        <w:tc>
          <w:tcPr>
            <w:tcW w:w="1334" w:type="dxa"/>
            <w:vAlign w:val="top"/>
          </w:tcPr>
          <w:p w14:paraId="03098025">
            <w:pPr>
              <w:pStyle w:val="6"/>
              <w:spacing w:before="104" w:line="186" w:lineRule="auto"/>
              <w:ind w:left="823"/>
              <w:rPr>
                <w:sz w:val="13"/>
                <w:szCs w:val="13"/>
              </w:rPr>
            </w:pPr>
            <w:r>
              <w:rPr>
                <w:color w:val="212529"/>
                <w:spacing w:val="4"/>
                <w:sz w:val="13"/>
                <w:szCs w:val="13"/>
              </w:rPr>
              <w:t>277.</w:t>
            </w:r>
            <w:r>
              <w:rPr>
                <w:color w:val="212529"/>
                <w:spacing w:val="18"/>
                <w:w w:val="102"/>
                <w:sz w:val="13"/>
                <w:szCs w:val="13"/>
              </w:rPr>
              <w:t xml:space="preserve"> </w:t>
            </w:r>
            <w:r>
              <w:rPr>
                <w:color w:val="212529"/>
                <w:spacing w:val="4"/>
                <w:sz w:val="13"/>
                <w:szCs w:val="13"/>
              </w:rPr>
              <w:t>14</w:t>
            </w:r>
          </w:p>
        </w:tc>
      </w:tr>
      <w:tr w14:paraId="19FB43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733" w:type="dxa"/>
            <w:vAlign w:val="top"/>
          </w:tcPr>
          <w:p w14:paraId="10655965">
            <w:pPr>
              <w:spacing w:before="109" w:line="191" w:lineRule="auto"/>
              <w:ind w:left="8"/>
              <w:rPr>
                <w:rFonts w:ascii="宋体" w:hAnsi="宋体" w:eastAsia="宋体" w:cs="宋体"/>
                <w:sz w:val="15"/>
                <w:szCs w:val="15"/>
              </w:rPr>
            </w:pPr>
            <w:r>
              <w:rPr>
                <w:rFonts w:ascii="宋体" w:hAnsi="宋体" w:eastAsia="宋体" w:cs="宋体"/>
                <w:color w:val="212529"/>
                <w:spacing w:val="4"/>
                <w:sz w:val="15"/>
                <w:szCs w:val="15"/>
              </w:rPr>
              <w:t>2120801</w:t>
            </w:r>
          </w:p>
        </w:tc>
        <w:tc>
          <w:tcPr>
            <w:tcW w:w="3305" w:type="dxa"/>
            <w:vAlign w:val="top"/>
          </w:tcPr>
          <w:p w14:paraId="36C8337F">
            <w:pPr>
              <w:spacing w:before="85" w:line="229" w:lineRule="auto"/>
              <w:ind w:left="11"/>
              <w:rPr>
                <w:rFonts w:ascii="宋体" w:hAnsi="宋体" w:eastAsia="宋体" w:cs="宋体"/>
                <w:sz w:val="15"/>
                <w:szCs w:val="15"/>
              </w:rPr>
            </w:pPr>
            <w:r>
              <w:rPr>
                <w:rFonts w:ascii="宋体" w:hAnsi="宋体" w:eastAsia="宋体" w:cs="宋体"/>
                <w:color w:val="212529"/>
                <w:spacing w:val="10"/>
                <w:sz w:val="15"/>
                <w:szCs w:val="15"/>
              </w:rPr>
              <w:t>征地和拆迁补偿支出</w:t>
            </w:r>
          </w:p>
        </w:tc>
        <w:tc>
          <w:tcPr>
            <w:tcW w:w="1458" w:type="dxa"/>
            <w:vAlign w:val="top"/>
          </w:tcPr>
          <w:p w14:paraId="780EB111">
            <w:pPr>
              <w:spacing w:before="109" w:line="191" w:lineRule="auto"/>
              <w:ind w:left="947"/>
              <w:rPr>
                <w:rFonts w:ascii="宋体" w:hAnsi="宋体" w:eastAsia="宋体" w:cs="宋体"/>
                <w:sz w:val="15"/>
                <w:szCs w:val="15"/>
              </w:rPr>
            </w:pPr>
            <w:r>
              <w:rPr>
                <w:rFonts w:ascii="宋体" w:hAnsi="宋体" w:eastAsia="宋体" w:cs="宋体"/>
                <w:color w:val="212529"/>
                <w:spacing w:val="4"/>
                <w:sz w:val="15"/>
                <w:szCs w:val="15"/>
              </w:rPr>
              <w:t>277.14</w:t>
            </w:r>
          </w:p>
        </w:tc>
        <w:tc>
          <w:tcPr>
            <w:tcW w:w="1328" w:type="dxa"/>
            <w:vAlign w:val="top"/>
          </w:tcPr>
          <w:p w14:paraId="546B2A98">
            <w:pPr>
              <w:pStyle w:val="6"/>
            </w:pPr>
          </w:p>
        </w:tc>
        <w:tc>
          <w:tcPr>
            <w:tcW w:w="1334" w:type="dxa"/>
            <w:vAlign w:val="top"/>
          </w:tcPr>
          <w:p w14:paraId="62640D0A">
            <w:pPr>
              <w:spacing w:before="109" w:line="191" w:lineRule="auto"/>
              <w:ind w:left="823"/>
              <w:rPr>
                <w:rFonts w:ascii="宋体" w:hAnsi="宋体" w:eastAsia="宋体" w:cs="宋体"/>
                <w:sz w:val="15"/>
                <w:szCs w:val="15"/>
              </w:rPr>
            </w:pPr>
            <w:r>
              <w:rPr>
                <w:rFonts w:ascii="宋体" w:hAnsi="宋体" w:eastAsia="宋体" w:cs="宋体"/>
                <w:color w:val="212529"/>
                <w:spacing w:val="4"/>
                <w:sz w:val="15"/>
                <w:szCs w:val="15"/>
              </w:rPr>
              <w:t>277.14</w:t>
            </w:r>
          </w:p>
        </w:tc>
      </w:tr>
    </w:tbl>
    <w:p w14:paraId="429B2D51">
      <w:pPr>
        <w:pStyle w:val="2"/>
      </w:pPr>
    </w:p>
    <w:p w14:paraId="3D727B14">
      <w:pPr>
        <w:sectPr>
          <w:headerReference r:id="rId16" w:type="default"/>
          <w:footerReference r:id="rId17" w:type="default"/>
          <w:pgSz w:w="11900" w:h="16840"/>
          <w:pgMar w:top="611" w:right="0" w:bottom="311" w:left="0" w:header="357" w:footer="153" w:gutter="0"/>
          <w:cols w:space="720" w:num="1"/>
        </w:sectPr>
      </w:pPr>
    </w:p>
    <w:p w14:paraId="0E7866F6">
      <w:pPr>
        <w:spacing w:before="118"/>
      </w:pPr>
    </w:p>
    <w:p w14:paraId="2140F722">
      <w:pPr>
        <w:spacing w:before="118"/>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52"/>
        <w:gridCol w:w="1101"/>
        <w:gridCol w:w="1911"/>
        <w:gridCol w:w="1102"/>
        <w:gridCol w:w="1037"/>
        <w:gridCol w:w="1134"/>
        <w:gridCol w:w="1021"/>
      </w:tblGrid>
      <w:tr w14:paraId="776D1B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1852" w:type="dxa"/>
            <w:tcBorders>
              <w:top w:val="single" w:color="FFFFFF" w:sz="4" w:space="0"/>
              <w:left w:val="single" w:color="FFFFFF" w:sz="2" w:space="0"/>
              <w:bottom w:val="single" w:color="FFFFFF" w:sz="4" w:space="0"/>
              <w:right w:val="single" w:color="FFFFFF" w:sz="2" w:space="0"/>
            </w:tcBorders>
            <w:vAlign w:val="top"/>
          </w:tcPr>
          <w:p w14:paraId="1C9215C5">
            <w:pPr>
              <w:pStyle w:val="6"/>
            </w:pPr>
          </w:p>
        </w:tc>
        <w:tc>
          <w:tcPr>
            <w:tcW w:w="1101" w:type="dxa"/>
            <w:tcBorders>
              <w:top w:val="single" w:color="FFFFFF" w:sz="4" w:space="0"/>
              <w:left w:val="single" w:color="FFFFFF" w:sz="2" w:space="0"/>
              <w:bottom w:val="single" w:color="FFFFFF" w:sz="4" w:space="0"/>
              <w:right w:val="single" w:color="FFFFFF" w:sz="2" w:space="0"/>
            </w:tcBorders>
            <w:vAlign w:val="top"/>
          </w:tcPr>
          <w:p w14:paraId="74146257">
            <w:pPr>
              <w:pStyle w:val="6"/>
            </w:pPr>
          </w:p>
        </w:tc>
        <w:tc>
          <w:tcPr>
            <w:tcW w:w="1911" w:type="dxa"/>
            <w:tcBorders>
              <w:top w:val="single" w:color="FFFFFF" w:sz="4" w:space="0"/>
              <w:left w:val="single" w:color="FFFFFF" w:sz="2" w:space="0"/>
              <w:bottom w:val="single" w:color="FFFFFF" w:sz="4" w:space="0"/>
              <w:right w:val="single" w:color="FFFFFF" w:sz="2" w:space="0"/>
            </w:tcBorders>
            <w:vAlign w:val="top"/>
          </w:tcPr>
          <w:p w14:paraId="3DB10428">
            <w:pPr>
              <w:pStyle w:val="6"/>
            </w:pPr>
          </w:p>
        </w:tc>
        <w:tc>
          <w:tcPr>
            <w:tcW w:w="1102" w:type="dxa"/>
            <w:tcBorders>
              <w:top w:val="single" w:color="FFFFFF" w:sz="4" w:space="0"/>
              <w:left w:val="single" w:color="FFFFFF" w:sz="2" w:space="0"/>
              <w:bottom w:val="single" w:color="FFFFFF" w:sz="4" w:space="0"/>
              <w:right w:val="single" w:color="FFFFFF" w:sz="2" w:space="0"/>
            </w:tcBorders>
            <w:vAlign w:val="top"/>
          </w:tcPr>
          <w:p w14:paraId="78A5B2A9">
            <w:pPr>
              <w:pStyle w:val="6"/>
            </w:pPr>
          </w:p>
        </w:tc>
        <w:tc>
          <w:tcPr>
            <w:tcW w:w="1037" w:type="dxa"/>
            <w:tcBorders>
              <w:top w:val="single" w:color="FFFFFF" w:sz="4" w:space="0"/>
              <w:left w:val="single" w:color="FFFFFF" w:sz="2" w:space="0"/>
              <w:bottom w:val="single" w:color="FFFFFF" w:sz="4" w:space="0"/>
              <w:right w:val="single" w:color="FFFFFF" w:sz="2" w:space="0"/>
            </w:tcBorders>
            <w:vAlign w:val="top"/>
          </w:tcPr>
          <w:p w14:paraId="5FCC688A">
            <w:pPr>
              <w:pStyle w:val="6"/>
            </w:pPr>
          </w:p>
        </w:tc>
        <w:tc>
          <w:tcPr>
            <w:tcW w:w="2155" w:type="dxa"/>
            <w:gridSpan w:val="2"/>
            <w:tcBorders>
              <w:top w:val="single" w:color="FFFFFF" w:sz="4" w:space="0"/>
              <w:left w:val="single" w:color="FFFFFF" w:sz="2" w:space="0"/>
              <w:bottom w:val="single" w:color="FFFFFF" w:sz="4" w:space="0"/>
              <w:right w:val="single" w:color="FFFFFF" w:sz="2" w:space="0"/>
            </w:tcBorders>
            <w:vAlign w:val="top"/>
          </w:tcPr>
          <w:p w14:paraId="5AA3AB63">
            <w:pPr>
              <w:spacing w:before="114" w:line="225" w:lineRule="auto"/>
              <w:ind w:right="24"/>
              <w:jc w:val="right"/>
              <w:rPr>
                <w:rFonts w:ascii="宋体" w:hAnsi="宋体" w:eastAsia="宋体" w:cs="宋体"/>
                <w:sz w:val="14"/>
                <w:szCs w:val="14"/>
              </w:rPr>
            </w:pPr>
            <w:r>
              <w:rPr>
                <w:rFonts w:ascii="宋体" w:hAnsi="宋体" w:eastAsia="宋体" w:cs="宋体"/>
                <w:color w:val="212529"/>
                <w:spacing w:val="2"/>
                <w:sz w:val="14"/>
                <w:szCs w:val="14"/>
              </w:rPr>
              <w:t>预算公开表4</w:t>
            </w:r>
          </w:p>
        </w:tc>
      </w:tr>
      <w:tr w14:paraId="67C1E0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9158" w:type="dxa"/>
            <w:gridSpan w:val="7"/>
            <w:tcBorders>
              <w:top w:val="single" w:color="FFFFFF" w:sz="4" w:space="0"/>
              <w:left w:val="single" w:color="FFFFFF" w:sz="4" w:space="0"/>
              <w:bottom w:val="single" w:color="FFFFFF" w:sz="4" w:space="0"/>
              <w:right w:val="single" w:color="FFFFFF" w:sz="4" w:space="0"/>
            </w:tcBorders>
            <w:vAlign w:val="top"/>
          </w:tcPr>
          <w:p w14:paraId="03CABAF5">
            <w:pPr>
              <w:spacing w:before="78" w:line="201" w:lineRule="exact"/>
              <w:ind w:left="3464"/>
              <w:outlineLvl w:val="1"/>
              <w:rPr>
                <w:rFonts w:ascii="微软雅黑" w:hAnsi="微软雅黑" w:eastAsia="微软雅黑" w:cs="微软雅黑"/>
                <w:sz w:val="20"/>
                <w:szCs w:val="20"/>
              </w:rPr>
            </w:pPr>
            <w:bookmarkStart w:id="45" w:name="bookmark39"/>
            <w:bookmarkEnd w:id="45"/>
            <w:bookmarkStart w:id="46" w:name="bookmark9"/>
            <w:bookmarkEnd w:id="46"/>
            <w:r>
              <w:rPr>
                <w:rFonts w:ascii="微软雅黑" w:hAnsi="微软雅黑" w:eastAsia="微软雅黑" w:cs="微软雅黑"/>
                <w:color w:val="212529"/>
                <w:spacing w:val="-5"/>
                <w:position w:val="-1"/>
                <w:sz w:val="20"/>
                <w:szCs w:val="20"/>
              </w:rPr>
              <w:t>2025年财政拨款收支总表</w:t>
            </w:r>
          </w:p>
        </w:tc>
      </w:tr>
      <w:tr w14:paraId="620274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8137" w:type="dxa"/>
            <w:gridSpan w:val="6"/>
            <w:tcBorders>
              <w:top w:val="single" w:color="FFFFFF" w:sz="4" w:space="0"/>
              <w:left w:val="single" w:color="FFFFFF" w:sz="2" w:space="0"/>
              <w:right w:val="single" w:color="FFFFFF" w:sz="2" w:space="0"/>
            </w:tcBorders>
            <w:vAlign w:val="top"/>
          </w:tcPr>
          <w:p w14:paraId="29C456F7">
            <w:pPr>
              <w:spacing w:before="122" w:line="234" w:lineRule="auto"/>
              <w:ind w:left="9"/>
              <w:rPr>
                <w:rFonts w:ascii="宋体" w:hAnsi="宋体" w:eastAsia="宋体" w:cs="宋体"/>
                <w:sz w:val="12"/>
                <w:szCs w:val="12"/>
              </w:rPr>
            </w:pPr>
            <w:r>
              <w:rPr>
                <w:rFonts w:ascii="宋体" w:hAnsi="宋体" w:eastAsia="宋体" w:cs="宋体"/>
                <w:color w:val="212529"/>
                <w:spacing w:val="9"/>
                <w:sz w:val="12"/>
                <w:szCs w:val="12"/>
              </w:rPr>
              <w:t>部门名称：长治高新区漳泽工业园事业服务中心</w:t>
            </w:r>
          </w:p>
        </w:tc>
        <w:tc>
          <w:tcPr>
            <w:tcW w:w="1021" w:type="dxa"/>
            <w:tcBorders>
              <w:top w:val="single" w:color="FFFFFF" w:sz="4" w:space="0"/>
              <w:left w:val="single" w:color="FFFFFF" w:sz="2" w:space="0"/>
              <w:right w:val="single" w:color="FFFFFF" w:sz="2" w:space="0"/>
            </w:tcBorders>
            <w:vAlign w:val="top"/>
          </w:tcPr>
          <w:p w14:paraId="10FE7F97">
            <w:pPr>
              <w:spacing w:before="123" w:line="234" w:lineRule="auto"/>
              <w:ind w:left="348"/>
              <w:rPr>
                <w:rFonts w:ascii="宋体" w:hAnsi="宋体" w:eastAsia="宋体" w:cs="宋体"/>
                <w:sz w:val="12"/>
                <w:szCs w:val="12"/>
              </w:rPr>
            </w:pPr>
            <w:r>
              <w:rPr>
                <w:rFonts w:ascii="宋体" w:hAnsi="宋体" w:eastAsia="宋体" w:cs="宋体"/>
                <w:color w:val="212529"/>
                <w:spacing w:val="8"/>
                <w:sz w:val="12"/>
                <w:szCs w:val="12"/>
              </w:rPr>
              <w:t>单位：万元</w:t>
            </w:r>
          </w:p>
        </w:tc>
      </w:tr>
      <w:tr w14:paraId="2F4304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953" w:type="dxa"/>
            <w:gridSpan w:val="2"/>
            <w:vAlign w:val="top"/>
          </w:tcPr>
          <w:p w14:paraId="31AE30F8">
            <w:pPr>
              <w:spacing w:before="107" w:line="157" w:lineRule="exact"/>
              <w:ind w:left="1305"/>
              <w:rPr>
                <w:rFonts w:ascii="微软雅黑" w:hAnsi="微软雅黑" w:eastAsia="微软雅黑" w:cs="微软雅黑"/>
                <w:sz w:val="15"/>
                <w:szCs w:val="15"/>
              </w:rPr>
            </w:pPr>
            <w:r>
              <w:rPr>
                <w:rFonts w:ascii="微软雅黑" w:hAnsi="微软雅黑" w:eastAsia="微软雅黑" w:cs="微软雅黑"/>
                <w:color w:val="212529"/>
                <w:spacing w:val="5"/>
                <w:position w:val="-1"/>
                <w:sz w:val="15"/>
                <w:szCs w:val="15"/>
              </w:rPr>
              <w:t>收入</w:t>
            </w:r>
          </w:p>
        </w:tc>
        <w:tc>
          <w:tcPr>
            <w:tcW w:w="6205" w:type="dxa"/>
            <w:gridSpan w:val="5"/>
            <w:vAlign w:val="top"/>
          </w:tcPr>
          <w:p w14:paraId="6E7505D8">
            <w:pPr>
              <w:spacing w:before="107" w:line="154" w:lineRule="exact"/>
              <w:ind w:left="2926"/>
              <w:rPr>
                <w:rFonts w:ascii="微软雅黑" w:hAnsi="微软雅黑" w:eastAsia="微软雅黑" w:cs="微软雅黑"/>
                <w:sz w:val="15"/>
                <w:szCs w:val="15"/>
              </w:rPr>
            </w:pPr>
            <w:r>
              <w:rPr>
                <w:rFonts w:ascii="微软雅黑" w:hAnsi="微软雅黑" w:eastAsia="微软雅黑" w:cs="微软雅黑"/>
                <w:color w:val="212529"/>
                <w:spacing w:val="2"/>
                <w:position w:val="-1"/>
                <w:sz w:val="15"/>
                <w:szCs w:val="15"/>
              </w:rPr>
              <w:t>支出</w:t>
            </w:r>
          </w:p>
        </w:tc>
      </w:tr>
      <w:tr w14:paraId="0C23BA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52" w:type="dxa"/>
            <w:vMerge w:val="restart"/>
            <w:tcBorders>
              <w:bottom w:val="nil"/>
            </w:tcBorders>
            <w:vAlign w:val="top"/>
          </w:tcPr>
          <w:p w14:paraId="5AD7E3C3">
            <w:pPr>
              <w:spacing w:before="304" w:line="154" w:lineRule="exact"/>
              <w:ind w:left="751"/>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1101" w:type="dxa"/>
            <w:vMerge w:val="restart"/>
            <w:tcBorders>
              <w:bottom w:val="nil"/>
            </w:tcBorders>
            <w:vAlign w:val="top"/>
          </w:tcPr>
          <w:p w14:paraId="12E5204D">
            <w:pPr>
              <w:spacing w:before="302" w:line="157" w:lineRule="exact"/>
              <w:ind w:left="373"/>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金额</w:t>
            </w:r>
          </w:p>
        </w:tc>
        <w:tc>
          <w:tcPr>
            <w:tcW w:w="1911" w:type="dxa"/>
            <w:vMerge w:val="restart"/>
            <w:tcBorders>
              <w:bottom w:val="nil"/>
            </w:tcBorders>
            <w:vAlign w:val="top"/>
          </w:tcPr>
          <w:p w14:paraId="6700B1EC">
            <w:pPr>
              <w:spacing w:before="304" w:line="154" w:lineRule="exact"/>
              <w:ind w:left="781"/>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4294" w:type="dxa"/>
            <w:gridSpan w:val="4"/>
            <w:vAlign w:val="top"/>
          </w:tcPr>
          <w:p w14:paraId="29CB28BF">
            <w:pPr>
              <w:spacing w:before="107" w:line="157" w:lineRule="exact"/>
              <w:ind w:left="1975"/>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金额</w:t>
            </w:r>
          </w:p>
        </w:tc>
      </w:tr>
      <w:tr w14:paraId="2487FE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52" w:type="dxa"/>
            <w:vMerge w:val="continue"/>
            <w:tcBorders>
              <w:top w:val="nil"/>
            </w:tcBorders>
            <w:vAlign w:val="top"/>
          </w:tcPr>
          <w:p w14:paraId="6D604969">
            <w:pPr>
              <w:pStyle w:val="6"/>
            </w:pPr>
          </w:p>
        </w:tc>
        <w:tc>
          <w:tcPr>
            <w:tcW w:w="1101" w:type="dxa"/>
            <w:vMerge w:val="continue"/>
            <w:tcBorders>
              <w:top w:val="nil"/>
            </w:tcBorders>
            <w:vAlign w:val="top"/>
          </w:tcPr>
          <w:p w14:paraId="0AE06153">
            <w:pPr>
              <w:pStyle w:val="6"/>
            </w:pPr>
          </w:p>
        </w:tc>
        <w:tc>
          <w:tcPr>
            <w:tcW w:w="1911" w:type="dxa"/>
            <w:vMerge w:val="continue"/>
            <w:tcBorders>
              <w:top w:val="nil"/>
            </w:tcBorders>
            <w:vAlign w:val="top"/>
          </w:tcPr>
          <w:p w14:paraId="5C787457">
            <w:pPr>
              <w:pStyle w:val="6"/>
            </w:pPr>
          </w:p>
        </w:tc>
        <w:tc>
          <w:tcPr>
            <w:tcW w:w="1102" w:type="dxa"/>
            <w:vAlign w:val="top"/>
          </w:tcPr>
          <w:p w14:paraId="6F3BEF99">
            <w:pPr>
              <w:spacing w:before="108" w:line="154" w:lineRule="exact"/>
              <w:ind w:left="385"/>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小计</w:t>
            </w:r>
          </w:p>
        </w:tc>
        <w:tc>
          <w:tcPr>
            <w:tcW w:w="1037" w:type="dxa"/>
            <w:vAlign w:val="top"/>
          </w:tcPr>
          <w:p w14:paraId="49974DAA">
            <w:pPr>
              <w:spacing w:before="107" w:line="157" w:lineRule="exact"/>
              <w:ind w:left="20"/>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1134" w:type="dxa"/>
            <w:vAlign w:val="top"/>
          </w:tcPr>
          <w:p w14:paraId="43449B53">
            <w:pPr>
              <w:spacing w:before="22" w:line="158" w:lineRule="auto"/>
              <w:ind w:left="471" w:right="85" w:hanging="402"/>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政府性基金预</w:t>
            </w:r>
            <w:r>
              <w:rPr>
                <w:rFonts w:ascii="微软雅黑" w:hAnsi="微软雅黑" w:eastAsia="微软雅黑" w:cs="微软雅黑"/>
                <w:color w:val="212529"/>
                <w:spacing w:val="2"/>
                <w:sz w:val="15"/>
                <w:szCs w:val="15"/>
              </w:rPr>
              <w:t xml:space="preserve"> </w:t>
            </w:r>
            <w:r>
              <w:rPr>
                <w:rFonts w:ascii="微软雅黑" w:hAnsi="微软雅黑" w:eastAsia="微软雅黑" w:cs="微软雅黑"/>
                <w:color w:val="212529"/>
                <w:spacing w:val="10"/>
                <w:sz w:val="15"/>
                <w:szCs w:val="15"/>
              </w:rPr>
              <w:t>算</w:t>
            </w:r>
          </w:p>
        </w:tc>
        <w:tc>
          <w:tcPr>
            <w:tcW w:w="1021" w:type="dxa"/>
            <w:vAlign w:val="top"/>
          </w:tcPr>
          <w:p w14:paraId="481E8176">
            <w:pPr>
              <w:spacing w:before="21" w:line="159" w:lineRule="auto"/>
              <w:ind w:left="333" w:right="33" w:hanging="304"/>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国有资本经营</w:t>
            </w:r>
            <w:r>
              <w:rPr>
                <w:rFonts w:ascii="微软雅黑" w:hAnsi="微软雅黑" w:eastAsia="微软雅黑" w:cs="微软雅黑"/>
                <w:color w:val="212529"/>
                <w:spacing w:val="4"/>
                <w:sz w:val="15"/>
                <w:szCs w:val="15"/>
              </w:rPr>
              <w:t xml:space="preserve"> </w:t>
            </w:r>
            <w:r>
              <w:rPr>
                <w:rFonts w:ascii="微软雅黑" w:hAnsi="微软雅黑" w:eastAsia="微软雅黑" w:cs="微软雅黑"/>
                <w:color w:val="212529"/>
                <w:spacing w:val="11"/>
                <w:sz w:val="15"/>
                <w:szCs w:val="15"/>
              </w:rPr>
              <w:t>预算</w:t>
            </w:r>
          </w:p>
        </w:tc>
      </w:tr>
      <w:tr w14:paraId="4E6514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52" w:type="dxa"/>
            <w:vAlign w:val="top"/>
          </w:tcPr>
          <w:p w14:paraId="1F702FBA">
            <w:pPr>
              <w:spacing w:before="110" w:line="229" w:lineRule="auto"/>
              <w:ind w:left="8"/>
              <w:rPr>
                <w:rFonts w:ascii="宋体" w:hAnsi="宋体" w:eastAsia="宋体" w:cs="宋体"/>
                <w:sz w:val="15"/>
                <w:szCs w:val="15"/>
              </w:rPr>
            </w:pPr>
            <w:r>
              <w:rPr>
                <w:rFonts w:ascii="宋体" w:hAnsi="宋体" w:eastAsia="宋体" w:cs="宋体"/>
                <w:color w:val="212529"/>
                <w:spacing w:val="10"/>
                <w:sz w:val="15"/>
                <w:szCs w:val="15"/>
              </w:rPr>
              <w:t>一、一般公共预算</w:t>
            </w:r>
          </w:p>
        </w:tc>
        <w:tc>
          <w:tcPr>
            <w:tcW w:w="1101" w:type="dxa"/>
            <w:vAlign w:val="top"/>
          </w:tcPr>
          <w:p w14:paraId="366A4638">
            <w:pPr>
              <w:spacing w:before="134" w:line="190" w:lineRule="auto"/>
              <w:ind w:left="586"/>
              <w:rPr>
                <w:rFonts w:ascii="宋体" w:hAnsi="宋体" w:eastAsia="宋体" w:cs="宋体"/>
                <w:sz w:val="15"/>
                <w:szCs w:val="15"/>
              </w:rPr>
            </w:pPr>
            <w:r>
              <w:rPr>
                <w:rFonts w:ascii="宋体" w:hAnsi="宋体" w:eastAsia="宋体" w:cs="宋体"/>
                <w:color w:val="212529"/>
                <w:spacing w:val="4"/>
                <w:sz w:val="15"/>
                <w:szCs w:val="15"/>
              </w:rPr>
              <w:t>789.73</w:t>
            </w:r>
          </w:p>
        </w:tc>
        <w:tc>
          <w:tcPr>
            <w:tcW w:w="1911" w:type="dxa"/>
            <w:vAlign w:val="top"/>
          </w:tcPr>
          <w:p w14:paraId="2FEFEE8C">
            <w:pPr>
              <w:spacing w:before="110" w:line="229" w:lineRule="auto"/>
              <w:ind w:left="2"/>
              <w:rPr>
                <w:rFonts w:ascii="宋体" w:hAnsi="宋体" w:eastAsia="宋体" w:cs="宋体"/>
                <w:sz w:val="15"/>
                <w:szCs w:val="15"/>
              </w:rPr>
            </w:pPr>
            <w:r>
              <w:rPr>
                <w:rFonts w:ascii="宋体" w:hAnsi="宋体" w:eastAsia="宋体" w:cs="宋体"/>
                <w:color w:val="212529"/>
                <w:spacing w:val="10"/>
                <w:sz w:val="15"/>
                <w:szCs w:val="15"/>
              </w:rPr>
              <w:t>一、一般公共服务支出</w:t>
            </w:r>
          </w:p>
        </w:tc>
        <w:tc>
          <w:tcPr>
            <w:tcW w:w="1102" w:type="dxa"/>
            <w:vAlign w:val="top"/>
          </w:tcPr>
          <w:p w14:paraId="3B53F279">
            <w:pPr>
              <w:spacing w:before="134" w:line="190" w:lineRule="auto"/>
              <w:ind w:left="593"/>
              <w:rPr>
                <w:rFonts w:ascii="宋体" w:hAnsi="宋体" w:eastAsia="宋体" w:cs="宋体"/>
                <w:sz w:val="15"/>
                <w:szCs w:val="15"/>
              </w:rPr>
            </w:pPr>
            <w:r>
              <w:rPr>
                <w:rFonts w:ascii="宋体" w:hAnsi="宋体" w:eastAsia="宋体" w:cs="宋体"/>
                <w:color w:val="212529"/>
                <w:spacing w:val="4"/>
                <w:sz w:val="15"/>
                <w:szCs w:val="15"/>
              </w:rPr>
              <w:t>789.73</w:t>
            </w:r>
          </w:p>
        </w:tc>
        <w:tc>
          <w:tcPr>
            <w:tcW w:w="1037" w:type="dxa"/>
            <w:vAlign w:val="top"/>
          </w:tcPr>
          <w:p w14:paraId="27BE5B6F">
            <w:pPr>
              <w:spacing w:before="134" w:line="190" w:lineRule="auto"/>
              <w:ind w:right="22"/>
              <w:jc w:val="right"/>
              <w:rPr>
                <w:rFonts w:ascii="宋体" w:hAnsi="宋体" w:eastAsia="宋体" w:cs="宋体"/>
                <w:sz w:val="15"/>
                <w:szCs w:val="15"/>
              </w:rPr>
            </w:pPr>
            <w:r>
              <w:rPr>
                <w:rFonts w:ascii="宋体" w:hAnsi="宋体" w:eastAsia="宋体" w:cs="宋体"/>
                <w:color w:val="212529"/>
                <w:spacing w:val="4"/>
                <w:sz w:val="15"/>
                <w:szCs w:val="15"/>
              </w:rPr>
              <w:t>789.73</w:t>
            </w:r>
          </w:p>
        </w:tc>
        <w:tc>
          <w:tcPr>
            <w:tcW w:w="1134" w:type="dxa"/>
            <w:vAlign w:val="top"/>
          </w:tcPr>
          <w:p w14:paraId="78972067">
            <w:pPr>
              <w:pStyle w:val="6"/>
            </w:pPr>
          </w:p>
        </w:tc>
        <w:tc>
          <w:tcPr>
            <w:tcW w:w="1021" w:type="dxa"/>
            <w:vAlign w:val="top"/>
          </w:tcPr>
          <w:p w14:paraId="5B98AA81">
            <w:pPr>
              <w:pStyle w:val="6"/>
            </w:pPr>
          </w:p>
        </w:tc>
      </w:tr>
      <w:tr w14:paraId="2E3FAC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52" w:type="dxa"/>
            <w:vAlign w:val="top"/>
          </w:tcPr>
          <w:p w14:paraId="60C943E2">
            <w:pPr>
              <w:spacing w:before="110" w:line="228" w:lineRule="auto"/>
              <w:ind w:left="9"/>
              <w:rPr>
                <w:rFonts w:ascii="宋体" w:hAnsi="宋体" w:eastAsia="宋体" w:cs="宋体"/>
                <w:sz w:val="15"/>
                <w:szCs w:val="15"/>
              </w:rPr>
            </w:pPr>
            <w:r>
              <w:rPr>
                <w:rFonts w:ascii="宋体" w:hAnsi="宋体" w:eastAsia="宋体" w:cs="宋体"/>
                <w:color w:val="212529"/>
                <w:spacing w:val="10"/>
                <w:sz w:val="15"/>
                <w:szCs w:val="15"/>
              </w:rPr>
              <w:t>二、政府性基金预算</w:t>
            </w:r>
          </w:p>
        </w:tc>
        <w:tc>
          <w:tcPr>
            <w:tcW w:w="1101" w:type="dxa"/>
            <w:vAlign w:val="top"/>
          </w:tcPr>
          <w:p w14:paraId="1A7702A5">
            <w:pPr>
              <w:spacing w:before="134" w:line="191" w:lineRule="auto"/>
              <w:ind w:left="584"/>
              <w:rPr>
                <w:rFonts w:ascii="宋体" w:hAnsi="宋体" w:eastAsia="宋体" w:cs="宋体"/>
                <w:sz w:val="15"/>
                <w:szCs w:val="15"/>
              </w:rPr>
            </w:pPr>
            <w:r>
              <w:rPr>
                <w:rFonts w:ascii="宋体" w:hAnsi="宋体" w:eastAsia="宋体" w:cs="宋体"/>
                <w:color w:val="212529"/>
                <w:spacing w:val="4"/>
                <w:sz w:val="15"/>
                <w:szCs w:val="15"/>
              </w:rPr>
              <w:t>277.14</w:t>
            </w:r>
          </w:p>
        </w:tc>
        <w:tc>
          <w:tcPr>
            <w:tcW w:w="1911" w:type="dxa"/>
            <w:vAlign w:val="top"/>
          </w:tcPr>
          <w:p w14:paraId="70076050">
            <w:pPr>
              <w:spacing w:before="110" w:line="230" w:lineRule="auto"/>
              <w:ind w:left="3"/>
              <w:rPr>
                <w:rFonts w:ascii="宋体" w:hAnsi="宋体" w:eastAsia="宋体" w:cs="宋体"/>
                <w:sz w:val="15"/>
                <w:szCs w:val="15"/>
              </w:rPr>
            </w:pPr>
            <w:r>
              <w:rPr>
                <w:rFonts w:ascii="宋体" w:hAnsi="宋体" w:eastAsia="宋体" w:cs="宋体"/>
                <w:color w:val="212529"/>
                <w:spacing w:val="10"/>
                <w:sz w:val="15"/>
                <w:szCs w:val="15"/>
              </w:rPr>
              <w:t>二、外交支出</w:t>
            </w:r>
          </w:p>
        </w:tc>
        <w:tc>
          <w:tcPr>
            <w:tcW w:w="1102" w:type="dxa"/>
            <w:vAlign w:val="top"/>
          </w:tcPr>
          <w:p w14:paraId="26669386">
            <w:pPr>
              <w:pStyle w:val="6"/>
            </w:pPr>
          </w:p>
        </w:tc>
        <w:tc>
          <w:tcPr>
            <w:tcW w:w="1037" w:type="dxa"/>
            <w:vAlign w:val="top"/>
          </w:tcPr>
          <w:p w14:paraId="5FE68BBB">
            <w:pPr>
              <w:pStyle w:val="6"/>
            </w:pPr>
          </w:p>
        </w:tc>
        <w:tc>
          <w:tcPr>
            <w:tcW w:w="1134" w:type="dxa"/>
            <w:vAlign w:val="top"/>
          </w:tcPr>
          <w:p w14:paraId="7E5BAD78">
            <w:pPr>
              <w:pStyle w:val="6"/>
            </w:pPr>
          </w:p>
        </w:tc>
        <w:tc>
          <w:tcPr>
            <w:tcW w:w="1021" w:type="dxa"/>
            <w:vAlign w:val="top"/>
          </w:tcPr>
          <w:p w14:paraId="3CED411C">
            <w:pPr>
              <w:pStyle w:val="6"/>
            </w:pPr>
          </w:p>
        </w:tc>
      </w:tr>
      <w:tr w14:paraId="280F51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52" w:type="dxa"/>
            <w:vAlign w:val="top"/>
          </w:tcPr>
          <w:p w14:paraId="0268677D">
            <w:pPr>
              <w:spacing w:before="110" w:line="228" w:lineRule="auto"/>
              <w:ind w:left="6"/>
              <w:rPr>
                <w:rFonts w:ascii="宋体" w:hAnsi="宋体" w:eastAsia="宋体" w:cs="宋体"/>
                <w:sz w:val="15"/>
                <w:szCs w:val="15"/>
              </w:rPr>
            </w:pPr>
            <w:r>
              <w:rPr>
                <w:rFonts w:ascii="宋体" w:hAnsi="宋体" w:eastAsia="宋体" w:cs="宋体"/>
                <w:color w:val="212529"/>
                <w:spacing w:val="8"/>
                <w:sz w:val="15"/>
                <w:szCs w:val="15"/>
              </w:rPr>
              <w:t>三、</w:t>
            </w:r>
            <w:r>
              <w:rPr>
                <w:rFonts w:ascii="宋体" w:hAnsi="宋体" w:eastAsia="宋体" w:cs="宋体"/>
                <w:color w:val="212529"/>
                <w:spacing w:val="-44"/>
                <w:sz w:val="15"/>
                <w:szCs w:val="15"/>
              </w:rPr>
              <w:t xml:space="preserve"> </w:t>
            </w:r>
            <w:r>
              <w:rPr>
                <w:rFonts w:ascii="宋体" w:hAnsi="宋体" w:eastAsia="宋体" w:cs="宋体"/>
                <w:color w:val="212529"/>
                <w:spacing w:val="8"/>
                <w:sz w:val="15"/>
                <w:szCs w:val="15"/>
              </w:rPr>
              <w:t>国有资本经营预算</w:t>
            </w:r>
          </w:p>
        </w:tc>
        <w:tc>
          <w:tcPr>
            <w:tcW w:w="1101" w:type="dxa"/>
            <w:vAlign w:val="top"/>
          </w:tcPr>
          <w:p w14:paraId="0A5941EA">
            <w:pPr>
              <w:pStyle w:val="6"/>
            </w:pPr>
          </w:p>
        </w:tc>
        <w:tc>
          <w:tcPr>
            <w:tcW w:w="1911" w:type="dxa"/>
            <w:vAlign w:val="top"/>
          </w:tcPr>
          <w:p w14:paraId="6866EE1B">
            <w:pPr>
              <w:spacing w:before="110" w:line="230" w:lineRule="auto"/>
              <w:rPr>
                <w:rFonts w:ascii="宋体" w:hAnsi="宋体" w:eastAsia="宋体" w:cs="宋体"/>
                <w:sz w:val="15"/>
                <w:szCs w:val="15"/>
              </w:rPr>
            </w:pPr>
            <w:r>
              <w:rPr>
                <w:rFonts w:ascii="宋体" w:hAnsi="宋体" w:eastAsia="宋体" w:cs="宋体"/>
                <w:color w:val="212529"/>
                <w:spacing w:val="5"/>
                <w:sz w:val="15"/>
                <w:szCs w:val="15"/>
              </w:rPr>
              <w:t>三、</w:t>
            </w:r>
            <w:r>
              <w:rPr>
                <w:rFonts w:ascii="宋体" w:hAnsi="宋体" w:eastAsia="宋体" w:cs="宋体"/>
                <w:color w:val="212529"/>
                <w:spacing w:val="-43"/>
                <w:sz w:val="15"/>
                <w:szCs w:val="15"/>
              </w:rPr>
              <w:t xml:space="preserve"> </w:t>
            </w:r>
            <w:r>
              <w:rPr>
                <w:rFonts w:ascii="宋体" w:hAnsi="宋体" w:eastAsia="宋体" w:cs="宋体"/>
                <w:color w:val="212529"/>
                <w:spacing w:val="5"/>
                <w:sz w:val="15"/>
                <w:szCs w:val="15"/>
              </w:rPr>
              <w:t>国防支出</w:t>
            </w:r>
          </w:p>
        </w:tc>
        <w:tc>
          <w:tcPr>
            <w:tcW w:w="1102" w:type="dxa"/>
            <w:vAlign w:val="top"/>
          </w:tcPr>
          <w:p w14:paraId="1715C265">
            <w:pPr>
              <w:pStyle w:val="6"/>
            </w:pPr>
          </w:p>
        </w:tc>
        <w:tc>
          <w:tcPr>
            <w:tcW w:w="1037" w:type="dxa"/>
            <w:vAlign w:val="top"/>
          </w:tcPr>
          <w:p w14:paraId="25529A61">
            <w:pPr>
              <w:pStyle w:val="6"/>
            </w:pPr>
          </w:p>
        </w:tc>
        <w:tc>
          <w:tcPr>
            <w:tcW w:w="1134" w:type="dxa"/>
            <w:vAlign w:val="top"/>
          </w:tcPr>
          <w:p w14:paraId="242FB66C">
            <w:pPr>
              <w:pStyle w:val="6"/>
            </w:pPr>
          </w:p>
        </w:tc>
        <w:tc>
          <w:tcPr>
            <w:tcW w:w="1021" w:type="dxa"/>
            <w:vAlign w:val="top"/>
          </w:tcPr>
          <w:p w14:paraId="483FE71B">
            <w:pPr>
              <w:pStyle w:val="6"/>
            </w:pPr>
          </w:p>
        </w:tc>
      </w:tr>
      <w:tr w14:paraId="71EEF4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52" w:type="dxa"/>
            <w:vAlign w:val="top"/>
          </w:tcPr>
          <w:p w14:paraId="29A6CAE7">
            <w:pPr>
              <w:pStyle w:val="6"/>
            </w:pPr>
          </w:p>
        </w:tc>
        <w:tc>
          <w:tcPr>
            <w:tcW w:w="1101" w:type="dxa"/>
            <w:vAlign w:val="top"/>
          </w:tcPr>
          <w:p w14:paraId="4B580E0C">
            <w:pPr>
              <w:pStyle w:val="6"/>
            </w:pPr>
          </w:p>
        </w:tc>
        <w:tc>
          <w:tcPr>
            <w:tcW w:w="1911" w:type="dxa"/>
            <w:vAlign w:val="top"/>
          </w:tcPr>
          <w:p w14:paraId="1497F8C1">
            <w:pPr>
              <w:spacing w:before="110" w:line="229" w:lineRule="auto"/>
              <w:ind w:left="15"/>
              <w:rPr>
                <w:rFonts w:ascii="宋体" w:hAnsi="宋体" w:eastAsia="宋体" w:cs="宋体"/>
                <w:sz w:val="15"/>
                <w:szCs w:val="15"/>
              </w:rPr>
            </w:pPr>
            <w:r>
              <w:rPr>
                <w:rFonts w:ascii="宋体" w:hAnsi="宋体" w:eastAsia="宋体" w:cs="宋体"/>
                <w:color w:val="212529"/>
                <w:spacing w:val="9"/>
                <w:sz w:val="15"/>
                <w:szCs w:val="15"/>
              </w:rPr>
              <w:t>四、公共安全支出</w:t>
            </w:r>
          </w:p>
        </w:tc>
        <w:tc>
          <w:tcPr>
            <w:tcW w:w="1102" w:type="dxa"/>
            <w:vAlign w:val="top"/>
          </w:tcPr>
          <w:p w14:paraId="7BF3AE0E">
            <w:pPr>
              <w:pStyle w:val="6"/>
            </w:pPr>
          </w:p>
        </w:tc>
        <w:tc>
          <w:tcPr>
            <w:tcW w:w="1037" w:type="dxa"/>
            <w:vAlign w:val="top"/>
          </w:tcPr>
          <w:p w14:paraId="3B314494">
            <w:pPr>
              <w:pStyle w:val="6"/>
            </w:pPr>
          </w:p>
        </w:tc>
        <w:tc>
          <w:tcPr>
            <w:tcW w:w="1134" w:type="dxa"/>
            <w:vAlign w:val="top"/>
          </w:tcPr>
          <w:p w14:paraId="6CB65FBC">
            <w:pPr>
              <w:pStyle w:val="6"/>
            </w:pPr>
          </w:p>
        </w:tc>
        <w:tc>
          <w:tcPr>
            <w:tcW w:w="1021" w:type="dxa"/>
            <w:vAlign w:val="top"/>
          </w:tcPr>
          <w:p w14:paraId="729FC549">
            <w:pPr>
              <w:pStyle w:val="6"/>
            </w:pPr>
          </w:p>
        </w:tc>
      </w:tr>
      <w:tr w14:paraId="5AC5BB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52" w:type="dxa"/>
            <w:vAlign w:val="top"/>
          </w:tcPr>
          <w:p w14:paraId="4BB9A89B">
            <w:pPr>
              <w:pStyle w:val="6"/>
            </w:pPr>
          </w:p>
        </w:tc>
        <w:tc>
          <w:tcPr>
            <w:tcW w:w="1101" w:type="dxa"/>
            <w:vAlign w:val="top"/>
          </w:tcPr>
          <w:p w14:paraId="4517D69F">
            <w:pPr>
              <w:pStyle w:val="6"/>
            </w:pPr>
          </w:p>
        </w:tc>
        <w:tc>
          <w:tcPr>
            <w:tcW w:w="1911" w:type="dxa"/>
            <w:vAlign w:val="top"/>
          </w:tcPr>
          <w:p w14:paraId="3A349D90">
            <w:pPr>
              <w:spacing w:before="111" w:line="229" w:lineRule="auto"/>
              <w:ind w:left="3"/>
              <w:rPr>
                <w:rFonts w:ascii="宋体" w:hAnsi="宋体" w:eastAsia="宋体" w:cs="宋体"/>
                <w:sz w:val="15"/>
                <w:szCs w:val="15"/>
              </w:rPr>
            </w:pPr>
            <w:r>
              <w:rPr>
                <w:rFonts w:ascii="宋体" w:hAnsi="宋体" w:eastAsia="宋体" w:cs="宋体"/>
                <w:color w:val="212529"/>
                <w:spacing w:val="10"/>
                <w:sz w:val="15"/>
                <w:szCs w:val="15"/>
              </w:rPr>
              <w:t>五、教育支出</w:t>
            </w:r>
          </w:p>
        </w:tc>
        <w:tc>
          <w:tcPr>
            <w:tcW w:w="1102" w:type="dxa"/>
            <w:vAlign w:val="top"/>
          </w:tcPr>
          <w:p w14:paraId="626CFE5D">
            <w:pPr>
              <w:pStyle w:val="6"/>
            </w:pPr>
          </w:p>
        </w:tc>
        <w:tc>
          <w:tcPr>
            <w:tcW w:w="1037" w:type="dxa"/>
            <w:vAlign w:val="top"/>
          </w:tcPr>
          <w:p w14:paraId="431DCDA5">
            <w:pPr>
              <w:pStyle w:val="6"/>
            </w:pPr>
          </w:p>
        </w:tc>
        <w:tc>
          <w:tcPr>
            <w:tcW w:w="1134" w:type="dxa"/>
            <w:vAlign w:val="top"/>
          </w:tcPr>
          <w:p w14:paraId="10FDB461">
            <w:pPr>
              <w:pStyle w:val="6"/>
            </w:pPr>
          </w:p>
        </w:tc>
        <w:tc>
          <w:tcPr>
            <w:tcW w:w="1021" w:type="dxa"/>
            <w:vAlign w:val="top"/>
          </w:tcPr>
          <w:p w14:paraId="0962DDC5">
            <w:pPr>
              <w:pStyle w:val="6"/>
            </w:pPr>
          </w:p>
        </w:tc>
      </w:tr>
      <w:tr w14:paraId="251D98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52" w:type="dxa"/>
            <w:vAlign w:val="top"/>
          </w:tcPr>
          <w:p w14:paraId="31EA5CF8">
            <w:pPr>
              <w:pStyle w:val="6"/>
            </w:pPr>
          </w:p>
        </w:tc>
        <w:tc>
          <w:tcPr>
            <w:tcW w:w="1101" w:type="dxa"/>
            <w:vAlign w:val="top"/>
          </w:tcPr>
          <w:p w14:paraId="32618A43">
            <w:pPr>
              <w:pStyle w:val="6"/>
            </w:pPr>
          </w:p>
        </w:tc>
        <w:tc>
          <w:tcPr>
            <w:tcW w:w="1911" w:type="dxa"/>
            <w:vAlign w:val="top"/>
          </w:tcPr>
          <w:p w14:paraId="67C10F6A">
            <w:pPr>
              <w:spacing w:before="111" w:line="228" w:lineRule="auto"/>
              <w:rPr>
                <w:rFonts w:ascii="宋体" w:hAnsi="宋体" w:eastAsia="宋体" w:cs="宋体"/>
                <w:sz w:val="15"/>
                <w:szCs w:val="15"/>
              </w:rPr>
            </w:pPr>
            <w:r>
              <w:rPr>
                <w:rFonts w:ascii="宋体" w:hAnsi="宋体" w:eastAsia="宋体" w:cs="宋体"/>
                <w:color w:val="212529"/>
                <w:spacing w:val="10"/>
                <w:sz w:val="15"/>
                <w:szCs w:val="15"/>
              </w:rPr>
              <w:t>六、科学技术支出</w:t>
            </w:r>
          </w:p>
        </w:tc>
        <w:tc>
          <w:tcPr>
            <w:tcW w:w="1102" w:type="dxa"/>
            <w:vAlign w:val="top"/>
          </w:tcPr>
          <w:p w14:paraId="2D7352C0">
            <w:pPr>
              <w:pStyle w:val="6"/>
            </w:pPr>
          </w:p>
        </w:tc>
        <w:tc>
          <w:tcPr>
            <w:tcW w:w="1037" w:type="dxa"/>
            <w:vAlign w:val="top"/>
          </w:tcPr>
          <w:p w14:paraId="668497C2">
            <w:pPr>
              <w:pStyle w:val="6"/>
            </w:pPr>
          </w:p>
        </w:tc>
        <w:tc>
          <w:tcPr>
            <w:tcW w:w="1134" w:type="dxa"/>
            <w:vAlign w:val="top"/>
          </w:tcPr>
          <w:p w14:paraId="001FAE92">
            <w:pPr>
              <w:pStyle w:val="6"/>
            </w:pPr>
          </w:p>
        </w:tc>
        <w:tc>
          <w:tcPr>
            <w:tcW w:w="1021" w:type="dxa"/>
            <w:vAlign w:val="top"/>
          </w:tcPr>
          <w:p w14:paraId="7163B4C5">
            <w:pPr>
              <w:pStyle w:val="6"/>
            </w:pPr>
          </w:p>
        </w:tc>
      </w:tr>
      <w:tr w14:paraId="34EDF5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852" w:type="dxa"/>
            <w:vAlign w:val="top"/>
          </w:tcPr>
          <w:p w14:paraId="06F495FC">
            <w:pPr>
              <w:pStyle w:val="6"/>
            </w:pPr>
          </w:p>
        </w:tc>
        <w:tc>
          <w:tcPr>
            <w:tcW w:w="1101" w:type="dxa"/>
            <w:vAlign w:val="top"/>
          </w:tcPr>
          <w:p w14:paraId="52B93FBE">
            <w:pPr>
              <w:pStyle w:val="6"/>
            </w:pPr>
          </w:p>
        </w:tc>
        <w:tc>
          <w:tcPr>
            <w:tcW w:w="1911" w:type="dxa"/>
            <w:vAlign w:val="top"/>
          </w:tcPr>
          <w:p w14:paraId="21596ECD">
            <w:pPr>
              <w:spacing w:before="25" w:line="211" w:lineRule="auto"/>
              <w:ind w:right="126"/>
              <w:rPr>
                <w:rFonts w:ascii="宋体" w:hAnsi="宋体" w:eastAsia="宋体" w:cs="宋体"/>
                <w:sz w:val="15"/>
                <w:szCs w:val="15"/>
              </w:rPr>
            </w:pPr>
            <w:r>
              <w:rPr>
                <w:rFonts w:ascii="宋体" w:hAnsi="宋体" w:eastAsia="宋体" w:cs="宋体"/>
                <w:color w:val="212529"/>
                <w:spacing w:val="11"/>
                <w:sz w:val="15"/>
                <w:szCs w:val="15"/>
              </w:rPr>
              <w:t>七、文化旅游体育与传媒</w:t>
            </w:r>
            <w:r>
              <w:rPr>
                <w:rFonts w:ascii="宋体" w:hAnsi="宋体" w:eastAsia="宋体" w:cs="宋体"/>
                <w:color w:val="212529"/>
                <w:spacing w:val="2"/>
                <w:sz w:val="15"/>
                <w:szCs w:val="15"/>
              </w:rPr>
              <w:t xml:space="preserve"> </w:t>
            </w:r>
            <w:r>
              <w:rPr>
                <w:rFonts w:ascii="宋体" w:hAnsi="宋体" w:eastAsia="宋体" w:cs="宋体"/>
                <w:color w:val="212529"/>
                <w:spacing w:val="6"/>
                <w:sz w:val="15"/>
                <w:szCs w:val="15"/>
              </w:rPr>
              <w:t>支出</w:t>
            </w:r>
          </w:p>
        </w:tc>
        <w:tc>
          <w:tcPr>
            <w:tcW w:w="1102" w:type="dxa"/>
            <w:vAlign w:val="top"/>
          </w:tcPr>
          <w:p w14:paraId="2094D095">
            <w:pPr>
              <w:pStyle w:val="6"/>
            </w:pPr>
          </w:p>
        </w:tc>
        <w:tc>
          <w:tcPr>
            <w:tcW w:w="1037" w:type="dxa"/>
            <w:vAlign w:val="top"/>
          </w:tcPr>
          <w:p w14:paraId="2C90C384">
            <w:pPr>
              <w:pStyle w:val="6"/>
            </w:pPr>
          </w:p>
        </w:tc>
        <w:tc>
          <w:tcPr>
            <w:tcW w:w="1134" w:type="dxa"/>
            <w:vAlign w:val="top"/>
          </w:tcPr>
          <w:p w14:paraId="652D3202">
            <w:pPr>
              <w:pStyle w:val="6"/>
            </w:pPr>
          </w:p>
        </w:tc>
        <w:tc>
          <w:tcPr>
            <w:tcW w:w="1021" w:type="dxa"/>
            <w:vAlign w:val="top"/>
          </w:tcPr>
          <w:p w14:paraId="65FB6771">
            <w:pPr>
              <w:pStyle w:val="6"/>
            </w:pPr>
          </w:p>
        </w:tc>
      </w:tr>
      <w:tr w14:paraId="705FF2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52" w:type="dxa"/>
            <w:vAlign w:val="top"/>
          </w:tcPr>
          <w:p w14:paraId="2681CE8A">
            <w:pPr>
              <w:pStyle w:val="6"/>
            </w:pPr>
          </w:p>
        </w:tc>
        <w:tc>
          <w:tcPr>
            <w:tcW w:w="1101" w:type="dxa"/>
            <w:vAlign w:val="top"/>
          </w:tcPr>
          <w:p w14:paraId="39A910BB">
            <w:pPr>
              <w:pStyle w:val="6"/>
            </w:pPr>
          </w:p>
        </w:tc>
        <w:tc>
          <w:tcPr>
            <w:tcW w:w="1911" w:type="dxa"/>
            <w:vAlign w:val="top"/>
          </w:tcPr>
          <w:p w14:paraId="0E874A7D">
            <w:pPr>
              <w:spacing w:before="112" w:line="228" w:lineRule="auto"/>
              <w:ind w:left="3"/>
              <w:rPr>
                <w:rFonts w:ascii="宋体" w:hAnsi="宋体" w:eastAsia="宋体" w:cs="宋体"/>
                <w:sz w:val="15"/>
                <w:szCs w:val="15"/>
              </w:rPr>
            </w:pPr>
            <w:r>
              <w:rPr>
                <w:rFonts w:ascii="宋体" w:hAnsi="宋体" w:eastAsia="宋体" w:cs="宋体"/>
                <w:color w:val="212529"/>
                <w:spacing w:val="11"/>
                <w:sz w:val="15"/>
                <w:szCs w:val="15"/>
              </w:rPr>
              <w:t>八、社会保障和就业支出</w:t>
            </w:r>
          </w:p>
        </w:tc>
        <w:tc>
          <w:tcPr>
            <w:tcW w:w="1102" w:type="dxa"/>
            <w:vAlign w:val="top"/>
          </w:tcPr>
          <w:p w14:paraId="539DA095">
            <w:pPr>
              <w:pStyle w:val="6"/>
            </w:pPr>
          </w:p>
        </w:tc>
        <w:tc>
          <w:tcPr>
            <w:tcW w:w="1037" w:type="dxa"/>
            <w:vAlign w:val="top"/>
          </w:tcPr>
          <w:p w14:paraId="0549724E">
            <w:pPr>
              <w:pStyle w:val="6"/>
            </w:pPr>
          </w:p>
        </w:tc>
        <w:tc>
          <w:tcPr>
            <w:tcW w:w="1134" w:type="dxa"/>
            <w:vAlign w:val="top"/>
          </w:tcPr>
          <w:p w14:paraId="4B3A8BFC">
            <w:pPr>
              <w:pStyle w:val="6"/>
            </w:pPr>
          </w:p>
        </w:tc>
        <w:tc>
          <w:tcPr>
            <w:tcW w:w="1021" w:type="dxa"/>
            <w:vAlign w:val="top"/>
          </w:tcPr>
          <w:p w14:paraId="1C591243">
            <w:pPr>
              <w:pStyle w:val="6"/>
            </w:pPr>
          </w:p>
        </w:tc>
      </w:tr>
      <w:tr w14:paraId="456CC7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52" w:type="dxa"/>
            <w:vAlign w:val="top"/>
          </w:tcPr>
          <w:p w14:paraId="6BAD7A62">
            <w:pPr>
              <w:pStyle w:val="6"/>
            </w:pPr>
          </w:p>
        </w:tc>
        <w:tc>
          <w:tcPr>
            <w:tcW w:w="1101" w:type="dxa"/>
            <w:vAlign w:val="top"/>
          </w:tcPr>
          <w:p w14:paraId="4514B69C">
            <w:pPr>
              <w:pStyle w:val="6"/>
            </w:pPr>
          </w:p>
        </w:tc>
        <w:tc>
          <w:tcPr>
            <w:tcW w:w="1911" w:type="dxa"/>
            <w:vAlign w:val="top"/>
          </w:tcPr>
          <w:p w14:paraId="491B8740">
            <w:pPr>
              <w:spacing w:before="113" w:line="228" w:lineRule="auto"/>
              <w:ind w:left="3"/>
              <w:rPr>
                <w:rFonts w:ascii="宋体" w:hAnsi="宋体" w:eastAsia="宋体" w:cs="宋体"/>
                <w:sz w:val="15"/>
                <w:szCs w:val="15"/>
              </w:rPr>
            </w:pPr>
            <w:r>
              <w:rPr>
                <w:rFonts w:ascii="宋体" w:hAnsi="宋体" w:eastAsia="宋体" w:cs="宋体"/>
                <w:color w:val="212529"/>
                <w:spacing w:val="10"/>
                <w:sz w:val="15"/>
                <w:szCs w:val="15"/>
              </w:rPr>
              <w:t>九、社会保险基金支出</w:t>
            </w:r>
          </w:p>
        </w:tc>
        <w:tc>
          <w:tcPr>
            <w:tcW w:w="1102" w:type="dxa"/>
            <w:vAlign w:val="top"/>
          </w:tcPr>
          <w:p w14:paraId="45403F33">
            <w:pPr>
              <w:pStyle w:val="6"/>
            </w:pPr>
          </w:p>
        </w:tc>
        <w:tc>
          <w:tcPr>
            <w:tcW w:w="1037" w:type="dxa"/>
            <w:vAlign w:val="top"/>
          </w:tcPr>
          <w:p w14:paraId="134C391A">
            <w:pPr>
              <w:pStyle w:val="6"/>
            </w:pPr>
          </w:p>
        </w:tc>
        <w:tc>
          <w:tcPr>
            <w:tcW w:w="1134" w:type="dxa"/>
            <w:vAlign w:val="top"/>
          </w:tcPr>
          <w:p w14:paraId="424F035D">
            <w:pPr>
              <w:pStyle w:val="6"/>
            </w:pPr>
          </w:p>
        </w:tc>
        <w:tc>
          <w:tcPr>
            <w:tcW w:w="1021" w:type="dxa"/>
            <w:vAlign w:val="top"/>
          </w:tcPr>
          <w:p w14:paraId="52C22F99">
            <w:pPr>
              <w:pStyle w:val="6"/>
            </w:pPr>
          </w:p>
        </w:tc>
      </w:tr>
      <w:tr w14:paraId="6D6EB0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52" w:type="dxa"/>
            <w:vAlign w:val="top"/>
          </w:tcPr>
          <w:p w14:paraId="66061E9F">
            <w:pPr>
              <w:pStyle w:val="6"/>
            </w:pPr>
          </w:p>
        </w:tc>
        <w:tc>
          <w:tcPr>
            <w:tcW w:w="1101" w:type="dxa"/>
            <w:vAlign w:val="top"/>
          </w:tcPr>
          <w:p w14:paraId="7D3B853F">
            <w:pPr>
              <w:pStyle w:val="6"/>
            </w:pPr>
          </w:p>
        </w:tc>
        <w:tc>
          <w:tcPr>
            <w:tcW w:w="1911" w:type="dxa"/>
            <w:vAlign w:val="top"/>
          </w:tcPr>
          <w:p w14:paraId="6B0AC7E1">
            <w:pPr>
              <w:spacing w:before="113" w:line="229" w:lineRule="auto"/>
              <w:ind w:left="1"/>
              <w:rPr>
                <w:rFonts w:ascii="宋体" w:hAnsi="宋体" w:eastAsia="宋体" w:cs="宋体"/>
                <w:sz w:val="15"/>
                <w:szCs w:val="15"/>
              </w:rPr>
            </w:pPr>
            <w:r>
              <w:rPr>
                <w:rFonts w:ascii="宋体" w:hAnsi="宋体" w:eastAsia="宋体" w:cs="宋体"/>
                <w:color w:val="212529"/>
                <w:spacing w:val="10"/>
                <w:sz w:val="15"/>
                <w:szCs w:val="15"/>
              </w:rPr>
              <w:t>十、卫生健康支出</w:t>
            </w:r>
          </w:p>
        </w:tc>
        <w:tc>
          <w:tcPr>
            <w:tcW w:w="1102" w:type="dxa"/>
            <w:vAlign w:val="top"/>
          </w:tcPr>
          <w:p w14:paraId="02E7EC68">
            <w:pPr>
              <w:pStyle w:val="6"/>
            </w:pPr>
          </w:p>
        </w:tc>
        <w:tc>
          <w:tcPr>
            <w:tcW w:w="1037" w:type="dxa"/>
            <w:vAlign w:val="top"/>
          </w:tcPr>
          <w:p w14:paraId="5C60D647">
            <w:pPr>
              <w:pStyle w:val="6"/>
            </w:pPr>
          </w:p>
        </w:tc>
        <w:tc>
          <w:tcPr>
            <w:tcW w:w="1134" w:type="dxa"/>
            <w:vAlign w:val="top"/>
          </w:tcPr>
          <w:p w14:paraId="55C8CA02">
            <w:pPr>
              <w:pStyle w:val="6"/>
            </w:pPr>
          </w:p>
        </w:tc>
        <w:tc>
          <w:tcPr>
            <w:tcW w:w="1021" w:type="dxa"/>
            <w:vAlign w:val="top"/>
          </w:tcPr>
          <w:p w14:paraId="14159BDE">
            <w:pPr>
              <w:pStyle w:val="6"/>
            </w:pPr>
          </w:p>
        </w:tc>
      </w:tr>
      <w:tr w14:paraId="442025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852" w:type="dxa"/>
            <w:vAlign w:val="top"/>
          </w:tcPr>
          <w:p w14:paraId="7BBD358A">
            <w:pPr>
              <w:pStyle w:val="6"/>
            </w:pPr>
          </w:p>
        </w:tc>
        <w:tc>
          <w:tcPr>
            <w:tcW w:w="1101" w:type="dxa"/>
            <w:vAlign w:val="top"/>
          </w:tcPr>
          <w:p w14:paraId="0AD585F0">
            <w:pPr>
              <w:pStyle w:val="6"/>
            </w:pPr>
          </w:p>
        </w:tc>
        <w:tc>
          <w:tcPr>
            <w:tcW w:w="1911" w:type="dxa"/>
            <w:vAlign w:val="top"/>
          </w:tcPr>
          <w:p w14:paraId="3B0A43C7">
            <w:pPr>
              <w:spacing w:before="113" w:line="230" w:lineRule="auto"/>
              <w:ind w:left="1"/>
              <w:rPr>
                <w:rFonts w:ascii="宋体" w:hAnsi="宋体" w:eastAsia="宋体" w:cs="宋体"/>
                <w:sz w:val="15"/>
                <w:szCs w:val="15"/>
              </w:rPr>
            </w:pPr>
            <w:r>
              <w:rPr>
                <w:rFonts w:ascii="宋体" w:hAnsi="宋体" w:eastAsia="宋体" w:cs="宋体"/>
                <w:color w:val="212529"/>
                <w:spacing w:val="11"/>
                <w:sz w:val="15"/>
                <w:szCs w:val="15"/>
              </w:rPr>
              <w:t>十一、节能环保支出</w:t>
            </w:r>
          </w:p>
        </w:tc>
        <w:tc>
          <w:tcPr>
            <w:tcW w:w="1102" w:type="dxa"/>
            <w:vAlign w:val="top"/>
          </w:tcPr>
          <w:p w14:paraId="41958DB7">
            <w:pPr>
              <w:pStyle w:val="6"/>
            </w:pPr>
          </w:p>
        </w:tc>
        <w:tc>
          <w:tcPr>
            <w:tcW w:w="1037" w:type="dxa"/>
            <w:vAlign w:val="top"/>
          </w:tcPr>
          <w:p w14:paraId="2A5FA693">
            <w:pPr>
              <w:pStyle w:val="6"/>
            </w:pPr>
          </w:p>
        </w:tc>
        <w:tc>
          <w:tcPr>
            <w:tcW w:w="1134" w:type="dxa"/>
            <w:vAlign w:val="top"/>
          </w:tcPr>
          <w:p w14:paraId="5685E4C6">
            <w:pPr>
              <w:pStyle w:val="6"/>
            </w:pPr>
          </w:p>
        </w:tc>
        <w:tc>
          <w:tcPr>
            <w:tcW w:w="1021" w:type="dxa"/>
            <w:vAlign w:val="top"/>
          </w:tcPr>
          <w:p w14:paraId="35FC133D">
            <w:pPr>
              <w:pStyle w:val="6"/>
            </w:pPr>
          </w:p>
        </w:tc>
      </w:tr>
      <w:tr w14:paraId="39AD79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52" w:type="dxa"/>
            <w:vAlign w:val="top"/>
          </w:tcPr>
          <w:p w14:paraId="505427F8">
            <w:pPr>
              <w:pStyle w:val="6"/>
            </w:pPr>
          </w:p>
        </w:tc>
        <w:tc>
          <w:tcPr>
            <w:tcW w:w="1101" w:type="dxa"/>
            <w:vAlign w:val="top"/>
          </w:tcPr>
          <w:p w14:paraId="664A258D">
            <w:pPr>
              <w:pStyle w:val="6"/>
            </w:pPr>
          </w:p>
        </w:tc>
        <w:tc>
          <w:tcPr>
            <w:tcW w:w="1911" w:type="dxa"/>
            <w:vAlign w:val="top"/>
          </w:tcPr>
          <w:p w14:paraId="1303A3D7">
            <w:pPr>
              <w:spacing w:before="114" w:line="229" w:lineRule="auto"/>
              <w:ind w:left="1"/>
              <w:rPr>
                <w:rFonts w:ascii="宋体" w:hAnsi="宋体" w:eastAsia="宋体" w:cs="宋体"/>
                <w:sz w:val="15"/>
                <w:szCs w:val="15"/>
              </w:rPr>
            </w:pPr>
            <w:r>
              <w:rPr>
                <w:rFonts w:ascii="宋体" w:hAnsi="宋体" w:eastAsia="宋体" w:cs="宋体"/>
                <w:color w:val="212529"/>
                <w:spacing w:val="11"/>
                <w:sz w:val="15"/>
                <w:szCs w:val="15"/>
              </w:rPr>
              <w:t>十二、城乡社区支出</w:t>
            </w:r>
          </w:p>
        </w:tc>
        <w:tc>
          <w:tcPr>
            <w:tcW w:w="1102" w:type="dxa"/>
            <w:vAlign w:val="top"/>
          </w:tcPr>
          <w:p w14:paraId="119ABDFE">
            <w:pPr>
              <w:spacing w:before="138" w:line="191" w:lineRule="auto"/>
              <w:ind w:left="591"/>
              <w:rPr>
                <w:rFonts w:ascii="宋体" w:hAnsi="宋体" w:eastAsia="宋体" w:cs="宋体"/>
                <w:sz w:val="15"/>
                <w:szCs w:val="15"/>
              </w:rPr>
            </w:pPr>
            <w:r>
              <w:rPr>
                <w:rFonts w:ascii="宋体" w:hAnsi="宋体" w:eastAsia="宋体" w:cs="宋体"/>
                <w:color w:val="212529"/>
                <w:spacing w:val="4"/>
                <w:sz w:val="15"/>
                <w:szCs w:val="15"/>
              </w:rPr>
              <w:t>277.14</w:t>
            </w:r>
          </w:p>
        </w:tc>
        <w:tc>
          <w:tcPr>
            <w:tcW w:w="1037" w:type="dxa"/>
            <w:vAlign w:val="top"/>
          </w:tcPr>
          <w:p w14:paraId="2804D427">
            <w:pPr>
              <w:pStyle w:val="6"/>
            </w:pPr>
          </w:p>
        </w:tc>
        <w:tc>
          <w:tcPr>
            <w:tcW w:w="1134" w:type="dxa"/>
            <w:vAlign w:val="top"/>
          </w:tcPr>
          <w:p w14:paraId="2444E851">
            <w:pPr>
              <w:spacing w:before="138" w:line="191" w:lineRule="auto"/>
              <w:ind w:left="623"/>
              <w:rPr>
                <w:rFonts w:ascii="宋体" w:hAnsi="宋体" w:eastAsia="宋体" w:cs="宋体"/>
                <w:sz w:val="15"/>
                <w:szCs w:val="15"/>
              </w:rPr>
            </w:pPr>
            <w:r>
              <w:rPr>
                <w:rFonts w:ascii="宋体" w:hAnsi="宋体" w:eastAsia="宋体" w:cs="宋体"/>
                <w:color w:val="212529"/>
                <w:spacing w:val="4"/>
                <w:sz w:val="15"/>
                <w:szCs w:val="15"/>
              </w:rPr>
              <w:t>277.14</w:t>
            </w:r>
          </w:p>
        </w:tc>
        <w:tc>
          <w:tcPr>
            <w:tcW w:w="1021" w:type="dxa"/>
            <w:vAlign w:val="top"/>
          </w:tcPr>
          <w:p w14:paraId="72156CE9">
            <w:pPr>
              <w:pStyle w:val="6"/>
            </w:pPr>
          </w:p>
        </w:tc>
      </w:tr>
      <w:tr w14:paraId="7D1554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52" w:type="dxa"/>
            <w:vAlign w:val="top"/>
          </w:tcPr>
          <w:p w14:paraId="63E34360">
            <w:pPr>
              <w:pStyle w:val="6"/>
            </w:pPr>
          </w:p>
        </w:tc>
        <w:tc>
          <w:tcPr>
            <w:tcW w:w="1101" w:type="dxa"/>
            <w:vAlign w:val="top"/>
          </w:tcPr>
          <w:p w14:paraId="2209C9C4">
            <w:pPr>
              <w:pStyle w:val="6"/>
            </w:pPr>
          </w:p>
        </w:tc>
        <w:tc>
          <w:tcPr>
            <w:tcW w:w="1911" w:type="dxa"/>
            <w:vAlign w:val="top"/>
          </w:tcPr>
          <w:p w14:paraId="16AD1DF3">
            <w:pPr>
              <w:spacing w:before="114" w:line="229" w:lineRule="auto"/>
              <w:ind w:left="1"/>
              <w:rPr>
                <w:rFonts w:ascii="宋体" w:hAnsi="宋体" w:eastAsia="宋体" w:cs="宋体"/>
                <w:sz w:val="15"/>
                <w:szCs w:val="15"/>
              </w:rPr>
            </w:pPr>
            <w:r>
              <w:rPr>
                <w:rFonts w:ascii="宋体" w:hAnsi="宋体" w:eastAsia="宋体" w:cs="宋体"/>
                <w:color w:val="212529"/>
                <w:spacing w:val="10"/>
                <w:sz w:val="15"/>
                <w:szCs w:val="15"/>
              </w:rPr>
              <w:t>十三、农林水支出</w:t>
            </w:r>
          </w:p>
        </w:tc>
        <w:tc>
          <w:tcPr>
            <w:tcW w:w="1102" w:type="dxa"/>
            <w:vAlign w:val="top"/>
          </w:tcPr>
          <w:p w14:paraId="33F5A6CD">
            <w:pPr>
              <w:pStyle w:val="6"/>
            </w:pPr>
          </w:p>
        </w:tc>
        <w:tc>
          <w:tcPr>
            <w:tcW w:w="1037" w:type="dxa"/>
            <w:vAlign w:val="top"/>
          </w:tcPr>
          <w:p w14:paraId="42725883">
            <w:pPr>
              <w:pStyle w:val="6"/>
            </w:pPr>
          </w:p>
        </w:tc>
        <w:tc>
          <w:tcPr>
            <w:tcW w:w="1134" w:type="dxa"/>
            <w:vAlign w:val="top"/>
          </w:tcPr>
          <w:p w14:paraId="243FE696">
            <w:pPr>
              <w:pStyle w:val="6"/>
            </w:pPr>
          </w:p>
        </w:tc>
        <w:tc>
          <w:tcPr>
            <w:tcW w:w="1021" w:type="dxa"/>
            <w:vAlign w:val="top"/>
          </w:tcPr>
          <w:p w14:paraId="781ACC2C">
            <w:pPr>
              <w:pStyle w:val="6"/>
            </w:pPr>
          </w:p>
        </w:tc>
      </w:tr>
      <w:tr w14:paraId="25564F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52" w:type="dxa"/>
            <w:vAlign w:val="top"/>
          </w:tcPr>
          <w:p w14:paraId="63F61405">
            <w:pPr>
              <w:pStyle w:val="6"/>
            </w:pPr>
          </w:p>
        </w:tc>
        <w:tc>
          <w:tcPr>
            <w:tcW w:w="1101" w:type="dxa"/>
            <w:vAlign w:val="top"/>
          </w:tcPr>
          <w:p w14:paraId="2EC66B6E">
            <w:pPr>
              <w:pStyle w:val="6"/>
            </w:pPr>
          </w:p>
        </w:tc>
        <w:tc>
          <w:tcPr>
            <w:tcW w:w="1911" w:type="dxa"/>
            <w:vAlign w:val="top"/>
          </w:tcPr>
          <w:p w14:paraId="1E49F33E">
            <w:pPr>
              <w:spacing w:before="115" w:line="229" w:lineRule="auto"/>
              <w:ind w:left="1"/>
              <w:rPr>
                <w:rFonts w:ascii="宋体" w:hAnsi="宋体" w:eastAsia="宋体" w:cs="宋体"/>
                <w:sz w:val="15"/>
                <w:szCs w:val="15"/>
              </w:rPr>
            </w:pPr>
            <w:r>
              <w:rPr>
                <w:rFonts w:ascii="宋体" w:hAnsi="宋体" w:eastAsia="宋体" w:cs="宋体"/>
                <w:color w:val="212529"/>
                <w:spacing w:val="11"/>
                <w:sz w:val="15"/>
                <w:szCs w:val="15"/>
              </w:rPr>
              <w:t>十四、交通运输支出</w:t>
            </w:r>
          </w:p>
        </w:tc>
        <w:tc>
          <w:tcPr>
            <w:tcW w:w="1102" w:type="dxa"/>
            <w:vAlign w:val="top"/>
          </w:tcPr>
          <w:p w14:paraId="306ED7CE">
            <w:pPr>
              <w:pStyle w:val="6"/>
            </w:pPr>
          </w:p>
        </w:tc>
        <w:tc>
          <w:tcPr>
            <w:tcW w:w="1037" w:type="dxa"/>
            <w:vAlign w:val="top"/>
          </w:tcPr>
          <w:p w14:paraId="451B0EE7">
            <w:pPr>
              <w:pStyle w:val="6"/>
            </w:pPr>
          </w:p>
        </w:tc>
        <w:tc>
          <w:tcPr>
            <w:tcW w:w="1134" w:type="dxa"/>
            <w:vAlign w:val="top"/>
          </w:tcPr>
          <w:p w14:paraId="46697660">
            <w:pPr>
              <w:pStyle w:val="6"/>
            </w:pPr>
          </w:p>
        </w:tc>
        <w:tc>
          <w:tcPr>
            <w:tcW w:w="1021" w:type="dxa"/>
            <w:vAlign w:val="top"/>
          </w:tcPr>
          <w:p w14:paraId="7E0A4D47">
            <w:pPr>
              <w:pStyle w:val="6"/>
            </w:pPr>
          </w:p>
        </w:tc>
      </w:tr>
      <w:tr w14:paraId="28DF21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52" w:type="dxa"/>
            <w:vAlign w:val="top"/>
          </w:tcPr>
          <w:p w14:paraId="51B78C3D">
            <w:pPr>
              <w:pStyle w:val="6"/>
            </w:pPr>
          </w:p>
        </w:tc>
        <w:tc>
          <w:tcPr>
            <w:tcW w:w="1101" w:type="dxa"/>
            <w:vAlign w:val="top"/>
          </w:tcPr>
          <w:p w14:paraId="45769E1E">
            <w:pPr>
              <w:pStyle w:val="6"/>
            </w:pPr>
          </w:p>
        </w:tc>
        <w:tc>
          <w:tcPr>
            <w:tcW w:w="1911" w:type="dxa"/>
            <w:vAlign w:val="top"/>
          </w:tcPr>
          <w:p w14:paraId="693F5622">
            <w:pPr>
              <w:spacing w:before="29" w:line="209" w:lineRule="auto"/>
              <w:ind w:left="1" w:right="126"/>
              <w:rPr>
                <w:rFonts w:ascii="宋体" w:hAnsi="宋体" w:eastAsia="宋体" w:cs="宋体"/>
                <w:sz w:val="15"/>
                <w:szCs w:val="15"/>
              </w:rPr>
            </w:pPr>
            <w:r>
              <w:rPr>
                <w:rFonts w:ascii="宋体" w:hAnsi="宋体" w:eastAsia="宋体" w:cs="宋体"/>
                <w:color w:val="212529"/>
                <w:spacing w:val="11"/>
                <w:sz w:val="15"/>
                <w:szCs w:val="15"/>
              </w:rPr>
              <w:t>十五、资源勘探工业信息</w:t>
            </w:r>
            <w:r>
              <w:rPr>
                <w:rFonts w:ascii="宋体" w:hAnsi="宋体" w:eastAsia="宋体" w:cs="宋体"/>
                <w:color w:val="212529"/>
                <w:spacing w:val="1"/>
                <w:sz w:val="15"/>
                <w:szCs w:val="15"/>
              </w:rPr>
              <w:t xml:space="preserve"> </w:t>
            </w:r>
            <w:r>
              <w:rPr>
                <w:rFonts w:ascii="宋体" w:hAnsi="宋体" w:eastAsia="宋体" w:cs="宋体"/>
                <w:color w:val="212529"/>
                <w:spacing w:val="8"/>
                <w:sz w:val="15"/>
                <w:szCs w:val="15"/>
              </w:rPr>
              <w:t>等支出</w:t>
            </w:r>
          </w:p>
        </w:tc>
        <w:tc>
          <w:tcPr>
            <w:tcW w:w="1102" w:type="dxa"/>
            <w:vAlign w:val="top"/>
          </w:tcPr>
          <w:p w14:paraId="054B63E4">
            <w:pPr>
              <w:pStyle w:val="6"/>
            </w:pPr>
          </w:p>
        </w:tc>
        <w:tc>
          <w:tcPr>
            <w:tcW w:w="1037" w:type="dxa"/>
            <w:vAlign w:val="top"/>
          </w:tcPr>
          <w:p w14:paraId="46300DD4">
            <w:pPr>
              <w:pStyle w:val="6"/>
            </w:pPr>
          </w:p>
        </w:tc>
        <w:tc>
          <w:tcPr>
            <w:tcW w:w="1134" w:type="dxa"/>
            <w:vAlign w:val="top"/>
          </w:tcPr>
          <w:p w14:paraId="255DB6ED">
            <w:pPr>
              <w:pStyle w:val="6"/>
            </w:pPr>
          </w:p>
        </w:tc>
        <w:tc>
          <w:tcPr>
            <w:tcW w:w="1021" w:type="dxa"/>
            <w:vAlign w:val="top"/>
          </w:tcPr>
          <w:p w14:paraId="7D8A3410">
            <w:pPr>
              <w:pStyle w:val="6"/>
            </w:pPr>
          </w:p>
        </w:tc>
      </w:tr>
      <w:tr w14:paraId="625496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52" w:type="dxa"/>
            <w:vAlign w:val="top"/>
          </w:tcPr>
          <w:p w14:paraId="3070AF27">
            <w:pPr>
              <w:pStyle w:val="6"/>
            </w:pPr>
          </w:p>
        </w:tc>
        <w:tc>
          <w:tcPr>
            <w:tcW w:w="1101" w:type="dxa"/>
            <w:vAlign w:val="top"/>
          </w:tcPr>
          <w:p w14:paraId="2B96FA16">
            <w:pPr>
              <w:pStyle w:val="6"/>
            </w:pPr>
          </w:p>
        </w:tc>
        <w:tc>
          <w:tcPr>
            <w:tcW w:w="1911" w:type="dxa"/>
            <w:vAlign w:val="top"/>
          </w:tcPr>
          <w:p w14:paraId="3C8D856A">
            <w:pPr>
              <w:spacing w:before="115" w:line="229" w:lineRule="auto"/>
              <w:ind w:left="1"/>
              <w:rPr>
                <w:rFonts w:ascii="宋体" w:hAnsi="宋体" w:eastAsia="宋体" w:cs="宋体"/>
                <w:sz w:val="15"/>
                <w:szCs w:val="15"/>
              </w:rPr>
            </w:pPr>
            <w:r>
              <w:rPr>
                <w:rFonts w:ascii="宋体" w:hAnsi="宋体" w:eastAsia="宋体" w:cs="宋体"/>
                <w:color w:val="212529"/>
                <w:spacing w:val="11"/>
                <w:sz w:val="15"/>
                <w:szCs w:val="15"/>
              </w:rPr>
              <w:t>十六、商业服务业等支出</w:t>
            </w:r>
          </w:p>
        </w:tc>
        <w:tc>
          <w:tcPr>
            <w:tcW w:w="1102" w:type="dxa"/>
            <w:vAlign w:val="top"/>
          </w:tcPr>
          <w:p w14:paraId="5D5C21CA">
            <w:pPr>
              <w:pStyle w:val="6"/>
            </w:pPr>
          </w:p>
        </w:tc>
        <w:tc>
          <w:tcPr>
            <w:tcW w:w="1037" w:type="dxa"/>
            <w:vAlign w:val="top"/>
          </w:tcPr>
          <w:p w14:paraId="309CAAAD">
            <w:pPr>
              <w:pStyle w:val="6"/>
            </w:pPr>
          </w:p>
        </w:tc>
        <w:tc>
          <w:tcPr>
            <w:tcW w:w="1134" w:type="dxa"/>
            <w:vAlign w:val="top"/>
          </w:tcPr>
          <w:p w14:paraId="5DBDAAB8">
            <w:pPr>
              <w:pStyle w:val="6"/>
            </w:pPr>
          </w:p>
        </w:tc>
        <w:tc>
          <w:tcPr>
            <w:tcW w:w="1021" w:type="dxa"/>
            <w:vAlign w:val="top"/>
          </w:tcPr>
          <w:p w14:paraId="78C1789A">
            <w:pPr>
              <w:pStyle w:val="6"/>
            </w:pPr>
          </w:p>
        </w:tc>
      </w:tr>
      <w:tr w14:paraId="1A8D10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52" w:type="dxa"/>
            <w:vAlign w:val="top"/>
          </w:tcPr>
          <w:p w14:paraId="4C2A5DAB">
            <w:pPr>
              <w:pStyle w:val="6"/>
            </w:pPr>
          </w:p>
        </w:tc>
        <w:tc>
          <w:tcPr>
            <w:tcW w:w="1101" w:type="dxa"/>
            <w:vAlign w:val="top"/>
          </w:tcPr>
          <w:p w14:paraId="3ED44D15">
            <w:pPr>
              <w:pStyle w:val="6"/>
            </w:pPr>
          </w:p>
        </w:tc>
        <w:tc>
          <w:tcPr>
            <w:tcW w:w="1911" w:type="dxa"/>
            <w:vAlign w:val="top"/>
          </w:tcPr>
          <w:p w14:paraId="4EB239FB">
            <w:pPr>
              <w:spacing w:before="115" w:line="230" w:lineRule="auto"/>
              <w:ind w:left="1"/>
              <w:rPr>
                <w:rFonts w:ascii="宋体" w:hAnsi="宋体" w:eastAsia="宋体" w:cs="宋体"/>
                <w:sz w:val="15"/>
                <w:szCs w:val="15"/>
              </w:rPr>
            </w:pPr>
            <w:r>
              <w:rPr>
                <w:rFonts w:ascii="宋体" w:hAnsi="宋体" w:eastAsia="宋体" w:cs="宋体"/>
                <w:color w:val="212529"/>
                <w:spacing w:val="10"/>
                <w:sz w:val="15"/>
                <w:szCs w:val="15"/>
              </w:rPr>
              <w:t>十七、金融支出</w:t>
            </w:r>
          </w:p>
        </w:tc>
        <w:tc>
          <w:tcPr>
            <w:tcW w:w="1102" w:type="dxa"/>
            <w:vAlign w:val="top"/>
          </w:tcPr>
          <w:p w14:paraId="23D92C1D">
            <w:pPr>
              <w:pStyle w:val="6"/>
            </w:pPr>
          </w:p>
        </w:tc>
        <w:tc>
          <w:tcPr>
            <w:tcW w:w="1037" w:type="dxa"/>
            <w:vAlign w:val="top"/>
          </w:tcPr>
          <w:p w14:paraId="21D15276">
            <w:pPr>
              <w:pStyle w:val="6"/>
            </w:pPr>
          </w:p>
        </w:tc>
        <w:tc>
          <w:tcPr>
            <w:tcW w:w="1134" w:type="dxa"/>
            <w:vAlign w:val="top"/>
          </w:tcPr>
          <w:p w14:paraId="46AE0A81">
            <w:pPr>
              <w:pStyle w:val="6"/>
            </w:pPr>
          </w:p>
        </w:tc>
        <w:tc>
          <w:tcPr>
            <w:tcW w:w="1021" w:type="dxa"/>
            <w:vAlign w:val="top"/>
          </w:tcPr>
          <w:p w14:paraId="0A7A5016">
            <w:pPr>
              <w:pStyle w:val="6"/>
            </w:pPr>
          </w:p>
        </w:tc>
      </w:tr>
      <w:tr w14:paraId="563947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52" w:type="dxa"/>
            <w:vAlign w:val="top"/>
          </w:tcPr>
          <w:p w14:paraId="7F2A68A1">
            <w:pPr>
              <w:pStyle w:val="6"/>
            </w:pPr>
          </w:p>
        </w:tc>
        <w:tc>
          <w:tcPr>
            <w:tcW w:w="1101" w:type="dxa"/>
            <w:vAlign w:val="top"/>
          </w:tcPr>
          <w:p w14:paraId="0F22C12A">
            <w:pPr>
              <w:pStyle w:val="6"/>
            </w:pPr>
          </w:p>
        </w:tc>
        <w:tc>
          <w:tcPr>
            <w:tcW w:w="1911" w:type="dxa"/>
            <w:vAlign w:val="top"/>
          </w:tcPr>
          <w:p w14:paraId="53A85179">
            <w:pPr>
              <w:spacing w:before="115" w:line="230" w:lineRule="auto"/>
              <w:ind w:left="1"/>
              <w:rPr>
                <w:rFonts w:ascii="宋体" w:hAnsi="宋体" w:eastAsia="宋体" w:cs="宋体"/>
                <w:sz w:val="15"/>
                <w:szCs w:val="15"/>
              </w:rPr>
            </w:pPr>
            <w:r>
              <w:rPr>
                <w:rFonts w:ascii="宋体" w:hAnsi="宋体" w:eastAsia="宋体" w:cs="宋体"/>
                <w:color w:val="212529"/>
                <w:spacing w:val="11"/>
                <w:sz w:val="15"/>
                <w:szCs w:val="15"/>
              </w:rPr>
              <w:t>十八、援助其他地区支出</w:t>
            </w:r>
          </w:p>
        </w:tc>
        <w:tc>
          <w:tcPr>
            <w:tcW w:w="1102" w:type="dxa"/>
            <w:vAlign w:val="top"/>
          </w:tcPr>
          <w:p w14:paraId="49B8F0D9">
            <w:pPr>
              <w:pStyle w:val="6"/>
            </w:pPr>
          </w:p>
        </w:tc>
        <w:tc>
          <w:tcPr>
            <w:tcW w:w="1037" w:type="dxa"/>
            <w:vAlign w:val="top"/>
          </w:tcPr>
          <w:p w14:paraId="324CD9A4">
            <w:pPr>
              <w:pStyle w:val="6"/>
            </w:pPr>
          </w:p>
        </w:tc>
        <w:tc>
          <w:tcPr>
            <w:tcW w:w="1134" w:type="dxa"/>
            <w:vAlign w:val="top"/>
          </w:tcPr>
          <w:p w14:paraId="25B0E667">
            <w:pPr>
              <w:pStyle w:val="6"/>
            </w:pPr>
          </w:p>
        </w:tc>
        <w:tc>
          <w:tcPr>
            <w:tcW w:w="1021" w:type="dxa"/>
            <w:vAlign w:val="top"/>
          </w:tcPr>
          <w:p w14:paraId="067801A8">
            <w:pPr>
              <w:pStyle w:val="6"/>
            </w:pPr>
          </w:p>
        </w:tc>
      </w:tr>
      <w:tr w14:paraId="3471A6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52" w:type="dxa"/>
            <w:vAlign w:val="top"/>
          </w:tcPr>
          <w:p w14:paraId="49E601E9">
            <w:pPr>
              <w:pStyle w:val="6"/>
            </w:pPr>
          </w:p>
        </w:tc>
        <w:tc>
          <w:tcPr>
            <w:tcW w:w="1101" w:type="dxa"/>
            <w:vAlign w:val="top"/>
          </w:tcPr>
          <w:p w14:paraId="7218B80D">
            <w:pPr>
              <w:pStyle w:val="6"/>
            </w:pPr>
          </w:p>
        </w:tc>
        <w:tc>
          <w:tcPr>
            <w:tcW w:w="1911" w:type="dxa"/>
            <w:vAlign w:val="top"/>
          </w:tcPr>
          <w:p w14:paraId="30F6ED74">
            <w:pPr>
              <w:spacing w:before="29" w:line="209" w:lineRule="auto"/>
              <w:ind w:left="1" w:right="126"/>
              <w:rPr>
                <w:rFonts w:ascii="宋体" w:hAnsi="宋体" w:eastAsia="宋体" w:cs="宋体"/>
                <w:sz w:val="15"/>
                <w:szCs w:val="15"/>
              </w:rPr>
            </w:pPr>
            <w:r>
              <w:rPr>
                <w:rFonts w:ascii="宋体" w:hAnsi="宋体" w:eastAsia="宋体" w:cs="宋体"/>
                <w:color w:val="212529"/>
                <w:spacing w:val="7"/>
                <w:sz w:val="15"/>
                <w:szCs w:val="15"/>
              </w:rPr>
              <w:t>十九、</w:t>
            </w:r>
            <w:r>
              <w:rPr>
                <w:rFonts w:ascii="宋体" w:hAnsi="宋体" w:eastAsia="宋体" w:cs="宋体"/>
                <w:color w:val="212529"/>
                <w:spacing w:val="-29"/>
                <w:sz w:val="15"/>
                <w:szCs w:val="15"/>
              </w:rPr>
              <w:t xml:space="preserve"> </w:t>
            </w:r>
            <w:r>
              <w:rPr>
                <w:rFonts w:ascii="宋体" w:hAnsi="宋体" w:eastAsia="宋体" w:cs="宋体"/>
                <w:color w:val="212529"/>
                <w:spacing w:val="7"/>
                <w:sz w:val="15"/>
                <w:szCs w:val="15"/>
              </w:rPr>
              <w:t>自然资源海洋气象</w:t>
            </w:r>
            <w:r>
              <w:rPr>
                <w:rFonts w:ascii="宋体" w:hAnsi="宋体" w:eastAsia="宋体" w:cs="宋体"/>
                <w:color w:val="212529"/>
                <w:sz w:val="15"/>
                <w:szCs w:val="15"/>
              </w:rPr>
              <w:t xml:space="preserve"> </w:t>
            </w:r>
            <w:r>
              <w:rPr>
                <w:rFonts w:ascii="宋体" w:hAnsi="宋体" w:eastAsia="宋体" w:cs="宋体"/>
                <w:color w:val="212529"/>
                <w:spacing w:val="8"/>
                <w:sz w:val="15"/>
                <w:szCs w:val="15"/>
              </w:rPr>
              <w:t>等支出</w:t>
            </w:r>
          </w:p>
        </w:tc>
        <w:tc>
          <w:tcPr>
            <w:tcW w:w="1102" w:type="dxa"/>
            <w:vAlign w:val="top"/>
          </w:tcPr>
          <w:p w14:paraId="26C1326F">
            <w:pPr>
              <w:pStyle w:val="6"/>
            </w:pPr>
          </w:p>
        </w:tc>
        <w:tc>
          <w:tcPr>
            <w:tcW w:w="1037" w:type="dxa"/>
            <w:vAlign w:val="top"/>
          </w:tcPr>
          <w:p w14:paraId="7C8A49FA">
            <w:pPr>
              <w:pStyle w:val="6"/>
            </w:pPr>
          </w:p>
        </w:tc>
        <w:tc>
          <w:tcPr>
            <w:tcW w:w="1134" w:type="dxa"/>
            <w:vAlign w:val="top"/>
          </w:tcPr>
          <w:p w14:paraId="10C0992D">
            <w:pPr>
              <w:pStyle w:val="6"/>
            </w:pPr>
          </w:p>
        </w:tc>
        <w:tc>
          <w:tcPr>
            <w:tcW w:w="1021" w:type="dxa"/>
            <w:vAlign w:val="top"/>
          </w:tcPr>
          <w:p w14:paraId="73A56637">
            <w:pPr>
              <w:pStyle w:val="6"/>
            </w:pPr>
          </w:p>
        </w:tc>
      </w:tr>
      <w:tr w14:paraId="6D9B29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52" w:type="dxa"/>
            <w:vAlign w:val="top"/>
          </w:tcPr>
          <w:p w14:paraId="58832C15">
            <w:pPr>
              <w:pStyle w:val="6"/>
            </w:pPr>
          </w:p>
        </w:tc>
        <w:tc>
          <w:tcPr>
            <w:tcW w:w="1101" w:type="dxa"/>
            <w:vAlign w:val="top"/>
          </w:tcPr>
          <w:p w14:paraId="3E143B98">
            <w:pPr>
              <w:pStyle w:val="6"/>
            </w:pPr>
          </w:p>
        </w:tc>
        <w:tc>
          <w:tcPr>
            <w:tcW w:w="1911" w:type="dxa"/>
            <w:vAlign w:val="top"/>
          </w:tcPr>
          <w:p w14:paraId="1115E2E0">
            <w:pPr>
              <w:spacing w:before="116" w:line="229" w:lineRule="auto"/>
              <w:ind w:left="3"/>
              <w:rPr>
                <w:rFonts w:ascii="宋体" w:hAnsi="宋体" w:eastAsia="宋体" w:cs="宋体"/>
                <w:sz w:val="15"/>
                <w:szCs w:val="15"/>
              </w:rPr>
            </w:pPr>
            <w:r>
              <w:rPr>
                <w:rFonts w:ascii="宋体" w:hAnsi="宋体" w:eastAsia="宋体" w:cs="宋体"/>
                <w:color w:val="212529"/>
                <w:spacing w:val="10"/>
                <w:sz w:val="15"/>
                <w:szCs w:val="15"/>
              </w:rPr>
              <w:t>二十、住房保障支出</w:t>
            </w:r>
          </w:p>
        </w:tc>
        <w:tc>
          <w:tcPr>
            <w:tcW w:w="1102" w:type="dxa"/>
            <w:vAlign w:val="top"/>
          </w:tcPr>
          <w:p w14:paraId="184FFAF7">
            <w:pPr>
              <w:pStyle w:val="6"/>
            </w:pPr>
          </w:p>
        </w:tc>
        <w:tc>
          <w:tcPr>
            <w:tcW w:w="1037" w:type="dxa"/>
            <w:vAlign w:val="top"/>
          </w:tcPr>
          <w:p w14:paraId="502861E6">
            <w:pPr>
              <w:pStyle w:val="6"/>
            </w:pPr>
          </w:p>
        </w:tc>
        <w:tc>
          <w:tcPr>
            <w:tcW w:w="1134" w:type="dxa"/>
            <w:vAlign w:val="top"/>
          </w:tcPr>
          <w:p w14:paraId="350BD646">
            <w:pPr>
              <w:pStyle w:val="6"/>
            </w:pPr>
          </w:p>
        </w:tc>
        <w:tc>
          <w:tcPr>
            <w:tcW w:w="1021" w:type="dxa"/>
            <w:vAlign w:val="top"/>
          </w:tcPr>
          <w:p w14:paraId="0F9F17BA">
            <w:pPr>
              <w:pStyle w:val="6"/>
            </w:pPr>
          </w:p>
        </w:tc>
      </w:tr>
      <w:tr w14:paraId="707379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52" w:type="dxa"/>
            <w:vAlign w:val="top"/>
          </w:tcPr>
          <w:p w14:paraId="5A78CE4A">
            <w:pPr>
              <w:pStyle w:val="6"/>
            </w:pPr>
          </w:p>
        </w:tc>
        <w:tc>
          <w:tcPr>
            <w:tcW w:w="1101" w:type="dxa"/>
            <w:vAlign w:val="top"/>
          </w:tcPr>
          <w:p w14:paraId="677D9091">
            <w:pPr>
              <w:pStyle w:val="6"/>
            </w:pPr>
          </w:p>
        </w:tc>
        <w:tc>
          <w:tcPr>
            <w:tcW w:w="1911" w:type="dxa"/>
            <w:vAlign w:val="top"/>
          </w:tcPr>
          <w:p w14:paraId="37697B9C">
            <w:pPr>
              <w:spacing w:before="29" w:line="209" w:lineRule="auto"/>
              <w:ind w:left="14" w:right="126" w:hanging="11"/>
              <w:rPr>
                <w:rFonts w:ascii="宋体" w:hAnsi="宋体" w:eastAsia="宋体" w:cs="宋体"/>
                <w:sz w:val="15"/>
                <w:szCs w:val="15"/>
              </w:rPr>
            </w:pPr>
            <w:r>
              <w:rPr>
                <w:rFonts w:ascii="宋体" w:hAnsi="宋体" w:eastAsia="宋体" w:cs="宋体"/>
                <w:color w:val="212529"/>
                <w:spacing w:val="11"/>
                <w:sz w:val="15"/>
                <w:szCs w:val="15"/>
              </w:rPr>
              <w:t>二十一、粮油物资储备支</w:t>
            </w:r>
            <w:r>
              <w:rPr>
                <w:rFonts w:ascii="宋体" w:hAnsi="宋体" w:eastAsia="宋体" w:cs="宋体"/>
                <w:color w:val="212529"/>
                <w:sz w:val="15"/>
                <w:szCs w:val="15"/>
              </w:rPr>
              <w:t xml:space="preserve"> 出</w:t>
            </w:r>
          </w:p>
        </w:tc>
        <w:tc>
          <w:tcPr>
            <w:tcW w:w="1102" w:type="dxa"/>
            <w:vAlign w:val="top"/>
          </w:tcPr>
          <w:p w14:paraId="163B6920">
            <w:pPr>
              <w:pStyle w:val="6"/>
            </w:pPr>
          </w:p>
        </w:tc>
        <w:tc>
          <w:tcPr>
            <w:tcW w:w="1037" w:type="dxa"/>
            <w:vAlign w:val="top"/>
          </w:tcPr>
          <w:p w14:paraId="40781996">
            <w:pPr>
              <w:pStyle w:val="6"/>
            </w:pPr>
          </w:p>
        </w:tc>
        <w:tc>
          <w:tcPr>
            <w:tcW w:w="1134" w:type="dxa"/>
            <w:vAlign w:val="top"/>
          </w:tcPr>
          <w:p w14:paraId="7F7BA693">
            <w:pPr>
              <w:pStyle w:val="6"/>
            </w:pPr>
          </w:p>
        </w:tc>
        <w:tc>
          <w:tcPr>
            <w:tcW w:w="1021" w:type="dxa"/>
            <w:vAlign w:val="top"/>
          </w:tcPr>
          <w:p w14:paraId="5DCE0430">
            <w:pPr>
              <w:pStyle w:val="6"/>
            </w:pPr>
          </w:p>
        </w:tc>
      </w:tr>
      <w:tr w14:paraId="001C1B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52" w:type="dxa"/>
            <w:vAlign w:val="top"/>
          </w:tcPr>
          <w:p w14:paraId="0D2F381E">
            <w:pPr>
              <w:pStyle w:val="6"/>
            </w:pPr>
          </w:p>
        </w:tc>
        <w:tc>
          <w:tcPr>
            <w:tcW w:w="1101" w:type="dxa"/>
            <w:vAlign w:val="top"/>
          </w:tcPr>
          <w:p w14:paraId="7080C75E">
            <w:pPr>
              <w:pStyle w:val="6"/>
            </w:pPr>
          </w:p>
        </w:tc>
        <w:tc>
          <w:tcPr>
            <w:tcW w:w="1911" w:type="dxa"/>
            <w:vAlign w:val="top"/>
          </w:tcPr>
          <w:p w14:paraId="43877AC0">
            <w:pPr>
              <w:spacing w:before="30" w:line="208" w:lineRule="auto"/>
              <w:ind w:right="126" w:firstLine="2"/>
              <w:rPr>
                <w:rFonts w:ascii="宋体" w:hAnsi="宋体" w:eastAsia="宋体" w:cs="宋体"/>
                <w:sz w:val="15"/>
                <w:szCs w:val="15"/>
              </w:rPr>
            </w:pPr>
            <w:r>
              <w:rPr>
                <w:rFonts w:ascii="宋体" w:hAnsi="宋体" w:eastAsia="宋体" w:cs="宋体"/>
                <w:color w:val="212529"/>
                <w:spacing w:val="8"/>
                <w:sz w:val="15"/>
                <w:szCs w:val="15"/>
              </w:rPr>
              <w:t>二十二、</w:t>
            </w:r>
            <w:r>
              <w:rPr>
                <w:rFonts w:ascii="宋体" w:hAnsi="宋体" w:eastAsia="宋体" w:cs="宋体"/>
                <w:color w:val="212529"/>
                <w:spacing w:val="-43"/>
                <w:sz w:val="15"/>
                <w:szCs w:val="15"/>
              </w:rPr>
              <w:t xml:space="preserve"> </w:t>
            </w:r>
            <w:r>
              <w:rPr>
                <w:rFonts w:ascii="宋体" w:hAnsi="宋体" w:eastAsia="宋体" w:cs="宋体"/>
                <w:color w:val="212529"/>
                <w:spacing w:val="8"/>
                <w:sz w:val="15"/>
                <w:szCs w:val="15"/>
              </w:rPr>
              <w:t>国有资本经营预</w:t>
            </w:r>
            <w:r>
              <w:rPr>
                <w:rFonts w:ascii="宋体" w:hAnsi="宋体" w:eastAsia="宋体" w:cs="宋体"/>
                <w:color w:val="212529"/>
                <w:sz w:val="15"/>
                <w:szCs w:val="15"/>
              </w:rPr>
              <w:t xml:space="preserve"> </w:t>
            </w:r>
            <w:r>
              <w:rPr>
                <w:rFonts w:ascii="宋体" w:hAnsi="宋体" w:eastAsia="宋体" w:cs="宋体"/>
                <w:color w:val="212529"/>
                <w:spacing w:val="8"/>
                <w:sz w:val="15"/>
                <w:szCs w:val="15"/>
              </w:rPr>
              <w:t>算支出</w:t>
            </w:r>
          </w:p>
        </w:tc>
        <w:tc>
          <w:tcPr>
            <w:tcW w:w="1102" w:type="dxa"/>
            <w:vAlign w:val="top"/>
          </w:tcPr>
          <w:p w14:paraId="025E9BE5">
            <w:pPr>
              <w:pStyle w:val="6"/>
            </w:pPr>
          </w:p>
        </w:tc>
        <w:tc>
          <w:tcPr>
            <w:tcW w:w="1037" w:type="dxa"/>
            <w:vAlign w:val="top"/>
          </w:tcPr>
          <w:p w14:paraId="02915218">
            <w:pPr>
              <w:pStyle w:val="6"/>
            </w:pPr>
          </w:p>
        </w:tc>
        <w:tc>
          <w:tcPr>
            <w:tcW w:w="1134" w:type="dxa"/>
            <w:vAlign w:val="top"/>
          </w:tcPr>
          <w:p w14:paraId="7063D184">
            <w:pPr>
              <w:pStyle w:val="6"/>
            </w:pPr>
          </w:p>
        </w:tc>
        <w:tc>
          <w:tcPr>
            <w:tcW w:w="1021" w:type="dxa"/>
            <w:vAlign w:val="top"/>
          </w:tcPr>
          <w:p w14:paraId="6D53CC78">
            <w:pPr>
              <w:pStyle w:val="6"/>
            </w:pPr>
          </w:p>
        </w:tc>
      </w:tr>
      <w:tr w14:paraId="79B0D4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52" w:type="dxa"/>
            <w:vAlign w:val="top"/>
          </w:tcPr>
          <w:p w14:paraId="6E42EE53">
            <w:pPr>
              <w:pStyle w:val="6"/>
            </w:pPr>
          </w:p>
        </w:tc>
        <w:tc>
          <w:tcPr>
            <w:tcW w:w="1101" w:type="dxa"/>
            <w:vAlign w:val="top"/>
          </w:tcPr>
          <w:p w14:paraId="660339EC">
            <w:pPr>
              <w:pStyle w:val="6"/>
            </w:pPr>
          </w:p>
        </w:tc>
        <w:tc>
          <w:tcPr>
            <w:tcW w:w="1911" w:type="dxa"/>
            <w:vAlign w:val="top"/>
          </w:tcPr>
          <w:p w14:paraId="5C7CBDC8">
            <w:pPr>
              <w:spacing w:before="30" w:line="208" w:lineRule="auto"/>
              <w:ind w:left="3" w:right="126"/>
              <w:rPr>
                <w:rFonts w:ascii="宋体" w:hAnsi="宋体" w:eastAsia="宋体" w:cs="宋体"/>
                <w:sz w:val="15"/>
                <w:szCs w:val="15"/>
              </w:rPr>
            </w:pPr>
            <w:r>
              <w:rPr>
                <w:rFonts w:ascii="宋体" w:hAnsi="宋体" w:eastAsia="宋体" w:cs="宋体"/>
                <w:color w:val="212529"/>
                <w:spacing w:val="11"/>
                <w:sz w:val="15"/>
                <w:szCs w:val="15"/>
              </w:rPr>
              <w:t>二十三、灾害防治及应急</w:t>
            </w:r>
            <w:r>
              <w:rPr>
                <w:rFonts w:ascii="宋体" w:hAnsi="宋体" w:eastAsia="宋体" w:cs="宋体"/>
                <w:color w:val="212529"/>
                <w:sz w:val="15"/>
                <w:szCs w:val="15"/>
              </w:rPr>
              <w:t xml:space="preserve"> </w:t>
            </w:r>
            <w:r>
              <w:rPr>
                <w:rFonts w:ascii="宋体" w:hAnsi="宋体" w:eastAsia="宋体" w:cs="宋体"/>
                <w:color w:val="212529"/>
                <w:spacing w:val="8"/>
                <w:sz w:val="15"/>
                <w:szCs w:val="15"/>
              </w:rPr>
              <w:t>管理支出</w:t>
            </w:r>
          </w:p>
        </w:tc>
        <w:tc>
          <w:tcPr>
            <w:tcW w:w="1102" w:type="dxa"/>
            <w:vAlign w:val="top"/>
          </w:tcPr>
          <w:p w14:paraId="3FB954F8">
            <w:pPr>
              <w:pStyle w:val="6"/>
            </w:pPr>
          </w:p>
        </w:tc>
        <w:tc>
          <w:tcPr>
            <w:tcW w:w="1037" w:type="dxa"/>
            <w:vAlign w:val="top"/>
          </w:tcPr>
          <w:p w14:paraId="3AF9F1AA">
            <w:pPr>
              <w:pStyle w:val="6"/>
            </w:pPr>
          </w:p>
        </w:tc>
        <w:tc>
          <w:tcPr>
            <w:tcW w:w="1134" w:type="dxa"/>
            <w:vAlign w:val="top"/>
          </w:tcPr>
          <w:p w14:paraId="3A4B5F3C">
            <w:pPr>
              <w:pStyle w:val="6"/>
            </w:pPr>
          </w:p>
        </w:tc>
        <w:tc>
          <w:tcPr>
            <w:tcW w:w="1021" w:type="dxa"/>
            <w:vAlign w:val="top"/>
          </w:tcPr>
          <w:p w14:paraId="204C743F">
            <w:pPr>
              <w:pStyle w:val="6"/>
            </w:pPr>
          </w:p>
        </w:tc>
      </w:tr>
      <w:tr w14:paraId="78430E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52" w:type="dxa"/>
            <w:vAlign w:val="top"/>
          </w:tcPr>
          <w:p w14:paraId="7659438C">
            <w:pPr>
              <w:pStyle w:val="6"/>
            </w:pPr>
          </w:p>
        </w:tc>
        <w:tc>
          <w:tcPr>
            <w:tcW w:w="1101" w:type="dxa"/>
            <w:vAlign w:val="top"/>
          </w:tcPr>
          <w:p w14:paraId="18C9542E">
            <w:pPr>
              <w:pStyle w:val="6"/>
            </w:pPr>
          </w:p>
        </w:tc>
        <w:tc>
          <w:tcPr>
            <w:tcW w:w="1911" w:type="dxa"/>
            <w:vAlign w:val="top"/>
          </w:tcPr>
          <w:p w14:paraId="51B8390E">
            <w:pPr>
              <w:spacing w:before="116" w:line="230" w:lineRule="auto"/>
              <w:ind w:left="3"/>
              <w:rPr>
                <w:rFonts w:ascii="宋体" w:hAnsi="宋体" w:eastAsia="宋体" w:cs="宋体"/>
                <w:sz w:val="15"/>
                <w:szCs w:val="15"/>
              </w:rPr>
            </w:pPr>
            <w:r>
              <w:rPr>
                <w:rFonts w:ascii="宋体" w:hAnsi="宋体" w:eastAsia="宋体" w:cs="宋体"/>
                <w:color w:val="212529"/>
                <w:spacing w:val="10"/>
                <w:sz w:val="15"/>
                <w:szCs w:val="15"/>
              </w:rPr>
              <w:t>二十四、预备费</w:t>
            </w:r>
          </w:p>
        </w:tc>
        <w:tc>
          <w:tcPr>
            <w:tcW w:w="1102" w:type="dxa"/>
            <w:vAlign w:val="top"/>
          </w:tcPr>
          <w:p w14:paraId="7D633853">
            <w:pPr>
              <w:pStyle w:val="6"/>
            </w:pPr>
          </w:p>
        </w:tc>
        <w:tc>
          <w:tcPr>
            <w:tcW w:w="1037" w:type="dxa"/>
            <w:vAlign w:val="top"/>
          </w:tcPr>
          <w:p w14:paraId="71CC159B">
            <w:pPr>
              <w:pStyle w:val="6"/>
            </w:pPr>
          </w:p>
        </w:tc>
        <w:tc>
          <w:tcPr>
            <w:tcW w:w="1134" w:type="dxa"/>
            <w:vAlign w:val="top"/>
          </w:tcPr>
          <w:p w14:paraId="3D986897">
            <w:pPr>
              <w:pStyle w:val="6"/>
            </w:pPr>
          </w:p>
        </w:tc>
        <w:tc>
          <w:tcPr>
            <w:tcW w:w="1021" w:type="dxa"/>
            <w:vAlign w:val="top"/>
          </w:tcPr>
          <w:p w14:paraId="058F7246">
            <w:pPr>
              <w:pStyle w:val="6"/>
            </w:pPr>
          </w:p>
        </w:tc>
      </w:tr>
      <w:tr w14:paraId="23D733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52" w:type="dxa"/>
            <w:vAlign w:val="top"/>
          </w:tcPr>
          <w:p w14:paraId="0FB074C4">
            <w:pPr>
              <w:pStyle w:val="6"/>
            </w:pPr>
          </w:p>
        </w:tc>
        <w:tc>
          <w:tcPr>
            <w:tcW w:w="1101" w:type="dxa"/>
            <w:vAlign w:val="top"/>
          </w:tcPr>
          <w:p w14:paraId="74DE39A0">
            <w:pPr>
              <w:pStyle w:val="6"/>
            </w:pPr>
          </w:p>
        </w:tc>
        <w:tc>
          <w:tcPr>
            <w:tcW w:w="1911" w:type="dxa"/>
            <w:vAlign w:val="top"/>
          </w:tcPr>
          <w:p w14:paraId="17A84819">
            <w:pPr>
              <w:spacing w:before="117" w:line="230" w:lineRule="auto"/>
              <w:ind w:left="3"/>
              <w:rPr>
                <w:rFonts w:ascii="宋体" w:hAnsi="宋体" w:eastAsia="宋体" w:cs="宋体"/>
                <w:sz w:val="15"/>
                <w:szCs w:val="15"/>
              </w:rPr>
            </w:pPr>
            <w:r>
              <w:rPr>
                <w:rFonts w:ascii="宋体" w:hAnsi="宋体" w:eastAsia="宋体" w:cs="宋体"/>
                <w:color w:val="212529"/>
                <w:spacing w:val="10"/>
                <w:sz w:val="15"/>
                <w:szCs w:val="15"/>
              </w:rPr>
              <w:t>二十五、其他支出</w:t>
            </w:r>
          </w:p>
        </w:tc>
        <w:tc>
          <w:tcPr>
            <w:tcW w:w="1102" w:type="dxa"/>
            <w:vAlign w:val="top"/>
          </w:tcPr>
          <w:p w14:paraId="05F3CEE4">
            <w:pPr>
              <w:pStyle w:val="6"/>
            </w:pPr>
          </w:p>
        </w:tc>
        <w:tc>
          <w:tcPr>
            <w:tcW w:w="1037" w:type="dxa"/>
            <w:vAlign w:val="top"/>
          </w:tcPr>
          <w:p w14:paraId="499DD607">
            <w:pPr>
              <w:pStyle w:val="6"/>
            </w:pPr>
          </w:p>
        </w:tc>
        <w:tc>
          <w:tcPr>
            <w:tcW w:w="1134" w:type="dxa"/>
            <w:vAlign w:val="top"/>
          </w:tcPr>
          <w:p w14:paraId="73948483">
            <w:pPr>
              <w:pStyle w:val="6"/>
            </w:pPr>
          </w:p>
        </w:tc>
        <w:tc>
          <w:tcPr>
            <w:tcW w:w="1021" w:type="dxa"/>
            <w:vAlign w:val="top"/>
          </w:tcPr>
          <w:p w14:paraId="37931D55">
            <w:pPr>
              <w:pStyle w:val="6"/>
            </w:pPr>
          </w:p>
        </w:tc>
      </w:tr>
      <w:tr w14:paraId="5ACA91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52" w:type="dxa"/>
            <w:vAlign w:val="top"/>
          </w:tcPr>
          <w:p w14:paraId="3E8E5E19">
            <w:pPr>
              <w:pStyle w:val="6"/>
            </w:pPr>
          </w:p>
        </w:tc>
        <w:tc>
          <w:tcPr>
            <w:tcW w:w="1101" w:type="dxa"/>
            <w:vAlign w:val="top"/>
          </w:tcPr>
          <w:p w14:paraId="377AF305">
            <w:pPr>
              <w:pStyle w:val="6"/>
            </w:pPr>
          </w:p>
        </w:tc>
        <w:tc>
          <w:tcPr>
            <w:tcW w:w="1911" w:type="dxa"/>
            <w:vAlign w:val="top"/>
          </w:tcPr>
          <w:p w14:paraId="726B20FC">
            <w:pPr>
              <w:spacing w:before="117" w:line="230" w:lineRule="auto"/>
              <w:ind w:left="3"/>
              <w:rPr>
                <w:rFonts w:ascii="宋体" w:hAnsi="宋体" w:eastAsia="宋体" w:cs="宋体"/>
                <w:sz w:val="15"/>
                <w:szCs w:val="15"/>
              </w:rPr>
            </w:pPr>
            <w:r>
              <w:rPr>
                <w:rFonts w:ascii="宋体" w:hAnsi="宋体" w:eastAsia="宋体" w:cs="宋体"/>
                <w:color w:val="212529"/>
                <w:spacing w:val="10"/>
                <w:sz w:val="15"/>
                <w:szCs w:val="15"/>
              </w:rPr>
              <w:t>二十六、转移性支出</w:t>
            </w:r>
          </w:p>
        </w:tc>
        <w:tc>
          <w:tcPr>
            <w:tcW w:w="1102" w:type="dxa"/>
            <w:vAlign w:val="top"/>
          </w:tcPr>
          <w:p w14:paraId="529E5170">
            <w:pPr>
              <w:pStyle w:val="6"/>
            </w:pPr>
          </w:p>
        </w:tc>
        <w:tc>
          <w:tcPr>
            <w:tcW w:w="1037" w:type="dxa"/>
            <w:vAlign w:val="top"/>
          </w:tcPr>
          <w:p w14:paraId="76BF2D2F">
            <w:pPr>
              <w:pStyle w:val="6"/>
            </w:pPr>
          </w:p>
        </w:tc>
        <w:tc>
          <w:tcPr>
            <w:tcW w:w="1134" w:type="dxa"/>
            <w:vAlign w:val="top"/>
          </w:tcPr>
          <w:p w14:paraId="62FAEB21">
            <w:pPr>
              <w:pStyle w:val="6"/>
            </w:pPr>
          </w:p>
        </w:tc>
        <w:tc>
          <w:tcPr>
            <w:tcW w:w="1021" w:type="dxa"/>
            <w:vAlign w:val="top"/>
          </w:tcPr>
          <w:p w14:paraId="4CB5E017">
            <w:pPr>
              <w:pStyle w:val="6"/>
            </w:pPr>
          </w:p>
        </w:tc>
      </w:tr>
      <w:tr w14:paraId="597E40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52" w:type="dxa"/>
            <w:vAlign w:val="top"/>
          </w:tcPr>
          <w:p w14:paraId="3314997D">
            <w:pPr>
              <w:pStyle w:val="6"/>
            </w:pPr>
          </w:p>
        </w:tc>
        <w:tc>
          <w:tcPr>
            <w:tcW w:w="1101" w:type="dxa"/>
            <w:vAlign w:val="top"/>
          </w:tcPr>
          <w:p w14:paraId="5C722F6C">
            <w:pPr>
              <w:pStyle w:val="6"/>
            </w:pPr>
          </w:p>
        </w:tc>
        <w:tc>
          <w:tcPr>
            <w:tcW w:w="1911" w:type="dxa"/>
            <w:vAlign w:val="top"/>
          </w:tcPr>
          <w:p w14:paraId="78261B7A">
            <w:pPr>
              <w:spacing w:before="118" w:line="228" w:lineRule="auto"/>
              <w:ind w:left="3"/>
              <w:rPr>
                <w:rFonts w:ascii="宋体" w:hAnsi="宋体" w:eastAsia="宋体" w:cs="宋体"/>
                <w:sz w:val="15"/>
                <w:szCs w:val="15"/>
              </w:rPr>
            </w:pPr>
            <w:r>
              <w:rPr>
                <w:rFonts w:ascii="宋体" w:hAnsi="宋体" w:eastAsia="宋体" w:cs="宋体"/>
                <w:color w:val="212529"/>
                <w:spacing w:val="10"/>
                <w:sz w:val="15"/>
                <w:szCs w:val="15"/>
              </w:rPr>
              <w:t>二十七、债务还本支出</w:t>
            </w:r>
          </w:p>
        </w:tc>
        <w:tc>
          <w:tcPr>
            <w:tcW w:w="1102" w:type="dxa"/>
            <w:vAlign w:val="top"/>
          </w:tcPr>
          <w:p w14:paraId="454651E0">
            <w:pPr>
              <w:pStyle w:val="6"/>
            </w:pPr>
          </w:p>
        </w:tc>
        <w:tc>
          <w:tcPr>
            <w:tcW w:w="1037" w:type="dxa"/>
            <w:vAlign w:val="top"/>
          </w:tcPr>
          <w:p w14:paraId="15BF76C2">
            <w:pPr>
              <w:pStyle w:val="6"/>
            </w:pPr>
          </w:p>
        </w:tc>
        <w:tc>
          <w:tcPr>
            <w:tcW w:w="1134" w:type="dxa"/>
            <w:vAlign w:val="top"/>
          </w:tcPr>
          <w:p w14:paraId="51E9B8CC">
            <w:pPr>
              <w:pStyle w:val="6"/>
            </w:pPr>
          </w:p>
        </w:tc>
        <w:tc>
          <w:tcPr>
            <w:tcW w:w="1021" w:type="dxa"/>
            <w:vAlign w:val="top"/>
          </w:tcPr>
          <w:p w14:paraId="2BDF5E9C">
            <w:pPr>
              <w:pStyle w:val="6"/>
            </w:pPr>
          </w:p>
        </w:tc>
      </w:tr>
      <w:tr w14:paraId="6B0CDD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52" w:type="dxa"/>
            <w:vAlign w:val="top"/>
          </w:tcPr>
          <w:p w14:paraId="37EC53EB">
            <w:pPr>
              <w:pStyle w:val="6"/>
            </w:pPr>
          </w:p>
        </w:tc>
        <w:tc>
          <w:tcPr>
            <w:tcW w:w="1101" w:type="dxa"/>
            <w:vAlign w:val="top"/>
          </w:tcPr>
          <w:p w14:paraId="06E126E8">
            <w:pPr>
              <w:pStyle w:val="6"/>
            </w:pPr>
          </w:p>
        </w:tc>
        <w:tc>
          <w:tcPr>
            <w:tcW w:w="1911" w:type="dxa"/>
            <w:vAlign w:val="top"/>
          </w:tcPr>
          <w:p w14:paraId="7F1CD2C9">
            <w:pPr>
              <w:spacing w:before="118" w:line="229" w:lineRule="auto"/>
              <w:ind w:left="3"/>
              <w:rPr>
                <w:rFonts w:ascii="宋体" w:hAnsi="宋体" w:eastAsia="宋体" w:cs="宋体"/>
                <w:sz w:val="15"/>
                <w:szCs w:val="15"/>
              </w:rPr>
            </w:pPr>
            <w:r>
              <w:rPr>
                <w:rFonts w:ascii="宋体" w:hAnsi="宋体" w:eastAsia="宋体" w:cs="宋体"/>
                <w:color w:val="212529"/>
                <w:spacing w:val="10"/>
                <w:sz w:val="15"/>
                <w:szCs w:val="15"/>
              </w:rPr>
              <w:t>二十八、债务付息支出</w:t>
            </w:r>
          </w:p>
        </w:tc>
        <w:tc>
          <w:tcPr>
            <w:tcW w:w="1102" w:type="dxa"/>
            <w:vAlign w:val="top"/>
          </w:tcPr>
          <w:p w14:paraId="0E0754A5">
            <w:pPr>
              <w:pStyle w:val="6"/>
            </w:pPr>
          </w:p>
        </w:tc>
        <w:tc>
          <w:tcPr>
            <w:tcW w:w="1037" w:type="dxa"/>
            <w:vAlign w:val="top"/>
          </w:tcPr>
          <w:p w14:paraId="4EDD1D04">
            <w:pPr>
              <w:pStyle w:val="6"/>
            </w:pPr>
          </w:p>
        </w:tc>
        <w:tc>
          <w:tcPr>
            <w:tcW w:w="1134" w:type="dxa"/>
            <w:vAlign w:val="top"/>
          </w:tcPr>
          <w:p w14:paraId="51C104ED">
            <w:pPr>
              <w:pStyle w:val="6"/>
            </w:pPr>
          </w:p>
        </w:tc>
        <w:tc>
          <w:tcPr>
            <w:tcW w:w="1021" w:type="dxa"/>
            <w:vAlign w:val="top"/>
          </w:tcPr>
          <w:p w14:paraId="526D5432">
            <w:pPr>
              <w:pStyle w:val="6"/>
            </w:pPr>
          </w:p>
        </w:tc>
      </w:tr>
      <w:tr w14:paraId="3D08BE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52" w:type="dxa"/>
            <w:vAlign w:val="top"/>
          </w:tcPr>
          <w:p w14:paraId="0A06CF0E">
            <w:pPr>
              <w:pStyle w:val="6"/>
            </w:pPr>
          </w:p>
        </w:tc>
        <w:tc>
          <w:tcPr>
            <w:tcW w:w="1101" w:type="dxa"/>
            <w:vAlign w:val="top"/>
          </w:tcPr>
          <w:p w14:paraId="32A2CD4C">
            <w:pPr>
              <w:pStyle w:val="6"/>
            </w:pPr>
          </w:p>
        </w:tc>
        <w:tc>
          <w:tcPr>
            <w:tcW w:w="1911" w:type="dxa"/>
            <w:vAlign w:val="top"/>
          </w:tcPr>
          <w:p w14:paraId="1099CC6B">
            <w:pPr>
              <w:spacing w:before="30" w:line="208" w:lineRule="auto"/>
              <w:ind w:left="14" w:right="126" w:hanging="11"/>
              <w:rPr>
                <w:rFonts w:ascii="宋体" w:hAnsi="宋体" w:eastAsia="宋体" w:cs="宋体"/>
                <w:sz w:val="15"/>
                <w:szCs w:val="15"/>
              </w:rPr>
            </w:pPr>
            <w:r>
              <w:rPr>
                <w:rFonts w:ascii="宋体" w:hAnsi="宋体" w:eastAsia="宋体" w:cs="宋体"/>
                <w:color w:val="212529"/>
                <w:spacing w:val="11"/>
                <w:sz w:val="15"/>
                <w:szCs w:val="15"/>
              </w:rPr>
              <w:t>二十九、债务发行费用支</w:t>
            </w:r>
            <w:r>
              <w:rPr>
                <w:rFonts w:ascii="宋体" w:hAnsi="宋体" w:eastAsia="宋体" w:cs="宋体"/>
                <w:color w:val="212529"/>
                <w:sz w:val="15"/>
                <w:szCs w:val="15"/>
              </w:rPr>
              <w:t xml:space="preserve"> 出</w:t>
            </w:r>
          </w:p>
        </w:tc>
        <w:tc>
          <w:tcPr>
            <w:tcW w:w="1102" w:type="dxa"/>
            <w:vAlign w:val="top"/>
          </w:tcPr>
          <w:p w14:paraId="0C89F6FE">
            <w:pPr>
              <w:pStyle w:val="6"/>
            </w:pPr>
          </w:p>
        </w:tc>
        <w:tc>
          <w:tcPr>
            <w:tcW w:w="1037" w:type="dxa"/>
            <w:vAlign w:val="top"/>
          </w:tcPr>
          <w:p w14:paraId="26AEA5BE">
            <w:pPr>
              <w:pStyle w:val="6"/>
            </w:pPr>
          </w:p>
        </w:tc>
        <w:tc>
          <w:tcPr>
            <w:tcW w:w="1134" w:type="dxa"/>
            <w:vAlign w:val="top"/>
          </w:tcPr>
          <w:p w14:paraId="2B2CA854">
            <w:pPr>
              <w:pStyle w:val="6"/>
            </w:pPr>
          </w:p>
        </w:tc>
        <w:tc>
          <w:tcPr>
            <w:tcW w:w="1021" w:type="dxa"/>
            <w:vAlign w:val="top"/>
          </w:tcPr>
          <w:p w14:paraId="4C520523">
            <w:pPr>
              <w:pStyle w:val="6"/>
            </w:pPr>
          </w:p>
        </w:tc>
      </w:tr>
      <w:tr w14:paraId="79FB10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52" w:type="dxa"/>
            <w:vAlign w:val="top"/>
          </w:tcPr>
          <w:p w14:paraId="1210D7C3">
            <w:pPr>
              <w:pStyle w:val="6"/>
            </w:pPr>
          </w:p>
        </w:tc>
        <w:tc>
          <w:tcPr>
            <w:tcW w:w="1101" w:type="dxa"/>
            <w:vAlign w:val="top"/>
          </w:tcPr>
          <w:p w14:paraId="35320A95">
            <w:pPr>
              <w:pStyle w:val="6"/>
            </w:pPr>
          </w:p>
        </w:tc>
        <w:tc>
          <w:tcPr>
            <w:tcW w:w="1911" w:type="dxa"/>
            <w:vAlign w:val="top"/>
          </w:tcPr>
          <w:p w14:paraId="14016D55">
            <w:pPr>
              <w:spacing w:before="32" w:line="207" w:lineRule="auto"/>
              <w:ind w:left="12" w:right="126" w:hanging="13"/>
              <w:rPr>
                <w:rFonts w:ascii="宋体" w:hAnsi="宋体" w:eastAsia="宋体" w:cs="宋体"/>
                <w:sz w:val="15"/>
                <w:szCs w:val="15"/>
              </w:rPr>
            </w:pPr>
            <w:r>
              <w:rPr>
                <w:rFonts w:ascii="宋体" w:hAnsi="宋体" w:eastAsia="宋体" w:cs="宋体"/>
                <w:color w:val="212529"/>
                <w:spacing w:val="11"/>
                <w:sz w:val="15"/>
                <w:szCs w:val="15"/>
              </w:rPr>
              <w:t>三十、抗疫特别国债安排</w:t>
            </w:r>
            <w:r>
              <w:rPr>
                <w:rFonts w:ascii="宋体" w:hAnsi="宋体" w:eastAsia="宋体" w:cs="宋体"/>
                <w:color w:val="212529"/>
                <w:spacing w:val="2"/>
                <w:sz w:val="15"/>
                <w:szCs w:val="15"/>
              </w:rPr>
              <w:t xml:space="preserve"> </w:t>
            </w:r>
            <w:r>
              <w:rPr>
                <w:rFonts w:ascii="宋体" w:hAnsi="宋体" w:eastAsia="宋体" w:cs="宋体"/>
                <w:color w:val="212529"/>
                <w:spacing w:val="4"/>
                <w:sz w:val="15"/>
                <w:szCs w:val="15"/>
              </w:rPr>
              <w:t>的支出</w:t>
            </w:r>
          </w:p>
        </w:tc>
        <w:tc>
          <w:tcPr>
            <w:tcW w:w="1102" w:type="dxa"/>
            <w:vAlign w:val="top"/>
          </w:tcPr>
          <w:p w14:paraId="3B8BB6D2">
            <w:pPr>
              <w:pStyle w:val="6"/>
            </w:pPr>
          </w:p>
        </w:tc>
        <w:tc>
          <w:tcPr>
            <w:tcW w:w="1037" w:type="dxa"/>
            <w:vAlign w:val="top"/>
          </w:tcPr>
          <w:p w14:paraId="64BCD70E">
            <w:pPr>
              <w:pStyle w:val="6"/>
            </w:pPr>
          </w:p>
        </w:tc>
        <w:tc>
          <w:tcPr>
            <w:tcW w:w="1134" w:type="dxa"/>
            <w:vAlign w:val="top"/>
          </w:tcPr>
          <w:p w14:paraId="4E111868">
            <w:pPr>
              <w:pStyle w:val="6"/>
            </w:pPr>
          </w:p>
        </w:tc>
        <w:tc>
          <w:tcPr>
            <w:tcW w:w="1021" w:type="dxa"/>
            <w:vAlign w:val="top"/>
          </w:tcPr>
          <w:p w14:paraId="1D72C307">
            <w:pPr>
              <w:pStyle w:val="6"/>
            </w:pPr>
          </w:p>
        </w:tc>
      </w:tr>
      <w:tr w14:paraId="4E68FE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52" w:type="dxa"/>
            <w:vAlign w:val="top"/>
          </w:tcPr>
          <w:p w14:paraId="7CFF98D8">
            <w:pPr>
              <w:pStyle w:val="6"/>
            </w:pPr>
          </w:p>
        </w:tc>
        <w:tc>
          <w:tcPr>
            <w:tcW w:w="1101" w:type="dxa"/>
            <w:vAlign w:val="top"/>
          </w:tcPr>
          <w:p w14:paraId="7A8D3CB6">
            <w:pPr>
              <w:pStyle w:val="6"/>
            </w:pPr>
          </w:p>
        </w:tc>
        <w:tc>
          <w:tcPr>
            <w:tcW w:w="1911" w:type="dxa"/>
            <w:vAlign w:val="top"/>
          </w:tcPr>
          <w:p w14:paraId="0D1E9E78">
            <w:pPr>
              <w:pStyle w:val="6"/>
            </w:pPr>
          </w:p>
        </w:tc>
        <w:tc>
          <w:tcPr>
            <w:tcW w:w="1102" w:type="dxa"/>
            <w:vAlign w:val="top"/>
          </w:tcPr>
          <w:p w14:paraId="29E03705">
            <w:pPr>
              <w:pStyle w:val="6"/>
            </w:pPr>
          </w:p>
        </w:tc>
        <w:tc>
          <w:tcPr>
            <w:tcW w:w="1037" w:type="dxa"/>
            <w:vAlign w:val="top"/>
          </w:tcPr>
          <w:p w14:paraId="4576CE8F">
            <w:pPr>
              <w:pStyle w:val="6"/>
            </w:pPr>
          </w:p>
        </w:tc>
        <w:tc>
          <w:tcPr>
            <w:tcW w:w="1134" w:type="dxa"/>
            <w:vAlign w:val="top"/>
          </w:tcPr>
          <w:p w14:paraId="40E55C1F">
            <w:pPr>
              <w:pStyle w:val="6"/>
            </w:pPr>
          </w:p>
        </w:tc>
        <w:tc>
          <w:tcPr>
            <w:tcW w:w="1021" w:type="dxa"/>
            <w:vAlign w:val="top"/>
          </w:tcPr>
          <w:p w14:paraId="0BEEA2F0">
            <w:pPr>
              <w:pStyle w:val="6"/>
            </w:pPr>
          </w:p>
        </w:tc>
      </w:tr>
      <w:tr w14:paraId="442FE1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1852" w:type="dxa"/>
            <w:vAlign w:val="top"/>
          </w:tcPr>
          <w:p w14:paraId="5A13C933">
            <w:pPr>
              <w:spacing w:before="116" w:line="158" w:lineRule="exact"/>
              <w:ind w:left="429"/>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本年收入合计</w:t>
            </w:r>
          </w:p>
        </w:tc>
        <w:tc>
          <w:tcPr>
            <w:tcW w:w="1101" w:type="dxa"/>
            <w:vAlign w:val="top"/>
          </w:tcPr>
          <w:p w14:paraId="0DE90B79">
            <w:pPr>
              <w:pStyle w:val="6"/>
              <w:spacing w:before="137" w:line="187" w:lineRule="auto"/>
              <w:ind w:left="265"/>
              <w:rPr>
                <w:sz w:val="13"/>
                <w:szCs w:val="13"/>
              </w:rPr>
            </w:pPr>
            <w:r>
              <w:rPr>
                <w:color w:val="212529"/>
                <w:spacing w:val="4"/>
                <w:sz w:val="13"/>
                <w:szCs w:val="13"/>
              </w:rPr>
              <w:t>1066.</w:t>
            </w:r>
            <w:r>
              <w:rPr>
                <w:color w:val="212529"/>
                <w:spacing w:val="10"/>
                <w:sz w:val="13"/>
                <w:szCs w:val="13"/>
              </w:rPr>
              <w:t xml:space="preserve"> </w:t>
            </w:r>
            <w:r>
              <w:rPr>
                <w:color w:val="212529"/>
                <w:spacing w:val="4"/>
                <w:sz w:val="13"/>
                <w:szCs w:val="13"/>
              </w:rPr>
              <w:t>87</w:t>
            </w:r>
          </w:p>
        </w:tc>
        <w:tc>
          <w:tcPr>
            <w:tcW w:w="1911" w:type="dxa"/>
            <w:vAlign w:val="top"/>
          </w:tcPr>
          <w:p w14:paraId="76C0CBED">
            <w:pPr>
              <w:spacing w:before="116" w:line="156" w:lineRule="exact"/>
              <w:ind w:left="459"/>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本年支出合计</w:t>
            </w:r>
          </w:p>
        </w:tc>
        <w:tc>
          <w:tcPr>
            <w:tcW w:w="1102" w:type="dxa"/>
            <w:vAlign w:val="top"/>
          </w:tcPr>
          <w:p w14:paraId="67376633">
            <w:pPr>
              <w:pStyle w:val="6"/>
              <w:spacing w:before="137" w:line="187" w:lineRule="auto"/>
              <w:ind w:left="272"/>
              <w:rPr>
                <w:sz w:val="13"/>
                <w:szCs w:val="13"/>
              </w:rPr>
            </w:pPr>
            <w:r>
              <w:rPr>
                <w:color w:val="212529"/>
                <w:spacing w:val="3"/>
                <w:sz w:val="13"/>
                <w:szCs w:val="13"/>
              </w:rPr>
              <w:t>1066.</w:t>
            </w:r>
            <w:r>
              <w:rPr>
                <w:color w:val="212529"/>
                <w:spacing w:val="17"/>
                <w:sz w:val="13"/>
                <w:szCs w:val="13"/>
              </w:rPr>
              <w:t xml:space="preserve"> </w:t>
            </w:r>
            <w:r>
              <w:rPr>
                <w:color w:val="212529"/>
                <w:spacing w:val="3"/>
                <w:sz w:val="13"/>
                <w:szCs w:val="13"/>
              </w:rPr>
              <w:t>87</w:t>
            </w:r>
          </w:p>
        </w:tc>
        <w:tc>
          <w:tcPr>
            <w:tcW w:w="1037" w:type="dxa"/>
            <w:vAlign w:val="top"/>
          </w:tcPr>
          <w:p w14:paraId="6FED09E7">
            <w:pPr>
              <w:pStyle w:val="6"/>
              <w:spacing w:before="137" w:line="186" w:lineRule="auto"/>
              <w:ind w:left="269"/>
              <w:rPr>
                <w:sz w:val="13"/>
                <w:szCs w:val="13"/>
              </w:rPr>
            </w:pPr>
            <w:r>
              <w:rPr>
                <w:color w:val="212529"/>
                <w:spacing w:val="4"/>
                <w:sz w:val="13"/>
                <w:szCs w:val="13"/>
              </w:rPr>
              <w:t>789.</w:t>
            </w:r>
            <w:r>
              <w:rPr>
                <w:color w:val="212529"/>
                <w:spacing w:val="13"/>
                <w:sz w:val="13"/>
                <w:szCs w:val="13"/>
              </w:rPr>
              <w:t xml:space="preserve"> </w:t>
            </w:r>
            <w:r>
              <w:rPr>
                <w:color w:val="212529"/>
                <w:spacing w:val="4"/>
                <w:sz w:val="13"/>
                <w:szCs w:val="13"/>
              </w:rPr>
              <w:t>73</w:t>
            </w:r>
          </w:p>
        </w:tc>
        <w:tc>
          <w:tcPr>
            <w:tcW w:w="1134" w:type="dxa"/>
            <w:vAlign w:val="top"/>
          </w:tcPr>
          <w:p w14:paraId="33493F1E">
            <w:pPr>
              <w:pStyle w:val="6"/>
              <w:spacing w:before="137" w:line="187" w:lineRule="auto"/>
              <w:ind w:left="316"/>
              <w:rPr>
                <w:sz w:val="13"/>
                <w:szCs w:val="13"/>
              </w:rPr>
            </w:pPr>
            <w:r>
              <w:rPr>
                <w:color w:val="212529"/>
                <w:spacing w:val="4"/>
                <w:sz w:val="13"/>
                <w:szCs w:val="13"/>
              </w:rPr>
              <w:t>277.</w:t>
            </w:r>
            <w:r>
              <w:rPr>
                <w:color w:val="212529"/>
                <w:spacing w:val="18"/>
                <w:w w:val="102"/>
                <w:sz w:val="13"/>
                <w:szCs w:val="13"/>
              </w:rPr>
              <w:t xml:space="preserve"> </w:t>
            </w:r>
            <w:r>
              <w:rPr>
                <w:color w:val="212529"/>
                <w:spacing w:val="4"/>
                <w:sz w:val="13"/>
                <w:szCs w:val="13"/>
              </w:rPr>
              <w:t>14</w:t>
            </w:r>
          </w:p>
        </w:tc>
        <w:tc>
          <w:tcPr>
            <w:tcW w:w="1021" w:type="dxa"/>
            <w:vAlign w:val="top"/>
          </w:tcPr>
          <w:p w14:paraId="27A47E02">
            <w:pPr>
              <w:pStyle w:val="6"/>
            </w:pPr>
          </w:p>
        </w:tc>
      </w:tr>
    </w:tbl>
    <w:p w14:paraId="08664D7F">
      <w:pPr>
        <w:pStyle w:val="2"/>
      </w:pPr>
    </w:p>
    <w:p w14:paraId="59965966">
      <w:pPr>
        <w:sectPr>
          <w:headerReference r:id="rId18" w:type="default"/>
          <w:footerReference r:id="rId19" w:type="default"/>
          <w:pgSz w:w="11900" w:h="16840"/>
          <w:pgMar w:top="611" w:right="0" w:bottom="312" w:left="0" w:header="357" w:footer="153" w:gutter="0"/>
          <w:cols w:space="720" w:num="1"/>
        </w:sectPr>
      </w:pPr>
    </w:p>
    <w:p w14:paraId="60D0E694">
      <w:pPr>
        <w:spacing w:before="54"/>
      </w:pPr>
    </w:p>
    <w:p w14:paraId="543C9A1E">
      <w:pPr>
        <w:spacing w:before="5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52"/>
        <w:gridCol w:w="1101"/>
        <w:gridCol w:w="1911"/>
        <w:gridCol w:w="1102"/>
        <w:gridCol w:w="1037"/>
        <w:gridCol w:w="1134"/>
        <w:gridCol w:w="1021"/>
      </w:tblGrid>
      <w:tr w14:paraId="5C6AF2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852" w:type="dxa"/>
            <w:vAlign w:val="top"/>
          </w:tcPr>
          <w:p w14:paraId="60E7B062">
            <w:pPr>
              <w:spacing w:before="113" w:line="229" w:lineRule="auto"/>
              <w:ind w:left="7"/>
              <w:rPr>
                <w:rFonts w:ascii="宋体" w:hAnsi="宋体" w:eastAsia="宋体" w:cs="宋体"/>
                <w:sz w:val="15"/>
                <w:szCs w:val="15"/>
              </w:rPr>
            </w:pPr>
            <w:bookmarkStart w:id="47" w:name="bookmark40"/>
            <w:bookmarkEnd w:id="47"/>
            <w:r>
              <w:rPr>
                <w:rFonts w:ascii="宋体" w:hAnsi="宋体" w:eastAsia="宋体" w:cs="宋体"/>
                <w:color w:val="212529"/>
                <w:spacing w:val="10"/>
                <w:sz w:val="15"/>
                <w:szCs w:val="15"/>
              </w:rPr>
              <w:t>上年财政拨款结转</w:t>
            </w:r>
          </w:p>
        </w:tc>
        <w:tc>
          <w:tcPr>
            <w:tcW w:w="1101" w:type="dxa"/>
            <w:vAlign w:val="top"/>
          </w:tcPr>
          <w:p w14:paraId="75D8E9F9">
            <w:pPr>
              <w:pStyle w:val="6"/>
            </w:pPr>
          </w:p>
        </w:tc>
        <w:tc>
          <w:tcPr>
            <w:tcW w:w="1911" w:type="dxa"/>
            <w:vAlign w:val="top"/>
          </w:tcPr>
          <w:p w14:paraId="2B52917B">
            <w:pPr>
              <w:spacing w:before="113" w:line="229" w:lineRule="auto"/>
              <w:ind w:left="1"/>
              <w:rPr>
                <w:rFonts w:ascii="宋体" w:hAnsi="宋体" w:eastAsia="宋体" w:cs="宋体"/>
                <w:sz w:val="15"/>
                <w:szCs w:val="15"/>
              </w:rPr>
            </w:pPr>
            <w:r>
              <w:rPr>
                <w:rFonts w:ascii="宋体" w:hAnsi="宋体" w:eastAsia="宋体" w:cs="宋体"/>
                <w:color w:val="212529"/>
                <w:spacing w:val="9"/>
                <w:sz w:val="15"/>
                <w:szCs w:val="15"/>
              </w:rPr>
              <w:t>年终结转</w:t>
            </w:r>
          </w:p>
        </w:tc>
        <w:tc>
          <w:tcPr>
            <w:tcW w:w="1102" w:type="dxa"/>
            <w:vAlign w:val="top"/>
          </w:tcPr>
          <w:p w14:paraId="04210767">
            <w:pPr>
              <w:pStyle w:val="6"/>
            </w:pPr>
          </w:p>
        </w:tc>
        <w:tc>
          <w:tcPr>
            <w:tcW w:w="1037" w:type="dxa"/>
            <w:vAlign w:val="top"/>
          </w:tcPr>
          <w:p w14:paraId="152A6AE2">
            <w:pPr>
              <w:pStyle w:val="6"/>
            </w:pPr>
          </w:p>
        </w:tc>
        <w:tc>
          <w:tcPr>
            <w:tcW w:w="1134" w:type="dxa"/>
            <w:vAlign w:val="top"/>
          </w:tcPr>
          <w:p w14:paraId="0648C335">
            <w:pPr>
              <w:pStyle w:val="6"/>
            </w:pPr>
          </w:p>
        </w:tc>
        <w:tc>
          <w:tcPr>
            <w:tcW w:w="1021" w:type="dxa"/>
            <w:vAlign w:val="top"/>
          </w:tcPr>
          <w:p w14:paraId="7BBA0E8D">
            <w:pPr>
              <w:pStyle w:val="6"/>
            </w:pPr>
          </w:p>
        </w:tc>
      </w:tr>
      <w:tr w14:paraId="6FE30F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1852" w:type="dxa"/>
            <w:vAlign w:val="top"/>
          </w:tcPr>
          <w:p w14:paraId="536DBDF0">
            <w:pPr>
              <w:spacing w:before="110" w:line="229" w:lineRule="auto"/>
              <w:ind w:left="8"/>
              <w:rPr>
                <w:rFonts w:ascii="宋体" w:hAnsi="宋体" w:eastAsia="宋体" w:cs="宋体"/>
                <w:sz w:val="15"/>
                <w:szCs w:val="15"/>
              </w:rPr>
            </w:pPr>
            <w:r>
              <w:rPr>
                <w:rFonts w:ascii="宋体" w:hAnsi="宋体" w:eastAsia="宋体" w:cs="宋体"/>
                <w:color w:val="212529"/>
                <w:spacing w:val="10"/>
                <w:sz w:val="15"/>
                <w:szCs w:val="15"/>
              </w:rPr>
              <w:t>一、一般公共预算</w:t>
            </w:r>
          </w:p>
        </w:tc>
        <w:tc>
          <w:tcPr>
            <w:tcW w:w="1101" w:type="dxa"/>
            <w:vAlign w:val="top"/>
          </w:tcPr>
          <w:p w14:paraId="19D8A410">
            <w:pPr>
              <w:pStyle w:val="6"/>
            </w:pPr>
          </w:p>
        </w:tc>
        <w:tc>
          <w:tcPr>
            <w:tcW w:w="1911" w:type="dxa"/>
            <w:vAlign w:val="top"/>
          </w:tcPr>
          <w:p w14:paraId="28AEF20B">
            <w:pPr>
              <w:pStyle w:val="6"/>
            </w:pPr>
          </w:p>
        </w:tc>
        <w:tc>
          <w:tcPr>
            <w:tcW w:w="1102" w:type="dxa"/>
            <w:vAlign w:val="top"/>
          </w:tcPr>
          <w:p w14:paraId="7B64B90F">
            <w:pPr>
              <w:pStyle w:val="6"/>
            </w:pPr>
          </w:p>
        </w:tc>
        <w:tc>
          <w:tcPr>
            <w:tcW w:w="1037" w:type="dxa"/>
            <w:vAlign w:val="top"/>
          </w:tcPr>
          <w:p w14:paraId="3C6F091A">
            <w:pPr>
              <w:pStyle w:val="6"/>
            </w:pPr>
          </w:p>
        </w:tc>
        <w:tc>
          <w:tcPr>
            <w:tcW w:w="1134" w:type="dxa"/>
            <w:vAlign w:val="top"/>
          </w:tcPr>
          <w:p w14:paraId="65B833C9">
            <w:pPr>
              <w:pStyle w:val="6"/>
            </w:pPr>
          </w:p>
        </w:tc>
        <w:tc>
          <w:tcPr>
            <w:tcW w:w="1021" w:type="dxa"/>
            <w:vAlign w:val="top"/>
          </w:tcPr>
          <w:p w14:paraId="0FD75E2D">
            <w:pPr>
              <w:pStyle w:val="6"/>
            </w:pPr>
          </w:p>
        </w:tc>
      </w:tr>
      <w:tr w14:paraId="0C8D3F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1852" w:type="dxa"/>
            <w:vAlign w:val="top"/>
          </w:tcPr>
          <w:p w14:paraId="23A85324">
            <w:pPr>
              <w:spacing w:before="112" w:line="228" w:lineRule="auto"/>
              <w:ind w:left="9"/>
              <w:rPr>
                <w:rFonts w:ascii="宋体" w:hAnsi="宋体" w:eastAsia="宋体" w:cs="宋体"/>
                <w:sz w:val="15"/>
                <w:szCs w:val="15"/>
              </w:rPr>
            </w:pPr>
            <w:r>
              <w:rPr>
                <w:rFonts w:ascii="宋体" w:hAnsi="宋体" w:eastAsia="宋体" w:cs="宋体"/>
                <w:color w:val="212529"/>
                <w:spacing w:val="10"/>
                <w:sz w:val="15"/>
                <w:szCs w:val="15"/>
              </w:rPr>
              <w:t>二、政府性基金预算</w:t>
            </w:r>
          </w:p>
        </w:tc>
        <w:tc>
          <w:tcPr>
            <w:tcW w:w="1101" w:type="dxa"/>
            <w:vAlign w:val="top"/>
          </w:tcPr>
          <w:p w14:paraId="4E8BCDDF">
            <w:pPr>
              <w:pStyle w:val="6"/>
            </w:pPr>
          </w:p>
        </w:tc>
        <w:tc>
          <w:tcPr>
            <w:tcW w:w="1911" w:type="dxa"/>
            <w:vAlign w:val="top"/>
          </w:tcPr>
          <w:p w14:paraId="0520ADD5">
            <w:pPr>
              <w:pStyle w:val="6"/>
            </w:pPr>
          </w:p>
        </w:tc>
        <w:tc>
          <w:tcPr>
            <w:tcW w:w="1102" w:type="dxa"/>
            <w:vAlign w:val="top"/>
          </w:tcPr>
          <w:p w14:paraId="4A6E5044">
            <w:pPr>
              <w:pStyle w:val="6"/>
            </w:pPr>
          </w:p>
        </w:tc>
        <w:tc>
          <w:tcPr>
            <w:tcW w:w="1037" w:type="dxa"/>
            <w:vAlign w:val="top"/>
          </w:tcPr>
          <w:p w14:paraId="64270424">
            <w:pPr>
              <w:pStyle w:val="6"/>
            </w:pPr>
          </w:p>
        </w:tc>
        <w:tc>
          <w:tcPr>
            <w:tcW w:w="1134" w:type="dxa"/>
            <w:vAlign w:val="top"/>
          </w:tcPr>
          <w:p w14:paraId="06F5D921">
            <w:pPr>
              <w:pStyle w:val="6"/>
            </w:pPr>
          </w:p>
        </w:tc>
        <w:tc>
          <w:tcPr>
            <w:tcW w:w="1021" w:type="dxa"/>
            <w:vAlign w:val="top"/>
          </w:tcPr>
          <w:p w14:paraId="10EBACE5">
            <w:pPr>
              <w:pStyle w:val="6"/>
            </w:pPr>
          </w:p>
        </w:tc>
      </w:tr>
      <w:tr w14:paraId="621994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852" w:type="dxa"/>
            <w:vAlign w:val="top"/>
          </w:tcPr>
          <w:p w14:paraId="0F1F101B">
            <w:pPr>
              <w:spacing w:before="114" w:line="228" w:lineRule="auto"/>
              <w:ind w:left="6"/>
              <w:rPr>
                <w:rFonts w:ascii="宋体" w:hAnsi="宋体" w:eastAsia="宋体" w:cs="宋体"/>
                <w:sz w:val="15"/>
                <w:szCs w:val="15"/>
              </w:rPr>
            </w:pPr>
            <w:r>
              <w:rPr>
                <w:rFonts w:ascii="宋体" w:hAnsi="宋体" w:eastAsia="宋体" w:cs="宋体"/>
                <w:color w:val="212529"/>
                <w:spacing w:val="8"/>
                <w:sz w:val="15"/>
                <w:szCs w:val="15"/>
              </w:rPr>
              <w:t>三、</w:t>
            </w:r>
            <w:r>
              <w:rPr>
                <w:rFonts w:ascii="宋体" w:hAnsi="宋体" w:eastAsia="宋体" w:cs="宋体"/>
                <w:color w:val="212529"/>
                <w:spacing w:val="-44"/>
                <w:sz w:val="15"/>
                <w:szCs w:val="15"/>
              </w:rPr>
              <w:t xml:space="preserve"> </w:t>
            </w:r>
            <w:r>
              <w:rPr>
                <w:rFonts w:ascii="宋体" w:hAnsi="宋体" w:eastAsia="宋体" w:cs="宋体"/>
                <w:color w:val="212529"/>
                <w:spacing w:val="8"/>
                <w:sz w:val="15"/>
                <w:szCs w:val="15"/>
              </w:rPr>
              <w:t>国有资本经营预算</w:t>
            </w:r>
          </w:p>
        </w:tc>
        <w:tc>
          <w:tcPr>
            <w:tcW w:w="1101" w:type="dxa"/>
            <w:vAlign w:val="top"/>
          </w:tcPr>
          <w:p w14:paraId="61DB5A5E">
            <w:pPr>
              <w:pStyle w:val="6"/>
            </w:pPr>
          </w:p>
        </w:tc>
        <w:tc>
          <w:tcPr>
            <w:tcW w:w="1911" w:type="dxa"/>
            <w:vAlign w:val="top"/>
          </w:tcPr>
          <w:p w14:paraId="0D184008">
            <w:pPr>
              <w:pStyle w:val="6"/>
            </w:pPr>
          </w:p>
        </w:tc>
        <w:tc>
          <w:tcPr>
            <w:tcW w:w="1102" w:type="dxa"/>
            <w:vAlign w:val="top"/>
          </w:tcPr>
          <w:p w14:paraId="6DC6B356">
            <w:pPr>
              <w:pStyle w:val="6"/>
            </w:pPr>
          </w:p>
        </w:tc>
        <w:tc>
          <w:tcPr>
            <w:tcW w:w="1037" w:type="dxa"/>
            <w:vAlign w:val="top"/>
          </w:tcPr>
          <w:p w14:paraId="31712CAC">
            <w:pPr>
              <w:pStyle w:val="6"/>
            </w:pPr>
          </w:p>
        </w:tc>
        <w:tc>
          <w:tcPr>
            <w:tcW w:w="1134" w:type="dxa"/>
            <w:vAlign w:val="top"/>
          </w:tcPr>
          <w:p w14:paraId="45F67694">
            <w:pPr>
              <w:pStyle w:val="6"/>
            </w:pPr>
          </w:p>
        </w:tc>
        <w:tc>
          <w:tcPr>
            <w:tcW w:w="1021" w:type="dxa"/>
            <w:vAlign w:val="top"/>
          </w:tcPr>
          <w:p w14:paraId="7E14DB05">
            <w:pPr>
              <w:pStyle w:val="6"/>
            </w:pPr>
          </w:p>
        </w:tc>
      </w:tr>
      <w:tr w14:paraId="284724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852" w:type="dxa"/>
            <w:vAlign w:val="top"/>
          </w:tcPr>
          <w:p w14:paraId="3BA8A573">
            <w:pPr>
              <w:pStyle w:val="6"/>
            </w:pPr>
          </w:p>
        </w:tc>
        <w:tc>
          <w:tcPr>
            <w:tcW w:w="1101" w:type="dxa"/>
            <w:vAlign w:val="top"/>
          </w:tcPr>
          <w:p w14:paraId="25231E28">
            <w:pPr>
              <w:pStyle w:val="6"/>
            </w:pPr>
          </w:p>
        </w:tc>
        <w:tc>
          <w:tcPr>
            <w:tcW w:w="1911" w:type="dxa"/>
            <w:vAlign w:val="top"/>
          </w:tcPr>
          <w:p w14:paraId="0FB58A3B">
            <w:pPr>
              <w:pStyle w:val="6"/>
            </w:pPr>
          </w:p>
        </w:tc>
        <w:tc>
          <w:tcPr>
            <w:tcW w:w="1102" w:type="dxa"/>
            <w:vAlign w:val="top"/>
          </w:tcPr>
          <w:p w14:paraId="5C4A23D1">
            <w:pPr>
              <w:pStyle w:val="6"/>
            </w:pPr>
          </w:p>
        </w:tc>
        <w:tc>
          <w:tcPr>
            <w:tcW w:w="1037" w:type="dxa"/>
            <w:vAlign w:val="top"/>
          </w:tcPr>
          <w:p w14:paraId="2E16B608">
            <w:pPr>
              <w:pStyle w:val="6"/>
            </w:pPr>
          </w:p>
        </w:tc>
        <w:tc>
          <w:tcPr>
            <w:tcW w:w="1134" w:type="dxa"/>
            <w:vAlign w:val="top"/>
          </w:tcPr>
          <w:p w14:paraId="187D7593">
            <w:pPr>
              <w:pStyle w:val="6"/>
            </w:pPr>
          </w:p>
        </w:tc>
        <w:tc>
          <w:tcPr>
            <w:tcW w:w="1021" w:type="dxa"/>
            <w:vAlign w:val="top"/>
          </w:tcPr>
          <w:p w14:paraId="5A77B49E">
            <w:pPr>
              <w:pStyle w:val="6"/>
            </w:pPr>
          </w:p>
        </w:tc>
      </w:tr>
      <w:tr w14:paraId="2BF748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852" w:type="dxa"/>
            <w:vAlign w:val="top"/>
          </w:tcPr>
          <w:p w14:paraId="6C3FAB28">
            <w:pPr>
              <w:spacing w:before="114" w:line="158" w:lineRule="exact"/>
              <w:ind w:left="595"/>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收入总计</w:t>
            </w:r>
          </w:p>
        </w:tc>
        <w:tc>
          <w:tcPr>
            <w:tcW w:w="1101" w:type="dxa"/>
            <w:vAlign w:val="top"/>
          </w:tcPr>
          <w:p w14:paraId="0912BC14">
            <w:pPr>
              <w:pStyle w:val="6"/>
              <w:spacing w:before="135" w:line="162" w:lineRule="auto"/>
              <w:ind w:left="265"/>
              <w:rPr>
                <w:sz w:val="15"/>
                <w:szCs w:val="15"/>
              </w:rPr>
            </w:pPr>
            <w:r>
              <w:rPr>
                <w:color w:val="212529"/>
                <w:sz w:val="15"/>
                <w:szCs w:val="15"/>
              </w:rPr>
              <w:t>1066.87</w:t>
            </w:r>
          </w:p>
        </w:tc>
        <w:tc>
          <w:tcPr>
            <w:tcW w:w="1911" w:type="dxa"/>
            <w:vAlign w:val="top"/>
          </w:tcPr>
          <w:p w14:paraId="32469ABB">
            <w:pPr>
              <w:spacing w:before="114" w:line="155" w:lineRule="exact"/>
              <w:ind w:left="620"/>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支出总计</w:t>
            </w:r>
          </w:p>
        </w:tc>
        <w:tc>
          <w:tcPr>
            <w:tcW w:w="1102" w:type="dxa"/>
            <w:vAlign w:val="top"/>
          </w:tcPr>
          <w:p w14:paraId="7894DFFF">
            <w:pPr>
              <w:pStyle w:val="6"/>
              <w:spacing w:before="135" w:line="187" w:lineRule="auto"/>
              <w:ind w:left="272"/>
              <w:rPr>
                <w:sz w:val="13"/>
                <w:szCs w:val="13"/>
              </w:rPr>
            </w:pPr>
            <w:r>
              <w:rPr>
                <w:color w:val="212529"/>
                <w:spacing w:val="3"/>
                <w:sz w:val="13"/>
                <w:szCs w:val="13"/>
              </w:rPr>
              <w:t>1066.</w:t>
            </w:r>
            <w:r>
              <w:rPr>
                <w:color w:val="212529"/>
                <w:spacing w:val="17"/>
                <w:sz w:val="13"/>
                <w:szCs w:val="13"/>
              </w:rPr>
              <w:t xml:space="preserve"> </w:t>
            </w:r>
            <w:r>
              <w:rPr>
                <w:color w:val="212529"/>
                <w:spacing w:val="3"/>
                <w:sz w:val="13"/>
                <w:szCs w:val="13"/>
              </w:rPr>
              <w:t>87</w:t>
            </w:r>
          </w:p>
        </w:tc>
        <w:tc>
          <w:tcPr>
            <w:tcW w:w="1037" w:type="dxa"/>
            <w:vAlign w:val="top"/>
          </w:tcPr>
          <w:p w14:paraId="2D1381F4">
            <w:pPr>
              <w:pStyle w:val="6"/>
              <w:spacing w:before="136" w:line="186" w:lineRule="auto"/>
              <w:ind w:left="269"/>
              <w:rPr>
                <w:sz w:val="13"/>
                <w:szCs w:val="13"/>
              </w:rPr>
            </w:pPr>
            <w:r>
              <w:rPr>
                <w:color w:val="212529"/>
                <w:spacing w:val="4"/>
                <w:sz w:val="13"/>
                <w:szCs w:val="13"/>
              </w:rPr>
              <w:t>789.</w:t>
            </w:r>
            <w:r>
              <w:rPr>
                <w:color w:val="212529"/>
                <w:spacing w:val="13"/>
                <w:sz w:val="13"/>
                <w:szCs w:val="13"/>
              </w:rPr>
              <w:t xml:space="preserve"> </w:t>
            </w:r>
            <w:r>
              <w:rPr>
                <w:color w:val="212529"/>
                <w:spacing w:val="4"/>
                <w:sz w:val="13"/>
                <w:szCs w:val="13"/>
              </w:rPr>
              <w:t>73</w:t>
            </w:r>
          </w:p>
        </w:tc>
        <w:tc>
          <w:tcPr>
            <w:tcW w:w="1134" w:type="dxa"/>
            <w:vAlign w:val="top"/>
          </w:tcPr>
          <w:p w14:paraId="3D556975">
            <w:pPr>
              <w:pStyle w:val="6"/>
              <w:spacing w:before="135" w:line="187" w:lineRule="auto"/>
              <w:ind w:left="316"/>
              <w:rPr>
                <w:sz w:val="13"/>
                <w:szCs w:val="13"/>
              </w:rPr>
            </w:pPr>
            <w:r>
              <w:rPr>
                <w:color w:val="212529"/>
                <w:spacing w:val="4"/>
                <w:sz w:val="13"/>
                <w:szCs w:val="13"/>
              </w:rPr>
              <w:t>277.</w:t>
            </w:r>
            <w:r>
              <w:rPr>
                <w:color w:val="212529"/>
                <w:spacing w:val="18"/>
                <w:w w:val="102"/>
                <w:sz w:val="13"/>
                <w:szCs w:val="13"/>
              </w:rPr>
              <w:t xml:space="preserve"> </w:t>
            </w:r>
            <w:r>
              <w:rPr>
                <w:color w:val="212529"/>
                <w:spacing w:val="4"/>
                <w:sz w:val="13"/>
                <w:szCs w:val="13"/>
              </w:rPr>
              <w:t>14</w:t>
            </w:r>
          </w:p>
        </w:tc>
        <w:tc>
          <w:tcPr>
            <w:tcW w:w="1021" w:type="dxa"/>
            <w:vAlign w:val="top"/>
          </w:tcPr>
          <w:p w14:paraId="305B559F">
            <w:pPr>
              <w:pStyle w:val="6"/>
            </w:pPr>
          </w:p>
        </w:tc>
      </w:tr>
    </w:tbl>
    <w:p w14:paraId="4378660E">
      <w:pPr>
        <w:pStyle w:val="2"/>
      </w:pPr>
    </w:p>
    <w:p w14:paraId="0880EE20">
      <w:pPr>
        <w:sectPr>
          <w:headerReference r:id="rId20" w:type="default"/>
          <w:footerReference r:id="rId21" w:type="default"/>
          <w:pgSz w:w="11900" w:h="16840"/>
          <w:pgMar w:top="611" w:right="0" w:bottom="311" w:left="0" w:header="357" w:footer="153" w:gutter="0"/>
          <w:cols w:space="720" w:num="1"/>
        </w:sectPr>
      </w:pPr>
    </w:p>
    <w:p w14:paraId="61168A80">
      <w:pPr>
        <w:spacing w:before="118"/>
      </w:pPr>
    </w:p>
    <w:p w14:paraId="3C763EE6">
      <w:pPr>
        <w:spacing w:before="118"/>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14"/>
        <w:gridCol w:w="3294"/>
        <w:gridCol w:w="1480"/>
        <w:gridCol w:w="1361"/>
        <w:gridCol w:w="1409"/>
      </w:tblGrid>
      <w:tr w14:paraId="4105DB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5"/>
            <w:tcBorders>
              <w:top w:val="single" w:color="FFFFFF" w:sz="4" w:space="0"/>
              <w:left w:val="single" w:color="FFFFFF" w:sz="2" w:space="0"/>
              <w:bottom w:val="single" w:color="FFFFFF" w:sz="4" w:space="0"/>
              <w:right w:val="single" w:color="FFFFFF" w:sz="2" w:space="0"/>
            </w:tcBorders>
            <w:vAlign w:val="top"/>
          </w:tcPr>
          <w:p w14:paraId="5474C3F2">
            <w:pPr>
              <w:spacing w:before="84" w:line="234" w:lineRule="auto"/>
              <w:ind w:left="8419"/>
              <w:rPr>
                <w:rFonts w:ascii="宋体" w:hAnsi="宋体" w:eastAsia="宋体" w:cs="宋体"/>
                <w:sz w:val="12"/>
                <w:szCs w:val="12"/>
              </w:rPr>
            </w:pPr>
            <w:r>
              <w:rPr>
                <w:rFonts w:ascii="宋体" w:hAnsi="宋体" w:eastAsia="宋体" w:cs="宋体"/>
                <w:color w:val="212529"/>
                <w:spacing w:val="8"/>
                <w:sz w:val="12"/>
                <w:szCs w:val="12"/>
              </w:rPr>
              <w:t>预算公开表5</w:t>
            </w:r>
          </w:p>
        </w:tc>
      </w:tr>
      <w:tr w14:paraId="6DF181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0EF13428">
            <w:pPr>
              <w:spacing w:before="34" w:line="200" w:lineRule="exact"/>
              <w:ind w:left="2354"/>
              <w:outlineLvl w:val="1"/>
              <w:rPr>
                <w:rFonts w:ascii="微软雅黑" w:hAnsi="微软雅黑" w:eastAsia="微软雅黑" w:cs="微软雅黑"/>
                <w:sz w:val="20"/>
                <w:szCs w:val="20"/>
              </w:rPr>
            </w:pPr>
            <w:bookmarkStart w:id="48" w:name="bookmark41"/>
            <w:bookmarkEnd w:id="48"/>
            <w:bookmarkStart w:id="49" w:name="bookmark10"/>
            <w:bookmarkEnd w:id="49"/>
            <w:r>
              <w:rPr>
                <w:rFonts w:ascii="微软雅黑" w:hAnsi="微软雅黑" w:eastAsia="微软雅黑" w:cs="微软雅黑"/>
                <w:color w:val="212529"/>
                <w:position w:val="-1"/>
                <w:sz w:val="20"/>
                <w:szCs w:val="20"/>
              </w:rPr>
              <w:t>2025年一般公共预算支出预算表</w:t>
            </w:r>
            <w:r>
              <w:rPr>
                <w:rFonts w:ascii="微软雅黑" w:hAnsi="微软雅黑" w:eastAsia="微软雅黑" w:cs="微软雅黑"/>
                <w:color w:val="212529"/>
                <w:spacing w:val="58"/>
                <w:position w:val="-1"/>
                <w:sz w:val="20"/>
                <w:szCs w:val="20"/>
              </w:rPr>
              <w:t xml:space="preserve"> </w:t>
            </w:r>
            <w:r>
              <w:rPr>
                <w:rFonts w:ascii="微软雅黑" w:hAnsi="微软雅黑" w:eastAsia="微软雅黑" w:cs="微软雅黑"/>
                <w:color w:val="212529"/>
                <w:position w:val="-1"/>
                <w:sz w:val="20"/>
                <w:szCs w:val="20"/>
              </w:rPr>
              <w:t>(不含上年结转)</w:t>
            </w:r>
          </w:p>
        </w:tc>
      </w:tr>
      <w:tr w14:paraId="51018C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749" w:type="dxa"/>
            <w:gridSpan w:val="4"/>
            <w:tcBorders>
              <w:top w:val="single" w:color="FFFFFF" w:sz="4" w:space="0"/>
              <w:left w:val="single" w:color="FFFFFF" w:sz="2" w:space="0"/>
              <w:right w:val="single" w:color="FFFFFF" w:sz="2" w:space="0"/>
            </w:tcBorders>
            <w:vAlign w:val="top"/>
          </w:tcPr>
          <w:p w14:paraId="0FEA1B84">
            <w:pPr>
              <w:spacing w:before="79" w:line="234" w:lineRule="auto"/>
              <w:ind w:left="9"/>
              <w:rPr>
                <w:rFonts w:ascii="宋体" w:hAnsi="宋体" w:eastAsia="宋体" w:cs="宋体"/>
                <w:sz w:val="12"/>
                <w:szCs w:val="12"/>
              </w:rPr>
            </w:pPr>
            <w:r>
              <w:rPr>
                <w:rFonts w:ascii="宋体" w:hAnsi="宋体" w:eastAsia="宋体" w:cs="宋体"/>
                <w:color w:val="212529"/>
                <w:spacing w:val="9"/>
                <w:sz w:val="12"/>
                <w:szCs w:val="12"/>
              </w:rPr>
              <w:t>部门名称：长治高新区漳泽工业园事业服务中心</w:t>
            </w:r>
          </w:p>
        </w:tc>
        <w:tc>
          <w:tcPr>
            <w:tcW w:w="1409" w:type="dxa"/>
            <w:tcBorders>
              <w:top w:val="single" w:color="FFFFFF" w:sz="4" w:space="0"/>
              <w:left w:val="single" w:color="FFFFFF" w:sz="2" w:space="0"/>
              <w:right w:val="single" w:color="FFFFFF" w:sz="2" w:space="0"/>
            </w:tcBorders>
            <w:vAlign w:val="top"/>
          </w:tcPr>
          <w:p w14:paraId="70611813">
            <w:pPr>
              <w:spacing w:before="79" w:line="235" w:lineRule="auto"/>
              <w:ind w:left="736"/>
              <w:rPr>
                <w:rFonts w:ascii="宋体" w:hAnsi="宋体" w:eastAsia="宋体" w:cs="宋体"/>
                <w:sz w:val="12"/>
                <w:szCs w:val="12"/>
              </w:rPr>
            </w:pPr>
            <w:r>
              <w:rPr>
                <w:rFonts w:ascii="宋体" w:hAnsi="宋体" w:eastAsia="宋体" w:cs="宋体"/>
                <w:color w:val="212529"/>
                <w:spacing w:val="8"/>
                <w:sz w:val="12"/>
                <w:szCs w:val="12"/>
              </w:rPr>
              <w:t>单位：万元</w:t>
            </w:r>
          </w:p>
        </w:tc>
      </w:tr>
      <w:tr w14:paraId="28423E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908" w:type="dxa"/>
            <w:gridSpan w:val="2"/>
            <w:vAlign w:val="top"/>
          </w:tcPr>
          <w:p w14:paraId="47E0CDD9">
            <w:pPr>
              <w:spacing w:before="67" w:line="153" w:lineRule="exact"/>
              <w:ind w:left="2282"/>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4250" w:type="dxa"/>
            <w:gridSpan w:val="3"/>
            <w:vAlign w:val="top"/>
          </w:tcPr>
          <w:p w14:paraId="591966A1">
            <w:pPr>
              <w:spacing w:before="64" w:line="157" w:lineRule="exact"/>
              <w:ind w:left="1632"/>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40E1FE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14" w:type="dxa"/>
            <w:vAlign w:val="top"/>
          </w:tcPr>
          <w:p w14:paraId="2C16CF0D">
            <w:pPr>
              <w:spacing w:before="65" w:line="156" w:lineRule="exact"/>
              <w:ind w:left="467"/>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3294" w:type="dxa"/>
            <w:vAlign w:val="top"/>
          </w:tcPr>
          <w:p w14:paraId="2B3D6421">
            <w:pPr>
              <w:spacing w:before="65" w:line="156" w:lineRule="exact"/>
              <w:ind w:left="1309"/>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480" w:type="dxa"/>
            <w:vAlign w:val="top"/>
          </w:tcPr>
          <w:p w14:paraId="173C5196">
            <w:pPr>
              <w:spacing w:before="66" w:line="154" w:lineRule="exact"/>
              <w:ind w:left="572"/>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361" w:type="dxa"/>
            <w:vAlign w:val="top"/>
          </w:tcPr>
          <w:p w14:paraId="5101D110">
            <w:pPr>
              <w:spacing w:before="64" w:line="157" w:lineRule="exact"/>
              <w:ind w:left="347"/>
              <w:outlineLvl w:val="1"/>
              <w:rPr>
                <w:rFonts w:ascii="微软雅黑" w:hAnsi="微软雅黑" w:eastAsia="微软雅黑" w:cs="微软雅黑"/>
                <w:sz w:val="15"/>
                <w:szCs w:val="15"/>
              </w:rPr>
            </w:pPr>
            <w:bookmarkStart w:id="50" w:name="bookmark11"/>
            <w:bookmarkEnd w:id="50"/>
            <w:r>
              <w:rPr>
                <w:rFonts w:ascii="微软雅黑" w:hAnsi="微软雅黑" w:eastAsia="微软雅黑" w:cs="微软雅黑"/>
                <w:color w:val="212529"/>
                <w:spacing w:val="8"/>
                <w:position w:val="-1"/>
                <w:sz w:val="15"/>
                <w:szCs w:val="15"/>
              </w:rPr>
              <w:t>基本支出</w:t>
            </w:r>
          </w:p>
        </w:tc>
        <w:tc>
          <w:tcPr>
            <w:tcW w:w="1409" w:type="dxa"/>
            <w:vAlign w:val="top"/>
          </w:tcPr>
          <w:p w14:paraId="3086850E">
            <w:pPr>
              <w:spacing w:before="65" w:line="156" w:lineRule="exact"/>
              <w:ind w:left="371"/>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2C1EF2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908" w:type="dxa"/>
            <w:gridSpan w:val="2"/>
            <w:vAlign w:val="top"/>
          </w:tcPr>
          <w:p w14:paraId="476675D7">
            <w:pPr>
              <w:spacing w:before="66" w:line="155" w:lineRule="exact"/>
              <w:ind w:left="228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480" w:type="dxa"/>
            <w:vAlign w:val="top"/>
          </w:tcPr>
          <w:p w14:paraId="11718A97">
            <w:pPr>
              <w:pStyle w:val="6"/>
              <w:spacing w:before="87" w:line="186" w:lineRule="auto"/>
              <w:ind w:left="976"/>
              <w:rPr>
                <w:sz w:val="13"/>
                <w:szCs w:val="13"/>
              </w:rPr>
            </w:pPr>
            <w:r>
              <w:rPr>
                <w:color w:val="212529"/>
                <w:spacing w:val="4"/>
                <w:sz w:val="13"/>
                <w:szCs w:val="13"/>
              </w:rPr>
              <w:t>789.</w:t>
            </w:r>
            <w:r>
              <w:rPr>
                <w:color w:val="212529"/>
                <w:spacing w:val="13"/>
                <w:sz w:val="13"/>
                <w:szCs w:val="13"/>
              </w:rPr>
              <w:t xml:space="preserve"> </w:t>
            </w:r>
            <w:r>
              <w:rPr>
                <w:color w:val="212529"/>
                <w:spacing w:val="4"/>
                <w:sz w:val="13"/>
                <w:szCs w:val="13"/>
              </w:rPr>
              <w:t>73</w:t>
            </w:r>
          </w:p>
        </w:tc>
        <w:tc>
          <w:tcPr>
            <w:tcW w:w="1361" w:type="dxa"/>
            <w:vAlign w:val="top"/>
          </w:tcPr>
          <w:p w14:paraId="05353971">
            <w:pPr>
              <w:pStyle w:val="6"/>
              <w:spacing w:before="87" w:line="186" w:lineRule="auto"/>
              <w:ind w:left="856"/>
              <w:rPr>
                <w:sz w:val="13"/>
                <w:szCs w:val="13"/>
              </w:rPr>
            </w:pPr>
            <w:r>
              <w:rPr>
                <w:color w:val="212529"/>
                <w:spacing w:val="5"/>
                <w:sz w:val="13"/>
                <w:szCs w:val="13"/>
              </w:rPr>
              <w:t>246.</w:t>
            </w:r>
            <w:r>
              <w:rPr>
                <w:color w:val="212529"/>
                <w:spacing w:val="9"/>
                <w:sz w:val="13"/>
                <w:szCs w:val="13"/>
              </w:rPr>
              <w:t xml:space="preserve"> </w:t>
            </w:r>
            <w:r>
              <w:rPr>
                <w:color w:val="212529"/>
                <w:spacing w:val="5"/>
                <w:sz w:val="13"/>
                <w:szCs w:val="13"/>
              </w:rPr>
              <w:t>73</w:t>
            </w:r>
          </w:p>
        </w:tc>
        <w:tc>
          <w:tcPr>
            <w:tcW w:w="1409" w:type="dxa"/>
            <w:vAlign w:val="top"/>
          </w:tcPr>
          <w:p w14:paraId="380A8DE7">
            <w:pPr>
              <w:pStyle w:val="6"/>
              <w:spacing w:before="87" w:line="172" w:lineRule="auto"/>
              <w:ind w:left="899"/>
              <w:rPr>
                <w:sz w:val="14"/>
                <w:szCs w:val="14"/>
              </w:rPr>
            </w:pPr>
            <w:r>
              <w:rPr>
                <w:color w:val="212529"/>
                <w:sz w:val="14"/>
                <w:szCs w:val="14"/>
              </w:rPr>
              <w:t>543.</w:t>
            </w:r>
            <w:r>
              <w:rPr>
                <w:color w:val="212529"/>
                <w:spacing w:val="6"/>
                <w:sz w:val="14"/>
                <w:szCs w:val="14"/>
              </w:rPr>
              <w:t xml:space="preserve"> </w:t>
            </w:r>
            <w:r>
              <w:rPr>
                <w:color w:val="212529"/>
                <w:sz w:val="14"/>
                <w:szCs w:val="14"/>
              </w:rPr>
              <w:t>00</w:t>
            </w:r>
          </w:p>
        </w:tc>
      </w:tr>
      <w:tr w14:paraId="018917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14" w:type="dxa"/>
            <w:vAlign w:val="top"/>
          </w:tcPr>
          <w:p w14:paraId="1E35CE49">
            <w:pPr>
              <w:spacing w:before="92" w:line="191" w:lineRule="auto"/>
              <w:ind w:left="8"/>
              <w:rPr>
                <w:rFonts w:ascii="宋体" w:hAnsi="宋体" w:eastAsia="宋体" w:cs="宋体"/>
                <w:sz w:val="15"/>
                <w:szCs w:val="15"/>
              </w:rPr>
            </w:pPr>
            <w:r>
              <w:rPr>
                <w:rFonts w:ascii="宋体" w:hAnsi="宋体" w:eastAsia="宋体" w:cs="宋体"/>
                <w:color w:val="212529"/>
                <w:spacing w:val="2"/>
                <w:sz w:val="15"/>
                <w:szCs w:val="15"/>
              </w:rPr>
              <w:t>201</w:t>
            </w:r>
          </w:p>
        </w:tc>
        <w:tc>
          <w:tcPr>
            <w:tcW w:w="3294" w:type="dxa"/>
            <w:vAlign w:val="top"/>
          </w:tcPr>
          <w:p w14:paraId="3FE655A5">
            <w:pPr>
              <w:spacing w:before="69" w:line="229" w:lineRule="auto"/>
              <w:ind w:left="3"/>
              <w:rPr>
                <w:rFonts w:ascii="宋体" w:hAnsi="宋体" w:eastAsia="宋体" w:cs="宋体"/>
                <w:sz w:val="15"/>
                <w:szCs w:val="15"/>
              </w:rPr>
            </w:pPr>
            <w:r>
              <w:rPr>
                <w:rFonts w:ascii="宋体" w:hAnsi="宋体" w:eastAsia="宋体" w:cs="宋体"/>
                <w:color w:val="212529"/>
                <w:spacing w:val="10"/>
                <w:sz w:val="15"/>
                <w:szCs w:val="15"/>
              </w:rPr>
              <w:t>一般公共服务支出</w:t>
            </w:r>
          </w:p>
        </w:tc>
        <w:tc>
          <w:tcPr>
            <w:tcW w:w="1480" w:type="dxa"/>
            <w:vAlign w:val="top"/>
          </w:tcPr>
          <w:p w14:paraId="4FA95BA9">
            <w:pPr>
              <w:spacing w:before="93" w:line="190" w:lineRule="auto"/>
              <w:ind w:right="17"/>
              <w:jc w:val="right"/>
              <w:rPr>
                <w:rFonts w:ascii="宋体" w:hAnsi="宋体" w:eastAsia="宋体" w:cs="宋体"/>
                <w:sz w:val="15"/>
                <w:szCs w:val="15"/>
              </w:rPr>
            </w:pPr>
            <w:r>
              <w:rPr>
                <w:rFonts w:ascii="宋体" w:hAnsi="宋体" w:eastAsia="宋体" w:cs="宋体"/>
                <w:color w:val="212529"/>
                <w:spacing w:val="4"/>
                <w:sz w:val="15"/>
                <w:szCs w:val="15"/>
              </w:rPr>
              <w:t>789.73</w:t>
            </w:r>
          </w:p>
        </w:tc>
        <w:tc>
          <w:tcPr>
            <w:tcW w:w="1361" w:type="dxa"/>
            <w:vAlign w:val="top"/>
          </w:tcPr>
          <w:p w14:paraId="0F90E3A2">
            <w:pPr>
              <w:spacing w:before="93" w:line="190" w:lineRule="auto"/>
              <w:ind w:right="17"/>
              <w:jc w:val="right"/>
              <w:rPr>
                <w:rFonts w:ascii="宋体" w:hAnsi="宋体" w:eastAsia="宋体" w:cs="宋体"/>
                <w:sz w:val="15"/>
                <w:szCs w:val="15"/>
              </w:rPr>
            </w:pPr>
            <w:r>
              <w:rPr>
                <w:rFonts w:ascii="宋体" w:hAnsi="宋体" w:eastAsia="宋体" w:cs="宋体"/>
                <w:color w:val="212529"/>
                <w:spacing w:val="4"/>
                <w:sz w:val="15"/>
                <w:szCs w:val="15"/>
              </w:rPr>
              <w:t>246.73</w:t>
            </w:r>
          </w:p>
        </w:tc>
        <w:tc>
          <w:tcPr>
            <w:tcW w:w="1409" w:type="dxa"/>
            <w:vAlign w:val="top"/>
          </w:tcPr>
          <w:p w14:paraId="65C60F7A">
            <w:pPr>
              <w:spacing w:before="93" w:line="190" w:lineRule="auto"/>
              <w:ind w:left="899"/>
              <w:rPr>
                <w:rFonts w:ascii="宋体" w:hAnsi="宋体" w:eastAsia="宋体" w:cs="宋体"/>
                <w:sz w:val="15"/>
                <w:szCs w:val="15"/>
              </w:rPr>
            </w:pPr>
            <w:r>
              <w:rPr>
                <w:rFonts w:ascii="宋体" w:hAnsi="宋体" w:eastAsia="宋体" w:cs="宋体"/>
                <w:color w:val="212529"/>
                <w:spacing w:val="4"/>
                <w:sz w:val="15"/>
                <w:szCs w:val="15"/>
              </w:rPr>
              <w:t>543.00</w:t>
            </w:r>
          </w:p>
        </w:tc>
      </w:tr>
      <w:tr w14:paraId="173480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14" w:type="dxa"/>
            <w:vAlign w:val="top"/>
          </w:tcPr>
          <w:p w14:paraId="50EEAB78">
            <w:pPr>
              <w:spacing w:before="93" w:line="191" w:lineRule="auto"/>
              <w:ind w:left="8"/>
              <w:rPr>
                <w:rFonts w:ascii="宋体" w:hAnsi="宋体" w:eastAsia="宋体" w:cs="宋体"/>
                <w:sz w:val="15"/>
                <w:szCs w:val="15"/>
              </w:rPr>
            </w:pPr>
            <w:r>
              <w:rPr>
                <w:rFonts w:ascii="宋体" w:hAnsi="宋体" w:eastAsia="宋体" w:cs="宋体"/>
                <w:color w:val="212529"/>
                <w:spacing w:val="4"/>
                <w:sz w:val="15"/>
                <w:szCs w:val="15"/>
              </w:rPr>
              <w:t>20103</w:t>
            </w:r>
          </w:p>
        </w:tc>
        <w:tc>
          <w:tcPr>
            <w:tcW w:w="3294" w:type="dxa"/>
            <w:vAlign w:val="top"/>
          </w:tcPr>
          <w:p w14:paraId="1165277E">
            <w:pPr>
              <w:spacing w:before="69" w:line="228" w:lineRule="auto"/>
              <w:ind w:left="2"/>
              <w:rPr>
                <w:rFonts w:ascii="宋体" w:hAnsi="宋体" w:eastAsia="宋体" w:cs="宋体"/>
                <w:sz w:val="15"/>
                <w:szCs w:val="15"/>
              </w:rPr>
            </w:pPr>
            <w:r>
              <w:rPr>
                <w:rFonts w:ascii="宋体" w:hAnsi="宋体" w:eastAsia="宋体" w:cs="宋体"/>
                <w:color w:val="212529"/>
                <w:spacing w:val="11"/>
                <w:sz w:val="15"/>
                <w:szCs w:val="15"/>
              </w:rPr>
              <w:t>政府办公厅（室）及相关机构事务</w:t>
            </w:r>
          </w:p>
        </w:tc>
        <w:tc>
          <w:tcPr>
            <w:tcW w:w="1480" w:type="dxa"/>
            <w:vAlign w:val="top"/>
          </w:tcPr>
          <w:p w14:paraId="1FD44F2B">
            <w:pPr>
              <w:spacing w:before="94" w:line="190" w:lineRule="auto"/>
              <w:ind w:right="17"/>
              <w:jc w:val="right"/>
              <w:rPr>
                <w:rFonts w:ascii="宋体" w:hAnsi="宋体" w:eastAsia="宋体" w:cs="宋体"/>
                <w:sz w:val="15"/>
                <w:szCs w:val="15"/>
              </w:rPr>
            </w:pPr>
            <w:r>
              <w:rPr>
                <w:rFonts w:ascii="宋体" w:hAnsi="宋体" w:eastAsia="宋体" w:cs="宋体"/>
                <w:color w:val="212529"/>
                <w:spacing w:val="4"/>
                <w:sz w:val="15"/>
                <w:szCs w:val="15"/>
              </w:rPr>
              <w:t>609.76</w:t>
            </w:r>
          </w:p>
        </w:tc>
        <w:tc>
          <w:tcPr>
            <w:tcW w:w="1361" w:type="dxa"/>
            <w:vAlign w:val="top"/>
          </w:tcPr>
          <w:p w14:paraId="29217C34">
            <w:pPr>
              <w:spacing w:before="94" w:line="190" w:lineRule="auto"/>
              <w:ind w:right="17"/>
              <w:jc w:val="right"/>
              <w:rPr>
                <w:rFonts w:ascii="宋体" w:hAnsi="宋体" w:eastAsia="宋体" w:cs="宋体"/>
                <w:sz w:val="15"/>
                <w:szCs w:val="15"/>
              </w:rPr>
            </w:pPr>
            <w:r>
              <w:rPr>
                <w:rFonts w:ascii="宋体" w:hAnsi="宋体" w:eastAsia="宋体" w:cs="宋体"/>
                <w:color w:val="212529"/>
                <w:spacing w:val="4"/>
                <w:sz w:val="15"/>
                <w:szCs w:val="15"/>
              </w:rPr>
              <w:t>246.73</w:t>
            </w:r>
          </w:p>
        </w:tc>
        <w:tc>
          <w:tcPr>
            <w:tcW w:w="1409" w:type="dxa"/>
            <w:vAlign w:val="top"/>
          </w:tcPr>
          <w:p w14:paraId="2375D086">
            <w:pPr>
              <w:spacing w:before="94" w:line="190" w:lineRule="auto"/>
              <w:ind w:left="899"/>
              <w:rPr>
                <w:rFonts w:ascii="宋体" w:hAnsi="宋体" w:eastAsia="宋体" w:cs="宋体"/>
                <w:sz w:val="15"/>
                <w:szCs w:val="15"/>
              </w:rPr>
            </w:pPr>
            <w:r>
              <w:rPr>
                <w:rFonts w:ascii="宋体" w:hAnsi="宋体" w:eastAsia="宋体" w:cs="宋体"/>
                <w:color w:val="212529"/>
                <w:spacing w:val="4"/>
                <w:sz w:val="15"/>
                <w:szCs w:val="15"/>
              </w:rPr>
              <w:t>363.03</w:t>
            </w:r>
          </w:p>
        </w:tc>
      </w:tr>
      <w:tr w14:paraId="724FD5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14" w:type="dxa"/>
            <w:vAlign w:val="top"/>
          </w:tcPr>
          <w:p w14:paraId="4EBEA90C">
            <w:pPr>
              <w:spacing w:before="94" w:line="191" w:lineRule="auto"/>
              <w:ind w:left="8"/>
              <w:rPr>
                <w:rFonts w:ascii="宋体" w:hAnsi="宋体" w:eastAsia="宋体" w:cs="宋体"/>
                <w:sz w:val="15"/>
                <w:szCs w:val="15"/>
              </w:rPr>
            </w:pPr>
            <w:r>
              <w:rPr>
                <w:rFonts w:ascii="宋体" w:hAnsi="宋体" w:eastAsia="宋体" w:cs="宋体"/>
                <w:color w:val="212529"/>
                <w:spacing w:val="4"/>
                <w:sz w:val="15"/>
                <w:szCs w:val="15"/>
              </w:rPr>
              <w:t>2010350</w:t>
            </w:r>
          </w:p>
        </w:tc>
        <w:tc>
          <w:tcPr>
            <w:tcW w:w="3294" w:type="dxa"/>
            <w:vAlign w:val="top"/>
          </w:tcPr>
          <w:p w14:paraId="47CB5657">
            <w:pPr>
              <w:spacing w:before="70" w:line="230" w:lineRule="auto"/>
              <w:ind w:left="3"/>
              <w:rPr>
                <w:rFonts w:ascii="宋体" w:hAnsi="宋体" w:eastAsia="宋体" w:cs="宋体"/>
                <w:sz w:val="15"/>
                <w:szCs w:val="15"/>
              </w:rPr>
            </w:pPr>
            <w:r>
              <w:rPr>
                <w:rFonts w:ascii="宋体" w:hAnsi="宋体" w:eastAsia="宋体" w:cs="宋体"/>
                <w:color w:val="212529"/>
                <w:spacing w:val="9"/>
                <w:sz w:val="15"/>
                <w:szCs w:val="15"/>
              </w:rPr>
              <w:t>事业运行</w:t>
            </w:r>
          </w:p>
        </w:tc>
        <w:tc>
          <w:tcPr>
            <w:tcW w:w="1480" w:type="dxa"/>
            <w:vAlign w:val="top"/>
          </w:tcPr>
          <w:p w14:paraId="08B79999">
            <w:pPr>
              <w:spacing w:before="95" w:line="190" w:lineRule="auto"/>
              <w:ind w:right="17"/>
              <w:jc w:val="right"/>
              <w:rPr>
                <w:rFonts w:ascii="宋体" w:hAnsi="宋体" w:eastAsia="宋体" w:cs="宋体"/>
                <w:sz w:val="15"/>
                <w:szCs w:val="15"/>
              </w:rPr>
            </w:pPr>
            <w:r>
              <w:rPr>
                <w:rFonts w:ascii="宋体" w:hAnsi="宋体" w:eastAsia="宋体" w:cs="宋体"/>
                <w:color w:val="212529"/>
                <w:spacing w:val="4"/>
                <w:sz w:val="15"/>
                <w:szCs w:val="15"/>
              </w:rPr>
              <w:t>246.73</w:t>
            </w:r>
          </w:p>
        </w:tc>
        <w:tc>
          <w:tcPr>
            <w:tcW w:w="1361" w:type="dxa"/>
            <w:vAlign w:val="top"/>
          </w:tcPr>
          <w:p w14:paraId="470AEF1E">
            <w:pPr>
              <w:spacing w:before="95" w:line="190" w:lineRule="auto"/>
              <w:ind w:right="17"/>
              <w:jc w:val="right"/>
              <w:rPr>
                <w:rFonts w:ascii="宋体" w:hAnsi="宋体" w:eastAsia="宋体" w:cs="宋体"/>
                <w:sz w:val="15"/>
                <w:szCs w:val="15"/>
              </w:rPr>
            </w:pPr>
            <w:r>
              <w:rPr>
                <w:rFonts w:ascii="宋体" w:hAnsi="宋体" w:eastAsia="宋体" w:cs="宋体"/>
                <w:color w:val="212529"/>
                <w:spacing w:val="4"/>
                <w:sz w:val="15"/>
                <w:szCs w:val="15"/>
              </w:rPr>
              <w:t>246.73</w:t>
            </w:r>
          </w:p>
        </w:tc>
        <w:tc>
          <w:tcPr>
            <w:tcW w:w="1409" w:type="dxa"/>
            <w:vAlign w:val="top"/>
          </w:tcPr>
          <w:p w14:paraId="3F248D7D">
            <w:pPr>
              <w:pStyle w:val="6"/>
            </w:pPr>
          </w:p>
        </w:tc>
      </w:tr>
      <w:tr w14:paraId="6DBBE7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14" w:type="dxa"/>
            <w:vAlign w:val="top"/>
          </w:tcPr>
          <w:p w14:paraId="035B701E">
            <w:pPr>
              <w:spacing w:before="95" w:line="191" w:lineRule="auto"/>
              <w:ind w:left="8"/>
              <w:rPr>
                <w:rFonts w:ascii="宋体" w:hAnsi="宋体" w:eastAsia="宋体" w:cs="宋体"/>
                <w:sz w:val="15"/>
                <w:szCs w:val="15"/>
              </w:rPr>
            </w:pPr>
            <w:r>
              <w:rPr>
                <w:rFonts w:ascii="宋体" w:hAnsi="宋体" w:eastAsia="宋体" w:cs="宋体"/>
                <w:color w:val="212529"/>
                <w:spacing w:val="4"/>
                <w:sz w:val="15"/>
                <w:szCs w:val="15"/>
              </w:rPr>
              <w:t>2010399</w:t>
            </w:r>
          </w:p>
        </w:tc>
        <w:tc>
          <w:tcPr>
            <w:tcW w:w="3294" w:type="dxa"/>
            <w:vAlign w:val="top"/>
          </w:tcPr>
          <w:p w14:paraId="02BD3402">
            <w:pPr>
              <w:spacing w:before="71" w:line="228" w:lineRule="auto"/>
              <w:ind w:left="1"/>
              <w:rPr>
                <w:rFonts w:ascii="宋体" w:hAnsi="宋体" w:eastAsia="宋体" w:cs="宋体"/>
                <w:sz w:val="15"/>
                <w:szCs w:val="15"/>
              </w:rPr>
            </w:pPr>
            <w:r>
              <w:rPr>
                <w:rFonts w:ascii="宋体" w:hAnsi="宋体" w:eastAsia="宋体" w:cs="宋体"/>
                <w:color w:val="212529"/>
                <w:spacing w:val="11"/>
                <w:sz w:val="15"/>
                <w:szCs w:val="15"/>
              </w:rPr>
              <w:t>其他政府办公厅（室）及相关机构事务支出</w:t>
            </w:r>
          </w:p>
        </w:tc>
        <w:tc>
          <w:tcPr>
            <w:tcW w:w="1480" w:type="dxa"/>
            <w:vAlign w:val="top"/>
          </w:tcPr>
          <w:p w14:paraId="2F820A64">
            <w:pPr>
              <w:spacing w:before="95" w:line="190" w:lineRule="auto"/>
              <w:ind w:right="17"/>
              <w:jc w:val="right"/>
              <w:rPr>
                <w:rFonts w:ascii="宋体" w:hAnsi="宋体" w:eastAsia="宋体" w:cs="宋体"/>
                <w:sz w:val="15"/>
                <w:szCs w:val="15"/>
              </w:rPr>
            </w:pPr>
            <w:r>
              <w:rPr>
                <w:rFonts w:ascii="宋体" w:hAnsi="宋体" w:eastAsia="宋体" w:cs="宋体"/>
                <w:color w:val="212529"/>
                <w:spacing w:val="4"/>
                <w:sz w:val="15"/>
                <w:szCs w:val="15"/>
              </w:rPr>
              <w:t>363.03</w:t>
            </w:r>
          </w:p>
        </w:tc>
        <w:tc>
          <w:tcPr>
            <w:tcW w:w="1361" w:type="dxa"/>
            <w:vAlign w:val="top"/>
          </w:tcPr>
          <w:p w14:paraId="7B14124C">
            <w:pPr>
              <w:pStyle w:val="6"/>
            </w:pPr>
          </w:p>
        </w:tc>
        <w:tc>
          <w:tcPr>
            <w:tcW w:w="1409" w:type="dxa"/>
            <w:vAlign w:val="top"/>
          </w:tcPr>
          <w:p w14:paraId="48C3C60A">
            <w:pPr>
              <w:spacing w:before="95" w:line="190" w:lineRule="auto"/>
              <w:ind w:left="899"/>
              <w:rPr>
                <w:rFonts w:ascii="宋体" w:hAnsi="宋体" w:eastAsia="宋体" w:cs="宋体"/>
                <w:sz w:val="15"/>
                <w:szCs w:val="15"/>
              </w:rPr>
            </w:pPr>
            <w:r>
              <w:rPr>
                <w:rFonts w:ascii="宋体" w:hAnsi="宋体" w:eastAsia="宋体" w:cs="宋体"/>
                <w:color w:val="212529"/>
                <w:spacing w:val="4"/>
                <w:sz w:val="15"/>
                <w:szCs w:val="15"/>
              </w:rPr>
              <w:t>363.03</w:t>
            </w:r>
          </w:p>
        </w:tc>
      </w:tr>
      <w:tr w14:paraId="6B49FB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14" w:type="dxa"/>
            <w:vAlign w:val="top"/>
          </w:tcPr>
          <w:p w14:paraId="08C5CBAB">
            <w:pPr>
              <w:spacing w:before="95" w:line="191" w:lineRule="auto"/>
              <w:ind w:left="8"/>
              <w:rPr>
                <w:rFonts w:ascii="宋体" w:hAnsi="宋体" w:eastAsia="宋体" w:cs="宋体"/>
                <w:sz w:val="15"/>
                <w:szCs w:val="15"/>
              </w:rPr>
            </w:pPr>
            <w:r>
              <w:rPr>
                <w:rFonts w:ascii="宋体" w:hAnsi="宋体" w:eastAsia="宋体" w:cs="宋体"/>
                <w:color w:val="212529"/>
                <w:spacing w:val="4"/>
                <w:sz w:val="15"/>
                <w:szCs w:val="15"/>
              </w:rPr>
              <w:t>20105</w:t>
            </w:r>
          </w:p>
        </w:tc>
        <w:tc>
          <w:tcPr>
            <w:tcW w:w="3294" w:type="dxa"/>
            <w:vAlign w:val="top"/>
          </w:tcPr>
          <w:p w14:paraId="1288343D">
            <w:pPr>
              <w:spacing w:before="71" w:line="229" w:lineRule="auto"/>
              <w:ind w:left="3"/>
              <w:rPr>
                <w:rFonts w:ascii="宋体" w:hAnsi="宋体" w:eastAsia="宋体" w:cs="宋体"/>
                <w:sz w:val="15"/>
                <w:szCs w:val="15"/>
              </w:rPr>
            </w:pPr>
            <w:r>
              <w:rPr>
                <w:rFonts w:ascii="宋体" w:hAnsi="宋体" w:eastAsia="宋体" w:cs="宋体"/>
                <w:color w:val="212529"/>
                <w:spacing w:val="10"/>
                <w:sz w:val="15"/>
                <w:szCs w:val="15"/>
              </w:rPr>
              <w:t>统计信息事务</w:t>
            </w:r>
          </w:p>
        </w:tc>
        <w:tc>
          <w:tcPr>
            <w:tcW w:w="1480" w:type="dxa"/>
            <w:vAlign w:val="top"/>
          </w:tcPr>
          <w:p w14:paraId="5959FFCE">
            <w:pPr>
              <w:spacing w:before="96" w:line="190" w:lineRule="auto"/>
              <w:ind w:right="17"/>
              <w:jc w:val="right"/>
              <w:rPr>
                <w:rFonts w:ascii="宋体" w:hAnsi="宋体" w:eastAsia="宋体" w:cs="宋体"/>
                <w:sz w:val="15"/>
                <w:szCs w:val="15"/>
              </w:rPr>
            </w:pPr>
            <w:r>
              <w:rPr>
                <w:rFonts w:ascii="宋体" w:hAnsi="宋体" w:eastAsia="宋体" w:cs="宋体"/>
                <w:color w:val="212529"/>
                <w:spacing w:val="4"/>
                <w:sz w:val="15"/>
                <w:szCs w:val="15"/>
              </w:rPr>
              <w:t>42.97</w:t>
            </w:r>
          </w:p>
        </w:tc>
        <w:tc>
          <w:tcPr>
            <w:tcW w:w="1361" w:type="dxa"/>
            <w:vAlign w:val="top"/>
          </w:tcPr>
          <w:p w14:paraId="31F7E3EC">
            <w:pPr>
              <w:pStyle w:val="6"/>
            </w:pPr>
          </w:p>
        </w:tc>
        <w:tc>
          <w:tcPr>
            <w:tcW w:w="1409" w:type="dxa"/>
            <w:vAlign w:val="top"/>
          </w:tcPr>
          <w:p w14:paraId="10F94D97">
            <w:pPr>
              <w:spacing w:before="96" w:line="190" w:lineRule="auto"/>
              <w:ind w:left="976"/>
              <w:rPr>
                <w:rFonts w:ascii="宋体" w:hAnsi="宋体" w:eastAsia="宋体" w:cs="宋体"/>
                <w:sz w:val="15"/>
                <w:szCs w:val="15"/>
              </w:rPr>
            </w:pPr>
            <w:r>
              <w:rPr>
                <w:rFonts w:ascii="宋体" w:hAnsi="宋体" w:eastAsia="宋体" w:cs="宋体"/>
                <w:color w:val="212529"/>
                <w:spacing w:val="4"/>
                <w:sz w:val="15"/>
                <w:szCs w:val="15"/>
              </w:rPr>
              <w:t>42.97</w:t>
            </w:r>
          </w:p>
        </w:tc>
      </w:tr>
      <w:tr w14:paraId="6DB8E4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14" w:type="dxa"/>
            <w:vAlign w:val="top"/>
          </w:tcPr>
          <w:p w14:paraId="508B235F">
            <w:pPr>
              <w:spacing w:before="96" w:line="191" w:lineRule="auto"/>
              <w:ind w:left="8"/>
              <w:rPr>
                <w:rFonts w:ascii="宋体" w:hAnsi="宋体" w:eastAsia="宋体" w:cs="宋体"/>
                <w:sz w:val="15"/>
                <w:szCs w:val="15"/>
              </w:rPr>
            </w:pPr>
            <w:r>
              <w:rPr>
                <w:rFonts w:ascii="宋体" w:hAnsi="宋体" w:eastAsia="宋体" w:cs="宋体"/>
                <w:color w:val="212529"/>
                <w:spacing w:val="4"/>
                <w:sz w:val="15"/>
                <w:szCs w:val="15"/>
              </w:rPr>
              <w:t>2010507</w:t>
            </w:r>
          </w:p>
        </w:tc>
        <w:tc>
          <w:tcPr>
            <w:tcW w:w="3294" w:type="dxa"/>
            <w:vAlign w:val="top"/>
          </w:tcPr>
          <w:p w14:paraId="30C25863">
            <w:pPr>
              <w:spacing w:before="72" w:line="229" w:lineRule="auto"/>
              <w:ind w:left="2"/>
              <w:rPr>
                <w:rFonts w:ascii="宋体" w:hAnsi="宋体" w:eastAsia="宋体" w:cs="宋体"/>
                <w:sz w:val="15"/>
                <w:szCs w:val="15"/>
              </w:rPr>
            </w:pPr>
            <w:r>
              <w:rPr>
                <w:rFonts w:ascii="宋体" w:hAnsi="宋体" w:eastAsia="宋体" w:cs="宋体"/>
                <w:color w:val="212529"/>
                <w:spacing w:val="10"/>
                <w:sz w:val="15"/>
                <w:szCs w:val="15"/>
              </w:rPr>
              <w:t>专项普查活动</w:t>
            </w:r>
          </w:p>
        </w:tc>
        <w:tc>
          <w:tcPr>
            <w:tcW w:w="1480" w:type="dxa"/>
            <w:vAlign w:val="top"/>
          </w:tcPr>
          <w:p w14:paraId="28500079">
            <w:pPr>
              <w:spacing w:before="97" w:line="190" w:lineRule="auto"/>
              <w:ind w:right="17"/>
              <w:jc w:val="right"/>
              <w:rPr>
                <w:rFonts w:ascii="宋体" w:hAnsi="宋体" w:eastAsia="宋体" w:cs="宋体"/>
                <w:sz w:val="15"/>
                <w:szCs w:val="15"/>
              </w:rPr>
            </w:pPr>
            <w:r>
              <w:rPr>
                <w:rFonts w:ascii="宋体" w:hAnsi="宋体" w:eastAsia="宋体" w:cs="宋体"/>
                <w:color w:val="212529"/>
                <w:spacing w:val="4"/>
                <w:sz w:val="15"/>
                <w:szCs w:val="15"/>
              </w:rPr>
              <w:t>42.97</w:t>
            </w:r>
          </w:p>
        </w:tc>
        <w:tc>
          <w:tcPr>
            <w:tcW w:w="1361" w:type="dxa"/>
            <w:vAlign w:val="top"/>
          </w:tcPr>
          <w:p w14:paraId="45C64C96">
            <w:pPr>
              <w:pStyle w:val="6"/>
            </w:pPr>
          </w:p>
        </w:tc>
        <w:tc>
          <w:tcPr>
            <w:tcW w:w="1409" w:type="dxa"/>
            <w:vAlign w:val="top"/>
          </w:tcPr>
          <w:p w14:paraId="01788147">
            <w:pPr>
              <w:spacing w:before="97" w:line="190" w:lineRule="auto"/>
              <w:ind w:left="976"/>
              <w:rPr>
                <w:rFonts w:ascii="宋体" w:hAnsi="宋体" w:eastAsia="宋体" w:cs="宋体"/>
                <w:sz w:val="15"/>
                <w:szCs w:val="15"/>
              </w:rPr>
            </w:pPr>
            <w:r>
              <w:rPr>
                <w:rFonts w:ascii="宋体" w:hAnsi="宋体" w:eastAsia="宋体" w:cs="宋体"/>
                <w:color w:val="212529"/>
                <w:spacing w:val="4"/>
                <w:sz w:val="15"/>
                <w:szCs w:val="15"/>
              </w:rPr>
              <w:t>42.97</w:t>
            </w:r>
          </w:p>
        </w:tc>
      </w:tr>
      <w:tr w14:paraId="2E0AFD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14" w:type="dxa"/>
            <w:vAlign w:val="top"/>
          </w:tcPr>
          <w:p w14:paraId="4401A778">
            <w:pPr>
              <w:spacing w:before="97" w:line="191" w:lineRule="auto"/>
              <w:ind w:left="8"/>
              <w:rPr>
                <w:rFonts w:ascii="宋体" w:hAnsi="宋体" w:eastAsia="宋体" w:cs="宋体"/>
                <w:sz w:val="15"/>
                <w:szCs w:val="15"/>
              </w:rPr>
            </w:pPr>
            <w:r>
              <w:rPr>
                <w:rFonts w:ascii="宋体" w:hAnsi="宋体" w:eastAsia="宋体" w:cs="宋体"/>
                <w:color w:val="212529"/>
                <w:spacing w:val="4"/>
                <w:sz w:val="15"/>
                <w:szCs w:val="15"/>
              </w:rPr>
              <w:t>20113</w:t>
            </w:r>
          </w:p>
        </w:tc>
        <w:tc>
          <w:tcPr>
            <w:tcW w:w="3294" w:type="dxa"/>
            <w:vAlign w:val="top"/>
          </w:tcPr>
          <w:p w14:paraId="4FD64BA9">
            <w:pPr>
              <w:spacing w:before="73" w:line="229" w:lineRule="auto"/>
              <w:ind w:left="4"/>
              <w:rPr>
                <w:rFonts w:ascii="宋体" w:hAnsi="宋体" w:eastAsia="宋体" w:cs="宋体"/>
                <w:sz w:val="15"/>
                <w:szCs w:val="15"/>
              </w:rPr>
            </w:pPr>
            <w:r>
              <w:rPr>
                <w:rFonts w:ascii="宋体" w:hAnsi="宋体" w:eastAsia="宋体" w:cs="宋体"/>
                <w:color w:val="212529"/>
                <w:spacing w:val="9"/>
                <w:sz w:val="15"/>
                <w:szCs w:val="15"/>
              </w:rPr>
              <w:t>商贸事务</w:t>
            </w:r>
          </w:p>
        </w:tc>
        <w:tc>
          <w:tcPr>
            <w:tcW w:w="1480" w:type="dxa"/>
            <w:vAlign w:val="top"/>
          </w:tcPr>
          <w:p w14:paraId="2FA183AA">
            <w:pPr>
              <w:spacing w:before="98" w:line="190" w:lineRule="auto"/>
              <w:ind w:right="17"/>
              <w:jc w:val="right"/>
              <w:rPr>
                <w:rFonts w:ascii="宋体" w:hAnsi="宋体" w:eastAsia="宋体" w:cs="宋体"/>
                <w:sz w:val="15"/>
                <w:szCs w:val="15"/>
              </w:rPr>
            </w:pPr>
            <w:r>
              <w:rPr>
                <w:rFonts w:ascii="宋体" w:hAnsi="宋体" w:eastAsia="宋体" w:cs="宋体"/>
                <w:color w:val="212529"/>
                <w:spacing w:val="3"/>
                <w:sz w:val="15"/>
                <w:szCs w:val="15"/>
              </w:rPr>
              <w:t>5.00</w:t>
            </w:r>
          </w:p>
        </w:tc>
        <w:tc>
          <w:tcPr>
            <w:tcW w:w="1361" w:type="dxa"/>
            <w:vAlign w:val="top"/>
          </w:tcPr>
          <w:p w14:paraId="41A354BA">
            <w:pPr>
              <w:pStyle w:val="6"/>
            </w:pPr>
          </w:p>
        </w:tc>
        <w:tc>
          <w:tcPr>
            <w:tcW w:w="1409" w:type="dxa"/>
            <w:vAlign w:val="top"/>
          </w:tcPr>
          <w:p w14:paraId="5605CA03">
            <w:pPr>
              <w:spacing w:before="98" w:line="190" w:lineRule="auto"/>
              <w:ind w:left="1061"/>
              <w:rPr>
                <w:rFonts w:ascii="宋体" w:hAnsi="宋体" w:eastAsia="宋体" w:cs="宋体"/>
                <w:sz w:val="15"/>
                <w:szCs w:val="15"/>
              </w:rPr>
            </w:pPr>
            <w:r>
              <w:rPr>
                <w:rFonts w:ascii="宋体" w:hAnsi="宋体" w:eastAsia="宋体" w:cs="宋体"/>
                <w:color w:val="212529"/>
                <w:spacing w:val="3"/>
                <w:sz w:val="15"/>
                <w:szCs w:val="15"/>
              </w:rPr>
              <w:t>5.00</w:t>
            </w:r>
          </w:p>
        </w:tc>
      </w:tr>
      <w:tr w14:paraId="766B0F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14" w:type="dxa"/>
            <w:vAlign w:val="top"/>
          </w:tcPr>
          <w:p w14:paraId="09ED13A4">
            <w:pPr>
              <w:spacing w:before="97" w:line="191" w:lineRule="auto"/>
              <w:ind w:left="8"/>
              <w:rPr>
                <w:rFonts w:ascii="宋体" w:hAnsi="宋体" w:eastAsia="宋体" w:cs="宋体"/>
                <w:sz w:val="15"/>
                <w:szCs w:val="15"/>
              </w:rPr>
            </w:pPr>
            <w:r>
              <w:rPr>
                <w:rFonts w:ascii="宋体" w:hAnsi="宋体" w:eastAsia="宋体" w:cs="宋体"/>
                <w:color w:val="212529"/>
                <w:spacing w:val="4"/>
                <w:sz w:val="15"/>
                <w:szCs w:val="15"/>
              </w:rPr>
              <w:t>2011308</w:t>
            </w:r>
          </w:p>
        </w:tc>
        <w:tc>
          <w:tcPr>
            <w:tcW w:w="3294" w:type="dxa"/>
            <w:vAlign w:val="top"/>
          </w:tcPr>
          <w:p w14:paraId="4C3B0259">
            <w:pPr>
              <w:spacing w:before="73" w:line="230" w:lineRule="auto"/>
              <w:ind w:left="2"/>
              <w:rPr>
                <w:rFonts w:ascii="宋体" w:hAnsi="宋体" w:eastAsia="宋体" w:cs="宋体"/>
                <w:sz w:val="15"/>
                <w:szCs w:val="15"/>
              </w:rPr>
            </w:pPr>
            <w:r>
              <w:rPr>
                <w:rFonts w:ascii="宋体" w:hAnsi="宋体" w:eastAsia="宋体" w:cs="宋体"/>
                <w:color w:val="212529"/>
                <w:spacing w:val="9"/>
                <w:sz w:val="15"/>
                <w:szCs w:val="15"/>
              </w:rPr>
              <w:t>招商引资</w:t>
            </w:r>
          </w:p>
        </w:tc>
        <w:tc>
          <w:tcPr>
            <w:tcW w:w="1480" w:type="dxa"/>
            <w:vAlign w:val="top"/>
          </w:tcPr>
          <w:p w14:paraId="56471B66">
            <w:pPr>
              <w:spacing w:before="98" w:line="190" w:lineRule="auto"/>
              <w:ind w:right="17"/>
              <w:jc w:val="right"/>
              <w:rPr>
                <w:rFonts w:ascii="宋体" w:hAnsi="宋体" w:eastAsia="宋体" w:cs="宋体"/>
                <w:sz w:val="15"/>
                <w:szCs w:val="15"/>
              </w:rPr>
            </w:pPr>
            <w:r>
              <w:rPr>
                <w:rFonts w:ascii="宋体" w:hAnsi="宋体" w:eastAsia="宋体" w:cs="宋体"/>
                <w:color w:val="212529"/>
                <w:spacing w:val="3"/>
                <w:sz w:val="15"/>
                <w:szCs w:val="15"/>
              </w:rPr>
              <w:t>5.00</w:t>
            </w:r>
          </w:p>
        </w:tc>
        <w:tc>
          <w:tcPr>
            <w:tcW w:w="1361" w:type="dxa"/>
            <w:vAlign w:val="top"/>
          </w:tcPr>
          <w:p w14:paraId="331CBD9B">
            <w:pPr>
              <w:pStyle w:val="6"/>
            </w:pPr>
          </w:p>
        </w:tc>
        <w:tc>
          <w:tcPr>
            <w:tcW w:w="1409" w:type="dxa"/>
            <w:vAlign w:val="top"/>
          </w:tcPr>
          <w:p w14:paraId="1002110A">
            <w:pPr>
              <w:spacing w:before="98" w:line="190" w:lineRule="auto"/>
              <w:ind w:left="1061"/>
              <w:rPr>
                <w:rFonts w:ascii="宋体" w:hAnsi="宋体" w:eastAsia="宋体" w:cs="宋体"/>
                <w:sz w:val="15"/>
                <w:szCs w:val="15"/>
              </w:rPr>
            </w:pPr>
            <w:r>
              <w:rPr>
                <w:rFonts w:ascii="宋体" w:hAnsi="宋体" w:eastAsia="宋体" w:cs="宋体"/>
                <w:color w:val="212529"/>
                <w:spacing w:val="3"/>
                <w:sz w:val="15"/>
                <w:szCs w:val="15"/>
              </w:rPr>
              <w:t>5.00</w:t>
            </w:r>
          </w:p>
        </w:tc>
      </w:tr>
      <w:tr w14:paraId="6E6EF8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14" w:type="dxa"/>
            <w:vAlign w:val="top"/>
          </w:tcPr>
          <w:p w14:paraId="105CE495">
            <w:pPr>
              <w:spacing w:before="98" w:line="191" w:lineRule="auto"/>
              <w:ind w:left="8"/>
              <w:rPr>
                <w:rFonts w:ascii="宋体" w:hAnsi="宋体" w:eastAsia="宋体" w:cs="宋体"/>
                <w:sz w:val="15"/>
                <w:szCs w:val="15"/>
              </w:rPr>
            </w:pPr>
            <w:r>
              <w:rPr>
                <w:rFonts w:ascii="宋体" w:hAnsi="宋体" w:eastAsia="宋体" w:cs="宋体"/>
                <w:color w:val="212529"/>
                <w:spacing w:val="4"/>
                <w:sz w:val="15"/>
                <w:szCs w:val="15"/>
              </w:rPr>
              <w:t>20136</w:t>
            </w:r>
          </w:p>
        </w:tc>
        <w:tc>
          <w:tcPr>
            <w:tcW w:w="3294" w:type="dxa"/>
            <w:vAlign w:val="top"/>
          </w:tcPr>
          <w:p w14:paraId="575F5EB7">
            <w:pPr>
              <w:spacing w:before="74" w:line="229" w:lineRule="auto"/>
              <w:ind w:left="1"/>
              <w:rPr>
                <w:rFonts w:ascii="宋体" w:hAnsi="宋体" w:eastAsia="宋体" w:cs="宋体"/>
                <w:sz w:val="15"/>
                <w:szCs w:val="15"/>
              </w:rPr>
            </w:pPr>
            <w:r>
              <w:rPr>
                <w:rFonts w:ascii="宋体" w:hAnsi="宋体" w:eastAsia="宋体" w:cs="宋体"/>
                <w:color w:val="212529"/>
                <w:spacing w:val="11"/>
                <w:sz w:val="15"/>
                <w:szCs w:val="15"/>
              </w:rPr>
              <w:t>其他共产党事务支出</w:t>
            </w:r>
          </w:p>
        </w:tc>
        <w:tc>
          <w:tcPr>
            <w:tcW w:w="1480" w:type="dxa"/>
            <w:vAlign w:val="top"/>
          </w:tcPr>
          <w:p w14:paraId="09A1E5F3">
            <w:pPr>
              <w:spacing w:before="98" w:line="191" w:lineRule="auto"/>
              <w:ind w:right="17"/>
              <w:jc w:val="right"/>
              <w:rPr>
                <w:rFonts w:ascii="宋体" w:hAnsi="宋体" w:eastAsia="宋体" w:cs="宋体"/>
                <w:sz w:val="15"/>
                <w:szCs w:val="15"/>
              </w:rPr>
            </w:pPr>
            <w:r>
              <w:rPr>
                <w:rFonts w:ascii="宋体" w:hAnsi="宋体" w:eastAsia="宋体" w:cs="宋体"/>
                <w:color w:val="212529"/>
                <w:spacing w:val="2"/>
                <w:sz w:val="15"/>
                <w:szCs w:val="15"/>
              </w:rPr>
              <w:t>132.00</w:t>
            </w:r>
          </w:p>
        </w:tc>
        <w:tc>
          <w:tcPr>
            <w:tcW w:w="1361" w:type="dxa"/>
            <w:vAlign w:val="top"/>
          </w:tcPr>
          <w:p w14:paraId="1FF527D3">
            <w:pPr>
              <w:pStyle w:val="6"/>
            </w:pPr>
          </w:p>
        </w:tc>
        <w:tc>
          <w:tcPr>
            <w:tcW w:w="1409" w:type="dxa"/>
            <w:vAlign w:val="top"/>
          </w:tcPr>
          <w:p w14:paraId="53247FAF">
            <w:pPr>
              <w:spacing w:before="98" w:line="191" w:lineRule="auto"/>
              <w:ind w:left="908"/>
              <w:rPr>
                <w:rFonts w:ascii="宋体" w:hAnsi="宋体" w:eastAsia="宋体" w:cs="宋体"/>
                <w:sz w:val="15"/>
                <w:szCs w:val="15"/>
              </w:rPr>
            </w:pPr>
            <w:r>
              <w:rPr>
                <w:rFonts w:ascii="宋体" w:hAnsi="宋体" w:eastAsia="宋体" w:cs="宋体"/>
                <w:color w:val="212529"/>
                <w:spacing w:val="2"/>
                <w:sz w:val="15"/>
                <w:szCs w:val="15"/>
              </w:rPr>
              <w:t>132.00</w:t>
            </w:r>
          </w:p>
        </w:tc>
      </w:tr>
      <w:tr w14:paraId="5FE608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1614" w:type="dxa"/>
            <w:vAlign w:val="top"/>
          </w:tcPr>
          <w:p w14:paraId="60A5A05F">
            <w:pPr>
              <w:spacing w:before="99" w:line="191" w:lineRule="auto"/>
              <w:ind w:left="8"/>
              <w:rPr>
                <w:rFonts w:ascii="宋体" w:hAnsi="宋体" w:eastAsia="宋体" w:cs="宋体"/>
                <w:sz w:val="15"/>
                <w:szCs w:val="15"/>
              </w:rPr>
            </w:pPr>
            <w:r>
              <w:rPr>
                <w:rFonts w:ascii="宋体" w:hAnsi="宋体" w:eastAsia="宋体" w:cs="宋体"/>
                <w:color w:val="212529"/>
                <w:spacing w:val="4"/>
                <w:sz w:val="15"/>
                <w:szCs w:val="15"/>
              </w:rPr>
              <w:t>2013699</w:t>
            </w:r>
          </w:p>
        </w:tc>
        <w:tc>
          <w:tcPr>
            <w:tcW w:w="3294" w:type="dxa"/>
            <w:vAlign w:val="top"/>
          </w:tcPr>
          <w:p w14:paraId="5B079D1D">
            <w:pPr>
              <w:spacing w:before="75" w:line="229" w:lineRule="auto"/>
              <w:ind w:left="1"/>
              <w:rPr>
                <w:rFonts w:ascii="宋体" w:hAnsi="宋体" w:eastAsia="宋体" w:cs="宋体"/>
                <w:sz w:val="15"/>
                <w:szCs w:val="15"/>
              </w:rPr>
            </w:pPr>
            <w:r>
              <w:rPr>
                <w:rFonts w:ascii="宋体" w:hAnsi="宋体" w:eastAsia="宋体" w:cs="宋体"/>
                <w:color w:val="212529"/>
                <w:spacing w:val="11"/>
                <w:sz w:val="15"/>
                <w:szCs w:val="15"/>
              </w:rPr>
              <w:t>其他共产党事务支出</w:t>
            </w:r>
          </w:p>
        </w:tc>
        <w:tc>
          <w:tcPr>
            <w:tcW w:w="1480" w:type="dxa"/>
            <w:vAlign w:val="top"/>
          </w:tcPr>
          <w:p w14:paraId="007141DD">
            <w:pPr>
              <w:spacing w:before="99" w:line="191" w:lineRule="auto"/>
              <w:ind w:right="17"/>
              <w:jc w:val="right"/>
              <w:rPr>
                <w:rFonts w:ascii="宋体" w:hAnsi="宋体" w:eastAsia="宋体" w:cs="宋体"/>
                <w:sz w:val="15"/>
                <w:szCs w:val="15"/>
              </w:rPr>
            </w:pPr>
            <w:r>
              <w:rPr>
                <w:rFonts w:ascii="宋体" w:hAnsi="宋体" w:eastAsia="宋体" w:cs="宋体"/>
                <w:color w:val="212529"/>
                <w:spacing w:val="2"/>
                <w:sz w:val="15"/>
                <w:szCs w:val="15"/>
              </w:rPr>
              <w:t>132.00</w:t>
            </w:r>
          </w:p>
        </w:tc>
        <w:tc>
          <w:tcPr>
            <w:tcW w:w="1361" w:type="dxa"/>
            <w:vAlign w:val="top"/>
          </w:tcPr>
          <w:p w14:paraId="58F2DBA2">
            <w:pPr>
              <w:pStyle w:val="6"/>
            </w:pPr>
          </w:p>
        </w:tc>
        <w:tc>
          <w:tcPr>
            <w:tcW w:w="1409" w:type="dxa"/>
            <w:vAlign w:val="top"/>
          </w:tcPr>
          <w:p w14:paraId="5F72AEAF">
            <w:pPr>
              <w:spacing w:before="99" w:line="191" w:lineRule="auto"/>
              <w:ind w:left="908"/>
              <w:rPr>
                <w:rFonts w:ascii="宋体" w:hAnsi="宋体" w:eastAsia="宋体" w:cs="宋体"/>
                <w:sz w:val="15"/>
                <w:szCs w:val="15"/>
              </w:rPr>
            </w:pPr>
            <w:r>
              <w:rPr>
                <w:rFonts w:ascii="宋体" w:hAnsi="宋体" w:eastAsia="宋体" w:cs="宋体"/>
                <w:color w:val="212529"/>
                <w:spacing w:val="2"/>
                <w:sz w:val="15"/>
                <w:szCs w:val="15"/>
              </w:rPr>
              <w:t>132.00</w:t>
            </w:r>
          </w:p>
        </w:tc>
      </w:tr>
    </w:tbl>
    <w:p w14:paraId="1A29CB47">
      <w:pPr>
        <w:pStyle w:val="2"/>
      </w:pPr>
    </w:p>
    <w:p w14:paraId="4A444121">
      <w:pPr>
        <w:sectPr>
          <w:headerReference r:id="rId22" w:type="default"/>
          <w:footerReference r:id="rId23" w:type="default"/>
          <w:pgSz w:w="11900" w:h="16840"/>
          <w:pgMar w:top="611" w:right="0" w:bottom="312" w:left="0" w:header="357" w:footer="153" w:gutter="0"/>
          <w:cols w:space="720" w:num="1"/>
        </w:sectPr>
      </w:pPr>
    </w:p>
    <w:p w14:paraId="21FEB55B">
      <w:pPr>
        <w:spacing w:before="118"/>
      </w:pPr>
    </w:p>
    <w:p w14:paraId="412074B2">
      <w:pPr>
        <w:spacing w:before="118"/>
      </w:pPr>
    </w:p>
    <w:tbl>
      <w:tblPr>
        <w:tblStyle w:val="5"/>
        <w:tblW w:w="9082"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310"/>
        <w:gridCol w:w="2278"/>
        <w:gridCol w:w="1188"/>
        <w:gridCol w:w="1188"/>
        <w:gridCol w:w="1118"/>
      </w:tblGrid>
      <w:tr w14:paraId="70B264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082" w:type="dxa"/>
            <w:gridSpan w:val="5"/>
            <w:tcBorders>
              <w:top w:val="single" w:color="FFFFFF" w:sz="4" w:space="0"/>
              <w:left w:val="single" w:color="FFFFFF" w:sz="2" w:space="0"/>
              <w:bottom w:val="single" w:color="FFFFFF" w:sz="4" w:space="0"/>
              <w:right w:val="single" w:color="FFFFFF" w:sz="2" w:space="0"/>
            </w:tcBorders>
            <w:vAlign w:val="top"/>
          </w:tcPr>
          <w:p w14:paraId="7EC25058">
            <w:pPr>
              <w:spacing w:before="84" w:line="234" w:lineRule="auto"/>
              <w:ind w:left="8345"/>
              <w:rPr>
                <w:rFonts w:ascii="宋体" w:hAnsi="宋体" w:eastAsia="宋体" w:cs="宋体"/>
                <w:sz w:val="12"/>
                <w:szCs w:val="12"/>
              </w:rPr>
            </w:pPr>
            <w:r>
              <w:rPr>
                <w:rFonts w:ascii="宋体" w:hAnsi="宋体" w:eastAsia="宋体" w:cs="宋体"/>
                <w:color w:val="212529"/>
                <w:spacing w:val="8"/>
                <w:sz w:val="12"/>
                <w:szCs w:val="12"/>
              </w:rPr>
              <w:t>预算公开表6</w:t>
            </w:r>
          </w:p>
        </w:tc>
      </w:tr>
      <w:tr w14:paraId="1BDCA2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082" w:type="dxa"/>
            <w:gridSpan w:val="5"/>
            <w:tcBorders>
              <w:top w:val="single" w:color="FFFFFF" w:sz="4" w:space="0"/>
              <w:left w:val="single" w:color="FFFFFF" w:sz="4" w:space="0"/>
              <w:bottom w:val="single" w:color="FFFFFF" w:sz="4" w:space="0"/>
              <w:right w:val="single" w:color="FFFFFF" w:sz="4" w:space="0"/>
            </w:tcBorders>
            <w:vAlign w:val="top"/>
          </w:tcPr>
          <w:p w14:paraId="0E684F65">
            <w:pPr>
              <w:spacing w:before="35" w:line="201" w:lineRule="exact"/>
              <w:ind w:left="1611"/>
              <w:outlineLvl w:val="1"/>
              <w:rPr>
                <w:rFonts w:ascii="微软雅黑" w:hAnsi="微软雅黑" w:eastAsia="微软雅黑" w:cs="微软雅黑"/>
                <w:sz w:val="20"/>
                <w:szCs w:val="20"/>
              </w:rPr>
            </w:pPr>
            <w:bookmarkStart w:id="51" w:name="bookmark42"/>
            <w:bookmarkEnd w:id="51"/>
            <w:bookmarkStart w:id="52" w:name="bookmark11"/>
            <w:bookmarkEnd w:id="52"/>
            <w:bookmarkStart w:id="53" w:name="bookmark12"/>
            <w:bookmarkEnd w:id="53"/>
            <w:r>
              <w:rPr>
                <w:rFonts w:ascii="微软雅黑" w:hAnsi="微软雅黑" w:eastAsia="微软雅黑" w:cs="微软雅黑"/>
                <w:color w:val="212529"/>
                <w:spacing w:val="1"/>
                <w:position w:val="-1"/>
                <w:sz w:val="20"/>
                <w:szCs w:val="20"/>
              </w:rPr>
              <w:t>2025年一般公共预算安排基本支出分经济科目表</w:t>
            </w:r>
            <w:r>
              <w:rPr>
                <w:rFonts w:ascii="微软雅黑" w:hAnsi="微软雅黑" w:eastAsia="微软雅黑" w:cs="微软雅黑"/>
                <w:color w:val="212529"/>
                <w:spacing w:val="46"/>
                <w:position w:val="-1"/>
                <w:sz w:val="20"/>
                <w:szCs w:val="20"/>
              </w:rPr>
              <w:t xml:space="preserve"> </w:t>
            </w:r>
            <w:r>
              <w:rPr>
                <w:rFonts w:ascii="微软雅黑" w:hAnsi="微软雅黑" w:eastAsia="微软雅黑" w:cs="微软雅黑"/>
                <w:color w:val="212529"/>
                <w:spacing w:val="1"/>
                <w:position w:val="-1"/>
                <w:sz w:val="20"/>
                <w:szCs w:val="20"/>
              </w:rPr>
              <w:t>(</w:t>
            </w:r>
            <w:r>
              <w:rPr>
                <w:rFonts w:ascii="微软雅黑" w:hAnsi="微软雅黑" w:eastAsia="微软雅黑" w:cs="微软雅黑"/>
                <w:color w:val="212529"/>
                <w:position w:val="-1"/>
                <w:sz w:val="20"/>
                <w:szCs w:val="20"/>
              </w:rPr>
              <w:t>不含上年结转)</w:t>
            </w:r>
          </w:p>
        </w:tc>
      </w:tr>
      <w:tr w14:paraId="176F30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6776" w:type="dxa"/>
            <w:gridSpan w:val="3"/>
            <w:tcBorders>
              <w:top w:val="single" w:color="FFFFFF" w:sz="4" w:space="0"/>
              <w:left w:val="single" w:color="FFFFFF" w:sz="2" w:space="0"/>
              <w:right w:val="single" w:color="FFFFFF" w:sz="2" w:space="0"/>
            </w:tcBorders>
            <w:vAlign w:val="top"/>
          </w:tcPr>
          <w:p w14:paraId="359AB81C">
            <w:pPr>
              <w:spacing w:before="79" w:line="234" w:lineRule="auto"/>
              <w:ind w:left="9"/>
              <w:rPr>
                <w:rFonts w:ascii="宋体" w:hAnsi="宋体" w:eastAsia="宋体" w:cs="宋体"/>
                <w:sz w:val="12"/>
                <w:szCs w:val="12"/>
              </w:rPr>
            </w:pPr>
            <w:r>
              <w:rPr>
                <w:rFonts w:ascii="宋体" w:hAnsi="宋体" w:eastAsia="宋体" w:cs="宋体"/>
                <w:color w:val="212529"/>
                <w:spacing w:val="9"/>
                <w:sz w:val="12"/>
                <w:szCs w:val="12"/>
              </w:rPr>
              <w:t>部门名称：长治高新区漳泽工业园事业服务中心</w:t>
            </w:r>
          </w:p>
        </w:tc>
        <w:tc>
          <w:tcPr>
            <w:tcW w:w="1188" w:type="dxa"/>
            <w:tcBorders>
              <w:top w:val="single" w:color="FFFFFF" w:sz="4" w:space="0"/>
              <w:left w:val="single" w:color="FFFFFF" w:sz="2" w:space="0"/>
              <w:right w:val="single" w:color="FFFFFF" w:sz="2" w:space="0"/>
            </w:tcBorders>
            <w:vAlign w:val="top"/>
          </w:tcPr>
          <w:p w14:paraId="360B7563">
            <w:pPr>
              <w:pStyle w:val="6"/>
            </w:pPr>
          </w:p>
        </w:tc>
        <w:tc>
          <w:tcPr>
            <w:tcW w:w="1118" w:type="dxa"/>
            <w:tcBorders>
              <w:top w:val="single" w:color="FFFFFF" w:sz="4" w:space="0"/>
              <w:left w:val="single" w:color="FFFFFF" w:sz="2" w:space="0"/>
              <w:right w:val="single" w:color="FFFFFF" w:sz="2" w:space="0"/>
            </w:tcBorders>
            <w:vAlign w:val="top"/>
          </w:tcPr>
          <w:p w14:paraId="3758C2C1">
            <w:pPr>
              <w:spacing w:before="80" w:line="234" w:lineRule="auto"/>
              <w:ind w:left="447"/>
              <w:rPr>
                <w:rFonts w:ascii="宋体" w:hAnsi="宋体" w:eastAsia="宋体" w:cs="宋体"/>
                <w:sz w:val="12"/>
                <w:szCs w:val="12"/>
              </w:rPr>
            </w:pPr>
            <w:r>
              <w:rPr>
                <w:rFonts w:ascii="宋体" w:hAnsi="宋体" w:eastAsia="宋体" w:cs="宋体"/>
                <w:color w:val="212529"/>
                <w:spacing w:val="8"/>
                <w:sz w:val="12"/>
                <w:szCs w:val="12"/>
              </w:rPr>
              <w:t>单位：万元</w:t>
            </w:r>
          </w:p>
        </w:tc>
      </w:tr>
      <w:tr w14:paraId="580DAC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Merge w:val="restart"/>
            <w:tcBorders>
              <w:bottom w:val="nil"/>
            </w:tcBorders>
            <w:vAlign w:val="top"/>
          </w:tcPr>
          <w:p w14:paraId="1428EE39">
            <w:pPr>
              <w:spacing w:before="215" w:line="158" w:lineRule="exact"/>
              <w:ind w:left="66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部门预算支出经济科目名称</w:t>
            </w:r>
          </w:p>
        </w:tc>
        <w:tc>
          <w:tcPr>
            <w:tcW w:w="2278" w:type="dxa"/>
            <w:vMerge w:val="restart"/>
            <w:tcBorders>
              <w:bottom w:val="nil"/>
            </w:tcBorders>
            <w:vAlign w:val="top"/>
          </w:tcPr>
          <w:p w14:paraId="1F99D0DC">
            <w:pPr>
              <w:spacing w:before="215" w:line="158" w:lineRule="exact"/>
              <w:ind w:left="15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政府预算支出经济科目名称</w:t>
            </w:r>
          </w:p>
        </w:tc>
        <w:tc>
          <w:tcPr>
            <w:tcW w:w="3494" w:type="dxa"/>
            <w:gridSpan w:val="3"/>
            <w:vAlign w:val="top"/>
          </w:tcPr>
          <w:p w14:paraId="2E3C961E">
            <w:pPr>
              <w:spacing w:before="64" w:line="157" w:lineRule="exact"/>
              <w:ind w:left="1253"/>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6A6921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Merge w:val="continue"/>
            <w:tcBorders>
              <w:top w:val="nil"/>
            </w:tcBorders>
            <w:vAlign w:val="top"/>
          </w:tcPr>
          <w:p w14:paraId="0B677CB9">
            <w:pPr>
              <w:pStyle w:val="6"/>
            </w:pPr>
          </w:p>
        </w:tc>
        <w:tc>
          <w:tcPr>
            <w:tcW w:w="2278" w:type="dxa"/>
            <w:vMerge w:val="continue"/>
            <w:tcBorders>
              <w:top w:val="nil"/>
            </w:tcBorders>
            <w:vAlign w:val="top"/>
          </w:tcPr>
          <w:p w14:paraId="4A6B9D58">
            <w:pPr>
              <w:pStyle w:val="6"/>
            </w:pPr>
          </w:p>
        </w:tc>
        <w:tc>
          <w:tcPr>
            <w:tcW w:w="1188" w:type="dxa"/>
            <w:vAlign w:val="top"/>
          </w:tcPr>
          <w:p w14:paraId="63F7FEE5">
            <w:pPr>
              <w:spacing w:before="66" w:line="154" w:lineRule="exact"/>
              <w:ind w:left="42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88" w:type="dxa"/>
            <w:vAlign w:val="top"/>
          </w:tcPr>
          <w:p w14:paraId="0397334D">
            <w:pPr>
              <w:spacing w:before="64" w:line="156" w:lineRule="exact"/>
              <w:ind w:left="26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人员经费</w:t>
            </w:r>
          </w:p>
        </w:tc>
        <w:tc>
          <w:tcPr>
            <w:tcW w:w="1118" w:type="dxa"/>
            <w:vAlign w:val="top"/>
          </w:tcPr>
          <w:p w14:paraId="4A6739B6">
            <w:pPr>
              <w:spacing w:before="64" w:line="156" w:lineRule="exact"/>
              <w:ind w:left="233"/>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公用经费</w:t>
            </w:r>
          </w:p>
        </w:tc>
      </w:tr>
      <w:tr w14:paraId="574453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5588" w:type="dxa"/>
            <w:gridSpan w:val="2"/>
            <w:vAlign w:val="top"/>
          </w:tcPr>
          <w:p w14:paraId="44FE9BFA">
            <w:pPr>
              <w:spacing w:before="65" w:line="158" w:lineRule="exact"/>
              <w:ind w:left="2634"/>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合计</w:t>
            </w:r>
          </w:p>
        </w:tc>
        <w:tc>
          <w:tcPr>
            <w:tcW w:w="1188" w:type="dxa"/>
            <w:vAlign w:val="top"/>
          </w:tcPr>
          <w:p w14:paraId="6F75DA96">
            <w:pPr>
              <w:pStyle w:val="6"/>
              <w:spacing w:before="87" w:line="186" w:lineRule="auto"/>
              <w:ind w:left="681"/>
              <w:rPr>
                <w:sz w:val="13"/>
                <w:szCs w:val="13"/>
              </w:rPr>
            </w:pPr>
            <w:r>
              <w:rPr>
                <w:color w:val="212529"/>
                <w:spacing w:val="5"/>
                <w:sz w:val="13"/>
                <w:szCs w:val="13"/>
              </w:rPr>
              <w:t>246.</w:t>
            </w:r>
            <w:r>
              <w:rPr>
                <w:color w:val="212529"/>
                <w:spacing w:val="9"/>
                <w:sz w:val="13"/>
                <w:szCs w:val="13"/>
              </w:rPr>
              <w:t xml:space="preserve"> </w:t>
            </w:r>
            <w:r>
              <w:rPr>
                <w:color w:val="212529"/>
                <w:spacing w:val="5"/>
                <w:sz w:val="13"/>
                <w:szCs w:val="13"/>
              </w:rPr>
              <w:t>73</w:t>
            </w:r>
          </w:p>
        </w:tc>
        <w:tc>
          <w:tcPr>
            <w:tcW w:w="1188" w:type="dxa"/>
            <w:vAlign w:val="top"/>
          </w:tcPr>
          <w:p w14:paraId="21D29C69">
            <w:pPr>
              <w:pStyle w:val="6"/>
              <w:spacing w:before="87" w:line="186" w:lineRule="auto"/>
              <w:ind w:left="684"/>
              <w:rPr>
                <w:sz w:val="13"/>
                <w:szCs w:val="13"/>
              </w:rPr>
            </w:pPr>
            <w:r>
              <w:rPr>
                <w:color w:val="212529"/>
                <w:spacing w:val="4"/>
                <w:sz w:val="13"/>
                <w:szCs w:val="13"/>
              </w:rPr>
              <w:t>230.</w:t>
            </w:r>
            <w:r>
              <w:rPr>
                <w:color w:val="212529"/>
                <w:spacing w:val="9"/>
                <w:sz w:val="13"/>
                <w:szCs w:val="13"/>
              </w:rPr>
              <w:t xml:space="preserve"> </w:t>
            </w:r>
            <w:r>
              <w:rPr>
                <w:color w:val="212529"/>
                <w:spacing w:val="4"/>
                <w:sz w:val="13"/>
                <w:szCs w:val="13"/>
              </w:rPr>
              <w:t>71</w:t>
            </w:r>
          </w:p>
        </w:tc>
        <w:tc>
          <w:tcPr>
            <w:tcW w:w="1118" w:type="dxa"/>
            <w:vAlign w:val="top"/>
          </w:tcPr>
          <w:p w14:paraId="549BB5C3">
            <w:pPr>
              <w:pStyle w:val="6"/>
              <w:spacing w:before="86" w:line="162" w:lineRule="auto"/>
              <w:ind w:left="699"/>
              <w:rPr>
                <w:sz w:val="15"/>
                <w:szCs w:val="15"/>
              </w:rPr>
            </w:pPr>
            <w:r>
              <w:rPr>
                <w:color w:val="212529"/>
                <w:spacing w:val="1"/>
                <w:sz w:val="15"/>
                <w:szCs w:val="15"/>
              </w:rPr>
              <w:t>16.02</w:t>
            </w:r>
          </w:p>
        </w:tc>
      </w:tr>
      <w:tr w14:paraId="431412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4FC2374F">
            <w:pPr>
              <w:spacing w:before="68" w:line="230" w:lineRule="auto"/>
              <w:ind w:left="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2278" w:type="dxa"/>
            <w:vAlign w:val="top"/>
          </w:tcPr>
          <w:p w14:paraId="783A27F5">
            <w:pPr>
              <w:pStyle w:val="6"/>
            </w:pPr>
          </w:p>
        </w:tc>
        <w:tc>
          <w:tcPr>
            <w:tcW w:w="1188" w:type="dxa"/>
            <w:vAlign w:val="top"/>
          </w:tcPr>
          <w:p w14:paraId="0768D6F4">
            <w:pPr>
              <w:spacing w:before="93" w:line="190" w:lineRule="auto"/>
              <w:ind w:right="19"/>
              <w:jc w:val="right"/>
              <w:rPr>
                <w:rFonts w:ascii="宋体" w:hAnsi="宋体" w:eastAsia="宋体" w:cs="宋体"/>
                <w:sz w:val="15"/>
                <w:szCs w:val="15"/>
              </w:rPr>
            </w:pPr>
            <w:r>
              <w:rPr>
                <w:rFonts w:ascii="宋体" w:hAnsi="宋体" w:eastAsia="宋体" w:cs="宋体"/>
                <w:color w:val="212529"/>
                <w:spacing w:val="4"/>
                <w:sz w:val="15"/>
                <w:szCs w:val="15"/>
              </w:rPr>
              <w:t>227.32</w:t>
            </w:r>
          </w:p>
        </w:tc>
        <w:tc>
          <w:tcPr>
            <w:tcW w:w="1188" w:type="dxa"/>
            <w:vAlign w:val="top"/>
          </w:tcPr>
          <w:p w14:paraId="70AC7FC1">
            <w:pPr>
              <w:spacing w:before="93" w:line="190" w:lineRule="auto"/>
              <w:ind w:right="16"/>
              <w:jc w:val="right"/>
              <w:rPr>
                <w:rFonts w:ascii="宋体" w:hAnsi="宋体" w:eastAsia="宋体" w:cs="宋体"/>
                <w:sz w:val="15"/>
                <w:szCs w:val="15"/>
              </w:rPr>
            </w:pPr>
            <w:r>
              <w:rPr>
                <w:rFonts w:ascii="宋体" w:hAnsi="宋体" w:eastAsia="宋体" w:cs="宋体"/>
                <w:color w:val="212529"/>
                <w:spacing w:val="4"/>
                <w:sz w:val="15"/>
                <w:szCs w:val="15"/>
              </w:rPr>
              <w:t>227.32</w:t>
            </w:r>
          </w:p>
        </w:tc>
        <w:tc>
          <w:tcPr>
            <w:tcW w:w="1118" w:type="dxa"/>
            <w:vAlign w:val="top"/>
          </w:tcPr>
          <w:p w14:paraId="4A774069">
            <w:pPr>
              <w:pStyle w:val="6"/>
            </w:pPr>
          </w:p>
        </w:tc>
      </w:tr>
      <w:tr w14:paraId="553F2F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7ACB164E">
            <w:pPr>
              <w:spacing w:before="69" w:line="228" w:lineRule="auto"/>
              <w:ind w:left="330"/>
              <w:rPr>
                <w:rFonts w:ascii="宋体" w:hAnsi="宋体" w:eastAsia="宋体" w:cs="宋体"/>
                <w:sz w:val="15"/>
                <w:szCs w:val="15"/>
              </w:rPr>
            </w:pPr>
            <w:r>
              <w:rPr>
                <w:rFonts w:ascii="宋体" w:hAnsi="宋体" w:eastAsia="宋体" w:cs="宋体"/>
                <w:color w:val="212529"/>
                <w:spacing w:val="9"/>
                <w:sz w:val="15"/>
                <w:szCs w:val="15"/>
              </w:rPr>
              <w:t>基本工资</w:t>
            </w:r>
          </w:p>
        </w:tc>
        <w:tc>
          <w:tcPr>
            <w:tcW w:w="2278" w:type="dxa"/>
            <w:vAlign w:val="top"/>
          </w:tcPr>
          <w:p w14:paraId="761EF289">
            <w:pPr>
              <w:spacing w:before="69"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024AC3BC">
            <w:pPr>
              <w:spacing w:before="94" w:line="190" w:lineRule="auto"/>
              <w:ind w:right="19"/>
              <w:jc w:val="right"/>
              <w:rPr>
                <w:rFonts w:ascii="宋体" w:hAnsi="宋体" w:eastAsia="宋体" w:cs="宋体"/>
                <w:sz w:val="15"/>
                <w:szCs w:val="15"/>
              </w:rPr>
            </w:pPr>
            <w:r>
              <w:rPr>
                <w:rFonts w:ascii="宋体" w:hAnsi="宋体" w:eastAsia="宋体" w:cs="宋体"/>
                <w:color w:val="212529"/>
                <w:spacing w:val="4"/>
                <w:sz w:val="15"/>
                <w:szCs w:val="15"/>
              </w:rPr>
              <w:t>80.49</w:t>
            </w:r>
          </w:p>
        </w:tc>
        <w:tc>
          <w:tcPr>
            <w:tcW w:w="1188" w:type="dxa"/>
            <w:vAlign w:val="top"/>
          </w:tcPr>
          <w:p w14:paraId="575CCC55">
            <w:pPr>
              <w:spacing w:before="94" w:line="190" w:lineRule="auto"/>
              <w:ind w:right="16"/>
              <w:jc w:val="right"/>
              <w:rPr>
                <w:rFonts w:ascii="宋体" w:hAnsi="宋体" w:eastAsia="宋体" w:cs="宋体"/>
                <w:sz w:val="15"/>
                <w:szCs w:val="15"/>
              </w:rPr>
            </w:pPr>
            <w:r>
              <w:rPr>
                <w:rFonts w:ascii="宋体" w:hAnsi="宋体" w:eastAsia="宋体" w:cs="宋体"/>
                <w:color w:val="212529"/>
                <w:spacing w:val="4"/>
                <w:sz w:val="15"/>
                <w:szCs w:val="15"/>
              </w:rPr>
              <w:t>80.49</w:t>
            </w:r>
          </w:p>
        </w:tc>
        <w:tc>
          <w:tcPr>
            <w:tcW w:w="1118" w:type="dxa"/>
            <w:vAlign w:val="top"/>
          </w:tcPr>
          <w:p w14:paraId="19F4D9D5">
            <w:pPr>
              <w:pStyle w:val="6"/>
            </w:pPr>
          </w:p>
        </w:tc>
      </w:tr>
      <w:tr w14:paraId="3D7319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6DC84BE3">
            <w:pPr>
              <w:spacing w:before="70" w:line="229" w:lineRule="auto"/>
              <w:ind w:left="330"/>
              <w:rPr>
                <w:rFonts w:ascii="宋体" w:hAnsi="宋体" w:eastAsia="宋体" w:cs="宋体"/>
                <w:sz w:val="15"/>
                <w:szCs w:val="15"/>
              </w:rPr>
            </w:pPr>
            <w:r>
              <w:rPr>
                <w:rFonts w:ascii="宋体" w:hAnsi="宋体" w:eastAsia="宋体" w:cs="宋体"/>
                <w:color w:val="212529"/>
                <w:spacing w:val="9"/>
                <w:sz w:val="15"/>
                <w:szCs w:val="15"/>
              </w:rPr>
              <w:t>津贴补贴</w:t>
            </w:r>
          </w:p>
        </w:tc>
        <w:tc>
          <w:tcPr>
            <w:tcW w:w="2278" w:type="dxa"/>
            <w:vAlign w:val="top"/>
          </w:tcPr>
          <w:p w14:paraId="5B949C2B">
            <w:pPr>
              <w:spacing w:before="70"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4ABB3180">
            <w:pPr>
              <w:spacing w:before="94" w:line="191" w:lineRule="auto"/>
              <w:ind w:right="19"/>
              <w:jc w:val="right"/>
              <w:rPr>
                <w:rFonts w:ascii="宋体" w:hAnsi="宋体" w:eastAsia="宋体" w:cs="宋体"/>
                <w:sz w:val="15"/>
                <w:szCs w:val="15"/>
              </w:rPr>
            </w:pPr>
            <w:r>
              <w:rPr>
                <w:rFonts w:ascii="宋体" w:hAnsi="宋体" w:eastAsia="宋体" w:cs="宋体"/>
                <w:color w:val="212529"/>
                <w:spacing w:val="2"/>
                <w:sz w:val="15"/>
                <w:szCs w:val="15"/>
              </w:rPr>
              <w:t>10.09</w:t>
            </w:r>
          </w:p>
        </w:tc>
        <w:tc>
          <w:tcPr>
            <w:tcW w:w="1188" w:type="dxa"/>
            <w:vAlign w:val="top"/>
          </w:tcPr>
          <w:p w14:paraId="177145CA">
            <w:pPr>
              <w:spacing w:before="94" w:line="191" w:lineRule="auto"/>
              <w:ind w:right="16"/>
              <w:jc w:val="right"/>
              <w:rPr>
                <w:rFonts w:ascii="宋体" w:hAnsi="宋体" w:eastAsia="宋体" w:cs="宋体"/>
                <w:sz w:val="15"/>
                <w:szCs w:val="15"/>
              </w:rPr>
            </w:pPr>
            <w:r>
              <w:rPr>
                <w:rFonts w:ascii="宋体" w:hAnsi="宋体" w:eastAsia="宋体" w:cs="宋体"/>
                <w:color w:val="212529"/>
                <w:spacing w:val="2"/>
                <w:sz w:val="15"/>
                <w:szCs w:val="15"/>
              </w:rPr>
              <w:t>10.09</w:t>
            </w:r>
          </w:p>
        </w:tc>
        <w:tc>
          <w:tcPr>
            <w:tcW w:w="1118" w:type="dxa"/>
            <w:vAlign w:val="top"/>
          </w:tcPr>
          <w:p w14:paraId="484D31C8">
            <w:pPr>
              <w:pStyle w:val="6"/>
            </w:pPr>
          </w:p>
        </w:tc>
      </w:tr>
      <w:tr w14:paraId="4F3C30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0C4EF757">
            <w:pPr>
              <w:spacing w:before="70" w:line="230" w:lineRule="auto"/>
              <w:ind w:left="333"/>
              <w:rPr>
                <w:rFonts w:ascii="宋体" w:hAnsi="宋体" w:eastAsia="宋体" w:cs="宋体"/>
                <w:sz w:val="15"/>
                <w:szCs w:val="15"/>
              </w:rPr>
            </w:pPr>
            <w:r>
              <w:rPr>
                <w:rFonts w:ascii="宋体" w:hAnsi="宋体" w:eastAsia="宋体" w:cs="宋体"/>
                <w:color w:val="212529"/>
                <w:spacing w:val="9"/>
                <w:sz w:val="15"/>
                <w:szCs w:val="15"/>
              </w:rPr>
              <w:t>绩效工资</w:t>
            </w:r>
          </w:p>
        </w:tc>
        <w:tc>
          <w:tcPr>
            <w:tcW w:w="2278" w:type="dxa"/>
            <w:vAlign w:val="top"/>
          </w:tcPr>
          <w:p w14:paraId="63EED83A">
            <w:pPr>
              <w:spacing w:before="70"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0BF1B306">
            <w:pPr>
              <w:spacing w:before="95" w:line="190" w:lineRule="auto"/>
              <w:ind w:right="19"/>
              <w:jc w:val="right"/>
              <w:rPr>
                <w:rFonts w:ascii="宋体" w:hAnsi="宋体" w:eastAsia="宋体" w:cs="宋体"/>
                <w:sz w:val="15"/>
                <w:szCs w:val="15"/>
              </w:rPr>
            </w:pPr>
            <w:r>
              <w:rPr>
                <w:rFonts w:ascii="宋体" w:hAnsi="宋体" w:eastAsia="宋体" w:cs="宋体"/>
                <w:color w:val="212529"/>
                <w:spacing w:val="3"/>
                <w:sz w:val="15"/>
                <w:szCs w:val="15"/>
              </w:rPr>
              <w:t>50.60</w:t>
            </w:r>
          </w:p>
        </w:tc>
        <w:tc>
          <w:tcPr>
            <w:tcW w:w="1188" w:type="dxa"/>
            <w:vAlign w:val="top"/>
          </w:tcPr>
          <w:p w14:paraId="01875CDF">
            <w:pPr>
              <w:spacing w:before="95" w:line="190" w:lineRule="auto"/>
              <w:ind w:right="16"/>
              <w:jc w:val="right"/>
              <w:rPr>
                <w:rFonts w:ascii="宋体" w:hAnsi="宋体" w:eastAsia="宋体" w:cs="宋体"/>
                <w:sz w:val="15"/>
                <w:szCs w:val="15"/>
              </w:rPr>
            </w:pPr>
            <w:r>
              <w:rPr>
                <w:rFonts w:ascii="宋体" w:hAnsi="宋体" w:eastAsia="宋体" w:cs="宋体"/>
                <w:color w:val="212529"/>
                <w:spacing w:val="3"/>
                <w:sz w:val="15"/>
                <w:szCs w:val="15"/>
              </w:rPr>
              <w:t>50.60</w:t>
            </w:r>
          </w:p>
        </w:tc>
        <w:tc>
          <w:tcPr>
            <w:tcW w:w="1118" w:type="dxa"/>
            <w:vAlign w:val="top"/>
          </w:tcPr>
          <w:p w14:paraId="42402AAE">
            <w:pPr>
              <w:pStyle w:val="6"/>
            </w:pPr>
          </w:p>
        </w:tc>
      </w:tr>
      <w:tr w14:paraId="7780A1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31413EC8">
            <w:pPr>
              <w:spacing w:before="71" w:line="228" w:lineRule="auto"/>
              <w:ind w:left="330"/>
              <w:rPr>
                <w:rFonts w:ascii="宋体" w:hAnsi="宋体" w:eastAsia="宋体" w:cs="宋体"/>
                <w:sz w:val="15"/>
                <w:szCs w:val="15"/>
              </w:rPr>
            </w:pPr>
            <w:r>
              <w:rPr>
                <w:rFonts w:ascii="宋体" w:hAnsi="宋体" w:eastAsia="宋体" w:cs="宋体"/>
                <w:color w:val="212529"/>
                <w:spacing w:val="11"/>
                <w:sz w:val="15"/>
                <w:szCs w:val="15"/>
              </w:rPr>
              <w:t>机关事业单位基本养老保险缴费</w:t>
            </w:r>
          </w:p>
        </w:tc>
        <w:tc>
          <w:tcPr>
            <w:tcW w:w="2278" w:type="dxa"/>
            <w:vAlign w:val="top"/>
          </w:tcPr>
          <w:p w14:paraId="303B1EB7">
            <w:pPr>
              <w:spacing w:before="70"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3E79D512">
            <w:pPr>
              <w:spacing w:before="95" w:line="190" w:lineRule="auto"/>
              <w:ind w:right="19"/>
              <w:jc w:val="right"/>
              <w:rPr>
                <w:rFonts w:ascii="宋体" w:hAnsi="宋体" w:eastAsia="宋体" w:cs="宋体"/>
                <w:sz w:val="15"/>
                <w:szCs w:val="15"/>
              </w:rPr>
            </w:pPr>
            <w:r>
              <w:rPr>
                <w:rFonts w:ascii="宋体" w:hAnsi="宋体" w:eastAsia="宋体" w:cs="宋体"/>
                <w:color w:val="212529"/>
                <w:spacing w:val="4"/>
                <w:sz w:val="15"/>
                <w:szCs w:val="15"/>
              </w:rPr>
              <w:t>27.24</w:t>
            </w:r>
          </w:p>
        </w:tc>
        <w:tc>
          <w:tcPr>
            <w:tcW w:w="1188" w:type="dxa"/>
            <w:vAlign w:val="top"/>
          </w:tcPr>
          <w:p w14:paraId="22EBA131">
            <w:pPr>
              <w:spacing w:before="95" w:line="190" w:lineRule="auto"/>
              <w:ind w:right="16"/>
              <w:jc w:val="right"/>
              <w:rPr>
                <w:rFonts w:ascii="宋体" w:hAnsi="宋体" w:eastAsia="宋体" w:cs="宋体"/>
                <w:sz w:val="15"/>
                <w:szCs w:val="15"/>
              </w:rPr>
            </w:pPr>
            <w:r>
              <w:rPr>
                <w:rFonts w:ascii="宋体" w:hAnsi="宋体" w:eastAsia="宋体" w:cs="宋体"/>
                <w:color w:val="212529"/>
                <w:spacing w:val="4"/>
                <w:sz w:val="15"/>
                <w:szCs w:val="15"/>
              </w:rPr>
              <w:t>27.24</w:t>
            </w:r>
          </w:p>
        </w:tc>
        <w:tc>
          <w:tcPr>
            <w:tcW w:w="1118" w:type="dxa"/>
            <w:vAlign w:val="top"/>
          </w:tcPr>
          <w:p w14:paraId="45B6688E">
            <w:pPr>
              <w:pStyle w:val="6"/>
            </w:pPr>
          </w:p>
        </w:tc>
      </w:tr>
      <w:tr w14:paraId="7CAC4B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78F44A2F">
            <w:pPr>
              <w:spacing w:before="70" w:line="229" w:lineRule="auto"/>
              <w:ind w:left="330"/>
              <w:rPr>
                <w:rFonts w:ascii="宋体" w:hAnsi="宋体" w:eastAsia="宋体" w:cs="宋体"/>
                <w:sz w:val="15"/>
                <w:szCs w:val="15"/>
              </w:rPr>
            </w:pPr>
            <w:r>
              <w:rPr>
                <w:rFonts w:ascii="宋体" w:hAnsi="宋体" w:eastAsia="宋体" w:cs="宋体"/>
                <w:color w:val="212529"/>
                <w:spacing w:val="10"/>
                <w:sz w:val="15"/>
                <w:szCs w:val="15"/>
              </w:rPr>
              <w:t>职业年金缴费</w:t>
            </w:r>
          </w:p>
        </w:tc>
        <w:tc>
          <w:tcPr>
            <w:tcW w:w="2278" w:type="dxa"/>
            <w:vAlign w:val="top"/>
          </w:tcPr>
          <w:p w14:paraId="4F48B9DC">
            <w:pPr>
              <w:spacing w:before="70"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595A753C">
            <w:pPr>
              <w:spacing w:before="94" w:line="191" w:lineRule="auto"/>
              <w:ind w:right="19"/>
              <w:jc w:val="right"/>
              <w:rPr>
                <w:rFonts w:ascii="宋体" w:hAnsi="宋体" w:eastAsia="宋体" w:cs="宋体"/>
                <w:sz w:val="15"/>
                <w:szCs w:val="15"/>
              </w:rPr>
            </w:pPr>
            <w:r>
              <w:rPr>
                <w:rFonts w:ascii="宋体" w:hAnsi="宋体" w:eastAsia="宋体" w:cs="宋体"/>
                <w:color w:val="212529"/>
                <w:spacing w:val="2"/>
                <w:sz w:val="15"/>
                <w:szCs w:val="15"/>
              </w:rPr>
              <w:t>10.29</w:t>
            </w:r>
          </w:p>
        </w:tc>
        <w:tc>
          <w:tcPr>
            <w:tcW w:w="1188" w:type="dxa"/>
            <w:vAlign w:val="top"/>
          </w:tcPr>
          <w:p w14:paraId="4AFC533A">
            <w:pPr>
              <w:spacing w:before="94" w:line="191" w:lineRule="auto"/>
              <w:ind w:right="16"/>
              <w:jc w:val="right"/>
              <w:rPr>
                <w:rFonts w:ascii="宋体" w:hAnsi="宋体" w:eastAsia="宋体" w:cs="宋体"/>
                <w:sz w:val="15"/>
                <w:szCs w:val="15"/>
              </w:rPr>
            </w:pPr>
            <w:r>
              <w:rPr>
                <w:rFonts w:ascii="宋体" w:hAnsi="宋体" w:eastAsia="宋体" w:cs="宋体"/>
                <w:color w:val="212529"/>
                <w:spacing w:val="2"/>
                <w:sz w:val="15"/>
                <w:szCs w:val="15"/>
              </w:rPr>
              <w:t>10.29</w:t>
            </w:r>
          </w:p>
        </w:tc>
        <w:tc>
          <w:tcPr>
            <w:tcW w:w="1118" w:type="dxa"/>
            <w:vAlign w:val="top"/>
          </w:tcPr>
          <w:p w14:paraId="11B8A363">
            <w:pPr>
              <w:pStyle w:val="6"/>
            </w:pPr>
          </w:p>
        </w:tc>
      </w:tr>
      <w:tr w14:paraId="275602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5258FC7F">
            <w:pPr>
              <w:spacing w:before="71" w:line="228" w:lineRule="auto"/>
              <w:ind w:left="330"/>
              <w:rPr>
                <w:rFonts w:ascii="宋体" w:hAnsi="宋体" w:eastAsia="宋体" w:cs="宋体"/>
                <w:sz w:val="15"/>
                <w:szCs w:val="15"/>
              </w:rPr>
            </w:pPr>
            <w:r>
              <w:rPr>
                <w:rFonts w:ascii="宋体" w:hAnsi="宋体" w:eastAsia="宋体" w:cs="宋体"/>
                <w:color w:val="212529"/>
                <w:spacing w:val="11"/>
                <w:sz w:val="15"/>
                <w:szCs w:val="15"/>
              </w:rPr>
              <w:t>职工基本医疗保险缴费</w:t>
            </w:r>
          </w:p>
        </w:tc>
        <w:tc>
          <w:tcPr>
            <w:tcW w:w="2278" w:type="dxa"/>
            <w:vAlign w:val="top"/>
          </w:tcPr>
          <w:p w14:paraId="4A24FFCB">
            <w:pPr>
              <w:spacing w:before="71"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2AD8E269">
            <w:pPr>
              <w:spacing w:before="95" w:line="191" w:lineRule="auto"/>
              <w:ind w:right="19"/>
              <w:jc w:val="right"/>
              <w:rPr>
                <w:rFonts w:ascii="宋体" w:hAnsi="宋体" w:eastAsia="宋体" w:cs="宋体"/>
                <w:sz w:val="15"/>
                <w:szCs w:val="15"/>
              </w:rPr>
            </w:pPr>
            <w:r>
              <w:rPr>
                <w:rFonts w:ascii="宋体" w:hAnsi="宋体" w:eastAsia="宋体" w:cs="宋体"/>
                <w:color w:val="212529"/>
                <w:spacing w:val="2"/>
                <w:sz w:val="15"/>
                <w:szCs w:val="15"/>
              </w:rPr>
              <w:t>14.39</w:t>
            </w:r>
          </w:p>
        </w:tc>
        <w:tc>
          <w:tcPr>
            <w:tcW w:w="1188" w:type="dxa"/>
            <w:vAlign w:val="top"/>
          </w:tcPr>
          <w:p w14:paraId="543FE8BD">
            <w:pPr>
              <w:spacing w:before="95" w:line="191" w:lineRule="auto"/>
              <w:ind w:right="16"/>
              <w:jc w:val="right"/>
              <w:rPr>
                <w:rFonts w:ascii="宋体" w:hAnsi="宋体" w:eastAsia="宋体" w:cs="宋体"/>
                <w:sz w:val="15"/>
                <w:szCs w:val="15"/>
              </w:rPr>
            </w:pPr>
            <w:r>
              <w:rPr>
                <w:rFonts w:ascii="宋体" w:hAnsi="宋体" w:eastAsia="宋体" w:cs="宋体"/>
                <w:color w:val="212529"/>
                <w:spacing w:val="2"/>
                <w:sz w:val="15"/>
                <w:szCs w:val="15"/>
              </w:rPr>
              <w:t>14.39</w:t>
            </w:r>
          </w:p>
        </w:tc>
        <w:tc>
          <w:tcPr>
            <w:tcW w:w="1118" w:type="dxa"/>
            <w:vAlign w:val="top"/>
          </w:tcPr>
          <w:p w14:paraId="1B818C4D">
            <w:pPr>
              <w:pStyle w:val="6"/>
            </w:pPr>
          </w:p>
        </w:tc>
      </w:tr>
      <w:tr w14:paraId="1E2EEC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02187483">
            <w:pPr>
              <w:spacing w:before="71" w:line="229" w:lineRule="auto"/>
              <w:ind w:left="336"/>
              <w:rPr>
                <w:rFonts w:ascii="宋体" w:hAnsi="宋体" w:eastAsia="宋体" w:cs="宋体"/>
                <w:sz w:val="15"/>
                <w:szCs w:val="15"/>
              </w:rPr>
            </w:pPr>
            <w:r>
              <w:rPr>
                <w:rFonts w:ascii="宋体" w:hAnsi="宋体" w:eastAsia="宋体" w:cs="宋体"/>
                <w:color w:val="212529"/>
                <w:spacing w:val="10"/>
                <w:sz w:val="15"/>
                <w:szCs w:val="15"/>
              </w:rPr>
              <w:t>公务员医疗补助缴费</w:t>
            </w:r>
          </w:p>
        </w:tc>
        <w:tc>
          <w:tcPr>
            <w:tcW w:w="2278" w:type="dxa"/>
            <w:vAlign w:val="top"/>
          </w:tcPr>
          <w:p w14:paraId="72364E5F">
            <w:pPr>
              <w:spacing w:before="70"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60C0ACA8">
            <w:pPr>
              <w:spacing w:before="94" w:line="191" w:lineRule="auto"/>
              <w:ind w:right="19"/>
              <w:jc w:val="right"/>
              <w:rPr>
                <w:rFonts w:ascii="宋体" w:hAnsi="宋体" w:eastAsia="宋体" w:cs="宋体"/>
                <w:sz w:val="15"/>
                <w:szCs w:val="15"/>
              </w:rPr>
            </w:pPr>
            <w:r>
              <w:rPr>
                <w:rFonts w:ascii="宋体" w:hAnsi="宋体" w:eastAsia="宋体" w:cs="宋体"/>
                <w:color w:val="212529"/>
                <w:spacing w:val="3"/>
                <w:sz w:val="15"/>
                <w:szCs w:val="15"/>
              </w:rPr>
              <w:t>6.61</w:t>
            </w:r>
          </w:p>
        </w:tc>
        <w:tc>
          <w:tcPr>
            <w:tcW w:w="1188" w:type="dxa"/>
            <w:vAlign w:val="top"/>
          </w:tcPr>
          <w:p w14:paraId="63A944BE">
            <w:pPr>
              <w:spacing w:before="94" w:line="191" w:lineRule="auto"/>
              <w:ind w:right="16"/>
              <w:jc w:val="right"/>
              <w:rPr>
                <w:rFonts w:ascii="宋体" w:hAnsi="宋体" w:eastAsia="宋体" w:cs="宋体"/>
                <w:sz w:val="15"/>
                <w:szCs w:val="15"/>
              </w:rPr>
            </w:pPr>
            <w:r>
              <w:rPr>
                <w:rFonts w:ascii="宋体" w:hAnsi="宋体" w:eastAsia="宋体" w:cs="宋体"/>
                <w:color w:val="212529"/>
                <w:spacing w:val="3"/>
                <w:sz w:val="15"/>
                <w:szCs w:val="15"/>
              </w:rPr>
              <w:t>6.61</w:t>
            </w:r>
          </w:p>
        </w:tc>
        <w:tc>
          <w:tcPr>
            <w:tcW w:w="1118" w:type="dxa"/>
            <w:vAlign w:val="top"/>
          </w:tcPr>
          <w:p w14:paraId="2ACFB0D2">
            <w:pPr>
              <w:pStyle w:val="6"/>
            </w:pPr>
          </w:p>
        </w:tc>
      </w:tr>
      <w:tr w14:paraId="025F88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60AA96F4">
            <w:pPr>
              <w:spacing w:before="71" w:line="228" w:lineRule="auto"/>
              <w:ind w:left="330"/>
              <w:rPr>
                <w:rFonts w:ascii="宋体" w:hAnsi="宋体" w:eastAsia="宋体" w:cs="宋体"/>
                <w:sz w:val="15"/>
                <w:szCs w:val="15"/>
              </w:rPr>
            </w:pPr>
            <w:r>
              <w:rPr>
                <w:rFonts w:ascii="宋体" w:hAnsi="宋体" w:eastAsia="宋体" w:cs="宋体"/>
                <w:color w:val="212529"/>
                <w:spacing w:val="11"/>
                <w:sz w:val="15"/>
                <w:szCs w:val="15"/>
              </w:rPr>
              <w:t>其他社会保障缴费</w:t>
            </w:r>
          </w:p>
        </w:tc>
        <w:tc>
          <w:tcPr>
            <w:tcW w:w="2278" w:type="dxa"/>
            <w:vAlign w:val="top"/>
          </w:tcPr>
          <w:p w14:paraId="19879C53">
            <w:pPr>
              <w:spacing w:before="70"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53C1CF7F">
            <w:pPr>
              <w:spacing w:before="95" w:line="190" w:lineRule="auto"/>
              <w:ind w:right="19"/>
              <w:jc w:val="right"/>
              <w:rPr>
                <w:rFonts w:ascii="宋体" w:hAnsi="宋体" w:eastAsia="宋体" w:cs="宋体"/>
                <w:sz w:val="15"/>
                <w:szCs w:val="15"/>
              </w:rPr>
            </w:pPr>
            <w:r>
              <w:rPr>
                <w:rFonts w:ascii="宋体" w:hAnsi="宋体" w:eastAsia="宋体" w:cs="宋体"/>
                <w:color w:val="212529"/>
                <w:spacing w:val="3"/>
                <w:sz w:val="15"/>
                <w:szCs w:val="15"/>
              </w:rPr>
              <w:t>0.84</w:t>
            </w:r>
          </w:p>
        </w:tc>
        <w:tc>
          <w:tcPr>
            <w:tcW w:w="1188" w:type="dxa"/>
            <w:vAlign w:val="top"/>
          </w:tcPr>
          <w:p w14:paraId="3D544037">
            <w:pPr>
              <w:spacing w:before="95" w:line="190" w:lineRule="auto"/>
              <w:ind w:right="16"/>
              <w:jc w:val="right"/>
              <w:rPr>
                <w:rFonts w:ascii="宋体" w:hAnsi="宋体" w:eastAsia="宋体" w:cs="宋体"/>
                <w:sz w:val="15"/>
                <w:szCs w:val="15"/>
              </w:rPr>
            </w:pPr>
            <w:r>
              <w:rPr>
                <w:rFonts w:ascii="宋体" w:hAnsi="宋体" w:eastAsia="宋体" w:cs="宋体"/>
                <w:color w:val="212529"/>
                <w:spacing w:val="3"/>
                <w:sz w:val="15"/>
                <w:szCs w:val="15"/>
              </w:rPr>
              <w:t>0.84</w:t>
            </w:r>
          </w:p>
        </w:tc>
        <w:tc>
          <w:tcPr>
            <w:tcW w:w="1118" w:type="dxa"/>
            <w:vAlign w:val="top"/>
          </w:tcPr>
          <w:p w14:paraId="2540CCFC">
            <w:pPr>
              <w:pStyle w:val="6"/>
            </w:pPr>
          </w:p>
        </w:tc>
      </w:tr>
      <w:tr w14:paraId="1ED897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65DA80EA">
            <w:pPr>
              <w:spacing w:before="70" w:line="230" w:lineRule="auto"/>
              <w:ind w:left="331"/>
              <w:rPr>
                <w:rFonts w:ascii="宋体" w:hAnsi="宋体" w:eastAsia="宋体" w:cs="宋体"/>
                <w:sz w:val="15"/>
                <w:szCs w:val="15"/>
              </w:rPr>
            </w:pPr>
            <w:r>
              <w:rPr>
                <w:rFonts w:ascii="宋体" w:hAnsi="宋体" w:eastAsia="宋体" w:cs="宋体"/>
                <w:color w:val="212529"/>
                <w:spacing w:val="10"/>
                <w:sz w:val="15"/>
                <w:szCs w:val="15"/>
              </w:rPr>
              <w:t>住房公积金</w:t>
            </w:r>
          </w:p>
        </w:tc>
        <w:tc>
          <w:tcPr>
            <w:tcW w:w="2278" w:type="dxa"/>
            <w:vAlign w:val="top"/>
          </w:tcPr>
          <w:p w14:paraId="738C06B5">
            <w:pPr>
              <w:spacing w:before="70"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65F3F3B0">
            <w:pPr>
              <w:spacing w:before="94" w:line="191" w:lineRule="auto"/>
              <w:ind w:right="19"/>
              <w:jc w:val="right"/>
              <w:rPr>
                <w:rFonts w:ascii="宋体" w:hAnsi="宋体" w:eastAsia="宋体" w:cs="宋体"/>
                <w:sz w:val="15"/>
                <w:szCs w:val="15"/>
              </w:rPr>
            </w:pPr>
            <w:r>
              <w:rPr>
                <w:rFonts w:ascii="宋体" w:hAnsi="宋体" w:eastAsia="宋体" w:cs="宋体"/>
                <w:color w:val="212529"/>
                <w:spacing w:val="4"/>
                <w:sz w:val="15"/>
                <w:szCs w:val="15"/>
              </w:rPr>
              <w:t>21.25</w:t>
            </w:r>
          </w:p>
        </w:tc>
        <w:tc>
          <w:tcPr>
            <w:tcW w:w="1188" w:type="dxa"/>
            <w:vAlign w:val="top"/>
          </w:tcPr>
          <w:p w14:paraId="4B1DCF9C">
            <w:pPr>
              <w:spacing w:before="94" w:line="191" w:lineRule="auto"/>
              <w:ind w:right="16"/>
              <w:jc w:val="right"/>
              <w:rPr>
                <w:rFonts w:ascii="宋体" w:hAnsi="宋体" w:eastAsia="宋体" w:cs="宋体"/>
                <w:sz w:val="15"/>
                <w:szCs w:val="15"/>
              </w:rPr>
            </w:pPr>
            <w:r>
              <w:rPr>
                <w:rFonts w:ascii="宋体" w:hAnsi="宋体" w:eastAsia="宋体" w:cs="宋体"/>
                <w:color w:val="212529"/>
                <w:spacing w:val="4"/>
                <w:sz w:val="15"/>
                <w:szCs w:val="15"/>
              </w:rPr>
              <w:t>21.25</w:t>
            </w:r>
          </w:p>
        </w:tc>
        <w:tc>
          <w:tcPr>
            <w:tcW w:w="1118" w:type="dxa"/>
            <w:vAlign w:val="top"/>
          </w:tcPr>
          <w:p w14:paraId="53978E78">
            <w:pPr>
              <w:pStyle w:val="6"/>
            </w:pPr>
          </w:p>
        </w:tc>
      </w:tr>
      <w:tr w14:paraId="4FECA2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34073D70">
            <w:pPr>
              <w:spacing w:before="70" w:line="230" w:lineRule="auto"/>
              <w:ind w:left="330"/>
              <w:rPr>
                <w:rFonts w:ascii="宋体" w:hAnsi="宋体" w:eastAsia="宋体" w:cs="宋体"/>
                <w:sz w:val="15"/>
                <w:szCs w:val="15"/>
              </w:rPr>
            </w:pPr>
            <w:r>
              <w:rPr>
                <w:rFonts w:ascii="宋体" w:hAnsi="宋体" w:eastAsia="宋体" w:cs="宋体"/>
                <w:color w:val="212529"/>
                <w:spacing w:val="11"/>
                <w:sz w:val="15"/>
                <w:szCs w:val="15"/>
              </w:rPr>
              <w:t>其他工资福利支出</w:t>
            </w:r>
          </w:p>
        </w:tc>
        <w:tc>
          <w:tcPr>
            <w:tcW w:w="2278" w:type="dxa"/>
            <w:vAlign w:val="top"/>
          </w:tcPr>
          <w:p w14:paraId="6B428743">
            <w:pPr>
              <w:spacing w:before="70"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62134FDA">
            <w:pPr>
              <w:spacing w:before="94" w:line="190" w:lineRule="auto"/>
              <w:ind w:right="19"/>
              <w:jc w:val="right"/>
              <w:rPr>
                <w:rFonts w:ascii="宋体" w:hAnsi="宋体" w:eastAsia="宋体" w:cs="宋体"/>
                <w:sz w:val="15"/>
                <w:szCs w:val="15"/>
              </w:rPr>
            </w:pPr>
            <w:r>
              <w:rPr>
                <w:rFonts w:ascii="宋体" w:hAnsi="宋体" w:eastAsia="宋体" w:cs="宋体"/>
                <w:color w:val="212529"/>
                <w:spacing w:val="3"/>
                <w:sz w:val="15"/>
                <w:szCs w:val="15"/>
              </w:rPr>
              <w:t>5.53</w:t>
            </w:r>
          </w:p>
        </w:tc>
        <w:tc>
          <w:tcPr>
            <w:tcW w:w="1188" w:type="dxa"/>
            <w:vAlign w:val="top"/>
          </w:tcPr>
          <w:p w14:paraId="568723C8">
            <w:pPr>
              <w:spacing w:before="94" w:line="190" w:lineRule="auto"/>
              <w:ind w:right="16"/>
              <w:jc w:val="right"/>
              <w:rPr>
                <w:rFonts w:ascii="宋体" w:hAnsi="宋体" w:eastAsia="宋体" w:cs="宋体"/>
                <w:sz w:val="15"/>
                <w:szCs w:val="15"/>
              </w:rPr>
            </w:pPr>
            <w:r>
              <w:rPr>
                <w:rFonts w:ascii="宋体" w:hAnsi="宋体" w:eastAsia="宋体" w:cs="宋体"/>
                <w:color w:val="212529"/>
                <w:spacing w:val="3"/>
                <w:sz w:val="15"/>
                <w:szCs w:val="15"/>
              </w:rPr>
              <w:t>5.53</w:t>
            </w:r>
          </w:p>
        </w:tc>
        <w:tc>
          <w:tcPr>
            <w:tcW w:w="1118" w:type="dxa"/>
            <w:vAlign w:val="top"/>
          </w:tcPr>
          <w:p w14:paraId="35F6B367">
            <w:pPr>
              <w:pStyle w:val="6"/>
            </w:pPr>
          </w:p>
        </w:tc>
      </w:tr>
      <w:tr w14:paraId="1828DF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0E7ED0A6">
            <w:pPr>
              <w:spacing w:before="69" w:line="229" w:lineRule="auto"/>
              <w:ind w:left="9"/>
              <w:rPr>
                <w:rFonts w:ascii="宋体" w:hAnsi="宋体" w:eastAsia="宋体" w:cs="宋体"/>
                <w:sz w:val="15"/>
                <w:szCs w:val="15"/>
              </w:rPr>
            </w:pPr>
            <w:r>
              <w:rPr>
                <w:rFonts w:ascii="宋体" w:hAnsi="宋体" w:eastAsia="宋体" w:cs="宋体"/>
                <w:color w:val="212529"/>
                <w:spacing w:val="10"/>
                <w:sz w:val="15"/>
                <w:szCs w:val="15"/>
              </w:rPr>
              <w:t>商品和服务支出</w:t>
            </w:r>
          </w:p>
        </w:tc>
        <w:tc>
          <w:tcPr>
            <w:tcW w:w="2278" w:type="dxa"/>
            <w:vAlign w:val="top"/>
          </w:tcPr>
          <w:p w14:paraId="076D9409">
            <w:pPr>
              <w:pStyle w:val="6"/>
            </w:pPr>
          </w:p>
        </w:tc>
        <w:tc>
          <w:tcPr>
            <w:tcW w:w="1188" w:type="dxa"/>
            <w:vAlign w:val="top"/>
          </w:tcPr>
          <w:p w14:paraId="4DDBED4F">
            <w:pPr>
              <w:spacing w:before="93" w:line="191" w:lineRule="auto"/>
              <w:ind w:right="19"/>
              <w:jc w:val="right"/>
              <w:rPr>
                <w:rFonts w:ascii="宋体" w:hAnsi="宋体" w:eastAsia="宋体" w:cs="宋体"/>
                <w:sz w:val="15"/>
                <w:szCs w:val="15"/>
              </w:rPr>
            </w:pPr>
            <w:r>
              <w:rPr>
                <w:rFonts w:ascii="宋体" w:hAnsi="宋体" w:eastAsia="宋体" w:cs="宋体"/>
                <w:color w:val="212529"/>
                <w:spacing w:val="2"/>
                <w:sz w:val="15"/>
                <w:szCs w:val="15"/>
              </w:rPr>
              <w:t>13.78</w:t>
            </w:r>
          </w:p>
        </w:tc>
        <w:tc>
          <w:tcPr>
            <w:tcW w:w="1188" w:type="dxa"/>
            <w:vAlign w:val="top"/>
          </w:tcPr>
          <w:p w14:paraId="2D5A94BC">
            <w:pPr>
              <w:pStyle w:val="6"/>
            </w:pPr>
          </w:p>
        </w:tc>
        <w:tc>
          <w:tcPr>
            <w:tcW w:w="1118" w:type="dxa"/>
            <w:vAlign w:val="top"/>
          </w:tcPr>
          <w:p w14:paraId="7AF740BB">
            <w:pPr>
              <w:spacing w:before="93" w:line="191" w:lineRule="auto"/>
              <w:ind w:right="22"/>
              <w:jc w:val="right"/>
              <w:rPr>
                <w:rFonts w:ascii="宋体" w:hAnsi="宋体" w:eastAsia="宋体" w:cs="宋体"/>
                <w:sz w:val="15"/>
                <w:szCs w:val="15"/>
              </w:rPr>
            </w:pPr>
            <w:r>
              <w:rPr>
                <w:rFonts w:ascii="宋体" w:hAnsi="宋体" w:eastAsia="宋体" w:cs="宋体"/>
                <w:color w:val="212529"/>
                <w:spacing w:val="2"/>
                <w:sz w:val="15"/>
                <w:szCs w:val="15"/>
              </w:rPr>
              <w:t>13.78</w:t>
            </w:r>
          </w:p>
        </w:tc>
      </w:tr>
      <w:tr w14:paraId="2909E2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11B70CF0">
            <w:pPr>
              <w:spacing w:before="70" w:line="229" w:lineRule="auto"/>
              <w:ind w:left="334"/>
              <w:rPr>
                <w:rFonts w:ascii="宋体" w:hAnsi="宋体" w:eastAsia="宋体" w:cs="宋体"/>
                <w:sz w:val="15"/>
                <w:szCs w:val="15"/>
              </w:rPr>
            </w:pPr>
            <w:r>
              <w:rPr>
                <w:rFonts w:ascii="宋体" w:hAnsi="宋体" w:eastAsia="宋体" w:cs="宋体"/>
                <w:color w:val="212529"/>
                <w:spacing w:val="7"/>
                <w:sz w:val="15"/>
                <w:szCs w:val="15"/>
              </w:rPr>
              <w:t>办公费</w:t>
            </w:r>
          </w:p>
        </w:tc>
        <w:tc>
          <w:tcPr>
            <w:tcW w:w="2278" w:type="dxa"/>
            <w:vAlign w:val="top"/>
          </w:tcPr>
          <w:p w14:paraId="64E62E9D">
            <w:pPr>
              <w:spacing w:before="70" w:line="229" w:lineRule="auto"/>
              <w:ind w:left="328"/>
              <w:rPr>
                <w:rFonts w:ascii="宋体" w:hAnsi="宋体" w:eastAsia="宋体" w:cs="宋体"/>
                <w:sz w:val="15"/>
                <w:szCs w:val="15"/>
              </w:rPr>
            </w:pPr>
            <w:r>
              <w:rPr>
                <w:rFonts w:ascii="宋体" w:hAnsi="宋体" w:eastAsia="宋体" w:cs="宋体"/>
                <w:color w:val="212529"/>
                <w:spacing w:val="10"/>
                <w:sz w:val="15"/>
                <w:szCs w:val="15"/>
              </w:rPr>
              <w:t>商品和服务支出</w:t>
            </w:r>
          </w:p>
        </w:tc>
        <w:tc>
          <w:tcPr>
            <w:tcW w:w="1188" w:type="dxa"/>
            <w:vAlign w:val="top"/>
          </w:tcPr>
          <w:p w14:paraId="7A360D77">
            <w:pPr>
              <w:spacing w:before="95" w:line="190" w:lineRule="auto"/>
              <w:ind w:right="19"/>
              <w:jc w:val="right"/>
              <w:rPr>
                <w:rFonts w:ascii="宋体" w:hAnsi="宋体" w:eastAsia="宋体" w:cs="宋体"/>
                <w:sz w:val="15"/>
                <w:szCs w:val="15"/>
              </w:rPr>
            </w:pPr>
            <w:r>
              <w:rPr>
                <w:rFonts w:ascii="宋体" w:hAnsi="宋体" w:eastAsia="宋体" w:cs="宋体"/>
                <w:color w:val="212529"/>
                <w:spacing w:val="3"/>
                <w:sz w:val="15"/>
                <w:szCs w:val="15"/>
              </w:rPr>
              <w:t>3.63</w:t>
            </w:r>
          </w:p>
        </w:tc>
        <w:tc>
          <w:tcPr>
            <w:tcW w:w="1188" w:type="dxa"/>
            <w:vAlign w:val="top"/>
          </w:tcPr>
          <w:p w14:paraId="6496529C">
            <w:pPr>
              <w:pStyle w:val="6"/>
            </w:pPr>
          </w:p>
        </w:tc>
        <w:tc>
          <w:tcPr>
            <w:tcW w:w="1118" w:type="dxa"/>
            <w:vAlign w:val="top"/>
          </w:tcPr>
          <w:p w14:paraId="43AF6B31">
            <w:pPr>
              <w:spacing w:before="95" w:line="190" w:lineRule="auto"/>
              <w:ind w:right="22"/>
              <w:jc w:val="right"/>
              <w:rPr>
                <w:rFonts w:ascii="宋体" w:hAnsi="宋体" w:eastAsia="宋体" w:cs="宋体"/>
                <w:sz w:val="15"/>
                <w:szCs w:val="15"/>
              </w:rPr>
            </w:pPr>
            <w:r>
              <w:rPr>
                <w:rFonts w:ascii="宋体" w:hAnsi="宋体" w:eastAsia="宋体" w:cs="宋体"/>
                <w:color w:val="212529"/>
                <w:spacing w:val="3"/>
                <w:sz w:val="15"/>
                <w:szCs w:val="15"/>
              </w:rPr>
              <w:t>3.63</w:t>
            </w:r>
          </w:p>
        </w:tc>
      </w:tr>
      <w:tr w14:paraId="2CCC53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4B7CA723">
            <w:pPr>
              <w:spacing w:before="70" w:line="229" w:lineRule="auto"/>
              <w:ind w:left="344"/>
              <w:rPr>
                <w:rFonts w:ascii="宋体" w:hAnsi="宋体" w:eastAsia="宋体" w:cs="宋体"/>
                <w:sz w:val="15"/>
                <w:szCs w:val="15"/>
              </w:rPr>
            </w:pPr>
            <w:r>
              <w:rPr>
                <w:rFonts w:ascii="宋体" w:hAnsi="宋体" w:eastAsia="宋体" w:cs="宋体"/>
                <w:color w:val="212529"/>
                <w:spacing w:val="4"/>
                <w:sz w:val="15"/>
                <w:szCs w:val="15"/>
              </w:rPr>
              <w:t>印刷费</w:t>
            </w:r>
          </w:p>
        </w:tc>
        <w:tc>
          <w:tcPr>
            <w:tcW w:w="2278" w:type="dxa"/>
            <w:vAlign w:val="top"/>
          </w:tcPr>
          <w:p w14:paraId="0D8C52B9">
            <w:pPr>
              <w:spacing w:before="70" w:line="229" w:lineRule="auto"/>
              <w:ind w:left="328"/>
              <w:rPr>
                <w:rFonts w:ascii="宋体" w:hAnsi="宋体" w:eastAsia="宋体" w:cs="宋体"/>
                <w:sz w:val="15"/>
                <w:szCs w:val="15"/>
              </w:rPr>
            </w:pPr>
            <w:r>
              <w:rPr>
                <w:rFonts w:ascii="宋体" w:hAnsi="宋体" w:eastAsia="宋体" w:cs="宋体"/>
                <w:color w:val="212529"/>
                <w:spacing w:val="10"/>
                <w:sz w:val="15"/>
                <w:szCs w:val="15"/>
              </w:rPr>
              <w:t>商品和服务支出</w:t>
            </w:r>
          </w:p>
        </w:tc>
        <w:tc>
          <w:tcPr>
            <w:tcW w:w="1188" w:type="dxa"/>
            <w:vAlign w:val="top"/>
          </w:tcPr>
          <w:p w14:paraId="648D88EE">
            <w:pPr>
              <w:spacing w:before="95" w:line="190" w:lineRule="auto"/>
              <w:ind w:right="19"/>
              <w:jc w:val="right"/>
              <w:rPr>
                <w:rFonts w:ascii="宋体" w:hAnsi="宋体" w:eastAsia="宋体" w:cs="宋体"/>
                <w:sz w:val="15"/>
                <w:szCs w:val="15"/>
              </w:rPr>
            </w:pPr>
            <w:r>
              <w:rPr>
                <w:rFonts w:ascii="宋体" w:hAnsi="宋体" w:eastAsia="宋体" w:cs="宋体"/>
                <w:color w:val="212529"/>
                <w:spacing w:val="3"/>
                <w:sz w:val="15"/>
                <w:szCs w:val="15"/>
              </w:rPr>
              <w:t>2.00</w:t>
            </w:r>
          </w:p>
        </w:tc>
        <w:tc>
          <w:tcPr>
            <w:tcW w:w="1188" w:type="dxa"/>
            <w:vAlign w:val="top"/>
          </w:tcPr>
          <w:p w14:paraId="792EFC0C">
            <w:pPr>
              <w:pStyle w:val="6"/>
            </w:pPr>
          </w:p>
        </w:tc>
        <w:tc>
          <w:tcPr>
            <w:tcW w:w="1118" w:type="dxa"/>
            <w:vAlign w:val="top"/>
          </w:tcPr>
          <w:p w14:paraId="1E6CA7F1">
            <w:pPr>
              <w:spacing w:before="95" w:line="190" w:lineRule="auto"/>
              <w:ind w:right="22"/>
              <w:jc w:val="right"/>
              <w:rPr>
                <w:rFonts w:ascii="宋体" w:hAnsi="宋体" w:eastAsia="宋体" w:cs="宋体"/>
                <w:sz w:val="15"/>
                <w:szCs w:val="15"/>
              </w:rPr>
            </w:pPr>
            <w:r>
              <w:rPr>
                <w:rFonts w:ascii="宋体" w:hAnsi="宋体" w:eastAsia="宋体" w:cs="宋体"/>
                <w:color w:val="212529"/>
                <w:spacing w:val="3"/>
                <w:sz w:val="15"/>
                <w:szCs w:val="15"/>
              </w:rPr>
              <w:t>2.00</w:t>
            </w:r>
          </w:p>
        </w:tc>
      </w:tr>
      <w:tr w14:paraId="46B1A4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1CF9E2DA">
            <w:pPr>
              <w:spacing w:before="70" w:line="230" w:lineRule="auto"/>
              <w:ind w:left="349"/>
              <w:rPr>
                <w:rFonts w:ascii="宋体" w:hAnsi="宋体" w:eastAsia="宋体" w:cs="宋体"/>
                <w:sz w:val="15"/>
                <w:szCs w:val="15"/>
              </w:rPr>
            </w:pPr>
            <w:r>
              <w:rPr>
                <w:rFonts w:ascii="宋体" w:hAnsi="宋体" w:eastAsia="宋体" w:cs="宋体"/>
                <w:color w:val="212529"/>
                <w:spacing w:val="-2"/>
                <w:sz w:val="15"/>
                <w:szCs w:val="15"/>
              </w:rPr>
              <w:t>电费</w:t>
            </w:r>
          </w:p>
        </w:tc>
        <w:tc>
          <w:tcPr>
            <w:tcW w:w="2278" w:type="dxa"/>
            <w:vAlign w:val="top"/>
          </w:tcPr>
          <w:p w14:paraId="7C2878DC">
            <w:pPr>
              <w:spacing w:before="71" w:line="229" w:lineRule="auto"/>
              <w:ind w:left="328"/>
              <w:rPr>
                <w:rFonts w:ascii="宋体" w:hAnsi="宋体" w:eastAsia="宋体" w:cs="宋体"/>
                <w:sz w:val="15"/>
                <w:szCs w:val="15"/>
              </w:rPr>
            </w:pPr>
            <w:r>
              <w:rPr>
                <w:rFonts w:ascii="宋体" w:hAnsi="宋体" w:eastAsia="宋体" w:cs="宋体"/>
                <w:color w:val="212529"/>
                <w:spacing w:val="10"/>
                <w:sz w:val="15"/>
                <w:szCs w:val="15"/>
              </w:rPr>
              <w:t>商品和服务支出</w:t>
            </w:r>
          </w:p>
        </w:tc>
        <w:tc>
          <w:tcPr>
            <w:tcW w:w="1188" w:type="dxa"/>
            <w:vAlign w:val="top"/>
          </w:tcPr>
          <w:p w14:paraId="22C63A38">
            <w:pPr>
              <w:spacing w:before="95" w:line="190" w:lineRule="auto"/>
              <w:ind w:right="19"/>
              <w:jc w:val="right"/>
              <w:rPr>
                <w:rFonts w:ascii="宋体" w:hAnsi="宋体" w:eastAsia="宋体" w:cs="宋体"/>
                <w:sz w:val="15"/>
                <w:szCs w:val="15"/>
              </w:rPr>
            </w:pPr>
            <w:r>
              <w:rPr>
                <w:rFonts w:ascii="宋体" w:hAnsi="宋体" w:eastAsia="宋体" w:cs="宋体"/>
                <w:color w:val="212529"/>
                <w:spacing w:val="3"/>
                <w:sz w:val="15"/>
                <w:szCs w:val="15"/>
              </w:rPr>
              <w:t>0.20</w:t>
            </w:r>
          </w:p>
        </w:tc>
        <w:tc>
          <w:tcPr>
            <w:tcW w:w="1188" w:type="dxa"/>
            <w:vAlign w:val="top"/>
          </w:tcPr>
          <w:p w14:paraId="081D8A4A">
            <w:pPr>
              <w:pStyle w:val="6"/>
            </w:pPr>
          </w:p>
        </w:tc>
        <w:tc>
          <w:tcPr>
            <w:tcW w:w="1118" w:type="dxa"/>
            <w:vAlign w:val="top"/>
          </w:tcPr>
          <w:p w14:paraId="0FEDDE3E">
            <w:pPr>
              <w:spacing w:before="95" w:line="190" w:lineRule="auto"/>
              <w:ind w:right="22"/>
              <w:jc w:val="right"/>
              <w:rPr>
                <w:rFonts w:ascii="宋体" w:hAnsi="宋体" w:eastAsia="宋体" w:cs="宋体"/>
                <w:sz w:val="15"/>
                <w:szCs w:val="15"/>
              </w:rPr>
            </w:pPr>
            <w:r>
              <w:rPr>
                <w:rFonts w:ascii="宋体" w:hAnsi="宋体" w:eastAsia="宋体" w:cs="宋体"/>
                <w:color w:val="212529"/>
                <w:spacing w:val="3"/>
                <w:sz w:val="15"/>
                <w:szCs w:val="15"/>
              </w:rPr>
              <w:t>0.20</w:t>
            </w:r>
          </w:p>
        </w:tc>
      </w:tr>
      <w:tr w14:paraId="3CAF3E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776D008E">
            <w:pPr>
              <w:spacing w:before="70" w:line="230" w:lineRule="auto"/>
              <w:ind w:left="343"/>
              <w:rPr>
                <w:rFonts w:ascii="宋体" w:hAnsi="宋体" w:eastAsia="宋体" w:cs="宋体"/>
                <w:sz w:val="15"/>
                <w:szCs w:val="15"/>
              </w:rPr>
            </w:pPr>
            <w:r>
              <w:rPr>
                <w:rFonts w:ascii="宋体" w:hAnsi="宋体" w:eastAsia="宋体" w:cs="宋体"/>
                <w:color w:val="212529"/>
                <w:spacing w:val="4"/>
                <w:sz w:val="15"/>
                <w:szCs w:val="15"/>
              </w:rPr>
              <w:t>邮电费</w:t>
            </w:r>
          </w:p>
        </w:tc>
        <w:tc>
          <w:tcPr>
            <w:tcW w:w="2278" w:type="dxa"/>
            <w:vAlign w:val="top"/>
          </w:tcPr>
          <w:p w14:paraId="4C91465E">
            <w:pPr>
              <w:spacing w:before="70" w:line="229" w:lineRule="auto"/>
              <w:ind w:left="328"/>
              <w:rPr>
                <w:rFonts w:ascii="宋体" w:hAnsi="宋体" w:eastAsia="宋体" w:cs="宋体"/>
                <w:sz w:val="15"/>
                <w:szCs w:val="15"/>
              </w:rPr>
            </w:pPr>
            <w:r>
              <w:rPr>
                <w:rFonts w:ascii="宋体" w:hAnsi="宋体" w:eastAsia="宋体" w:cs="宋体"/>
                <w:color w:val="212529"/>
                <w:spacing w:val="10"/>
                <w:sz w:val="15"/>
                <w:szCs w:val="15"/>
              </w:rPr>
              <w:t>商品和服务支出</w:t>
            </w:r>
          </w:p>
        </w:tc>
        <w:tc>
          <w:tcPr>
            <w:tcW w:w="1188" w:type="dxa"/>
            <w:vAlign w:val="top"/>
          </w:tcPr>
          <w:p w14:paraId="3D7C615A">
            <w:pPr>
              <w:spacing w:before="94" w:line="191" w:lineRule="auto"/>
              <w:ind w:right="19"/>
              <w:jc w:val="right"/>
              <w:rPr>
                <w:rFonts w:ascii="宋体" w:hAnsi="宋体" w:eastAsia="宋体" w:cs="宋体"/>
                <w:sz w:val="15"/>
                <w:szCs w:val="15"/>
              </w:rPr>
            </w:pPr>
            <w:r>
              <w:rPr>
                <w:rFonts w:ascii="宋体" w:hAnsi="宋体" w:eastAsia="宋体" w:cs="宋体"/>
                <w:color w:val="212529"/>
                <w:spacing w:val="3"/>
                <w:sz w:val="15"/>
                <w:szCs w:val="15"/>
              </w:rPr>
              <w:t>0.15</w:t>
            </w:r>
          </w:p>
        </w:tc>
        <w:tc>
          <w:tcPr>
            <w:tcW w:w="1188" w:type="dxa"/>
            <w:vAlign w:val="top"/>
          </w:tcPr>
          <w:p w14:paraId="4719617B">
            <w:pPr>
              <w:pStyle w:val="6"/>
            </w:pPr>
          </w:p>
        </w:tc>
        <w:tc>
          <w:tcPr>
            <w:tcW w:w="1118" w:type="dxa"/>
            <w:vAlign w:val="top"/>
          </w:tcPr>
          <w:p w14:paraId="48D09841">
            <w:pPr>
              <w:spacing w:before="94" w:line="191" w:lineRule="auto"/>
              <w:ind w:right="22"/>
              <w:jc w:val="right"/>
              <w:rPr>
                <w:rFonts w:ascii="宋体" w:hAnsi="宋体" w:eastAsia="宋体" w:cs="宋体"/>
                <w:sz w:val="15"/>
                <w:szCs w:val="15"/>
              </w:rPr>
            </w:pPr>
            <w:r>
              <w:rPr>
                <w:rFonts w:ascii="宋体" w:hAnsi="宋体" w:eastAsia="宋体" w:cs="宋体"/>
                <w:color w:val="212529"/>
                <w:spacing w:val="3"/>
                <w:sz w:val="15"/>
                <w:szCs w:val="15"/>
              </w:rPr>
              <w:t>0.15</w:t>
            </w:r>
          </w:p>
        </w:tc>
      </w:tr>
      <w:tr w14:paraId="371A0D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20078315">
            <w:pPr>
              <w:spacing w:before="70" w:line="230" w:lineRule="auto"/>
              <w:ind w:left="333"/>
              <w:rPr>
                <w:rFonts w:ascii="宋体" w:hAnsi="宋体" w:eastAsia="宋体" w:cs="宋体"/>
                <w:sz w:val="15"/>
                <w:szCs w:val="15"/>
              </w:rPr>
            </w:pPr>
            <w:r>
              <w:rPr>
                <w:rFonts w:ascii="宋体" w:hAnsi="宋体" w:eastAsia="宋体" w:cs="宋体"/>
                <w:color w:val="212529"/>
                <w:spacing w:val="8"/>
                <w:sz w:val="15"/>
                <w:szCs w:val="15"/>
              </w:rPr>
              <w:t>差旅费</w:t>
            </w:r>
          </w:p>
        </w:tc>
        <w:tc>
          <w:tcPr>
            <w:tcW w:w="2278" w:type="dxa"/>
            <w:vAlign w:val="top"/>
          </w:tcPr>
          <w:p w14:paraId="082CBF61">
            <w:pPr>
              <w:spacing w:before="70" w:line="229" w:lineRule="auto"/>
              <w:ind w:left="328"/>
              <w:rPr>
                <w:rFonts w:ascii="宋体" w:hAnsi="宋体" w:eastAsia="宋体" w:cs="宋体"/>
                <w:sz w:val="15"/>
                <w:szCs w:val="15"/>
              </w:rPr>
            </w:pPr>
            <w:r>
              <w:rPr>
                <w:rFonts w:ascii="宋体" w:hAnsi="宋体" w:eastAsia="宋体" w:cs="宋体"/>
                <w:color w:val="212529"/>
                <w:spacing w:val="10"/>
                <w:sz w:val="15"/>
                <w:szCs w:val="15"/>
              </w:rPr>
              <w:t>商品和服务支出</w:t>
            </w:r>
          </w:p>
        </w:tc>
        <w:tc>
          <w:tcPr>
            <w:tcW w:w="1188" w:type="dxa"/>
            <w:vAlign w:val="top"/>
          </w:tcPr>
          <w:p w14:paraId="2D14BE94">
            <w:pPr>
              <w:spacing w:before="94" w:line="191" w:lineRule="auto"/>
              <w:ind w:right="19"/>
              <w:jc w:val="right"/>
              <w:rPr>
                <w:rFonts w:ascii="宋体" w:hAnsi="宋体" w:eastAsia="宋体" w:cs="宋体"/>
                <w:sz w:val="15"/>
                <w:szCs w:val="15"/>
              </w:rPr>
            </w:pPr>
            <w:r>
              <w:rPr>
                <w:rFonts w:ascii="宋体" w:hAnsi="宋体" w:eastAsia="宋体" w:cs="宋体"/>
                <w:color w:val="212529"/>
                <w:spacing w:val="1"/>
                <w:sz w:val="15"/>
                <w:szCs w:val="15"/>
              </w:rPr>
              <w:t>1.98</w:t>
            </w:r>
          </w:p>
        </w:tc>
        <w:tc>
          <w:tcPr>
            <w:tcW w:w="1188" w:type="dxa"/>
            <w:vAlign w:val="top"/>
          </w:tcPr>
          <w:p w14:paraId="4226519B">
            <w:pPr>
              <w:pStyle w:val="6"/>
            </w:pPr>
          </w:p>
        </w:tc>
        <w:tc>
          <w:tcPr>
            <w:tcW w:w="1118" w:type="dxa"/>
            <w:vAlign w:val="top"/>
          </w:tcPr>
          <w:p w14:paraId="6A6ED51F">
            <w:pPr>
              <w:spacing w:before="94" w:line="191" w:lineRule="auto"/>
              <w:ind w:right="22"/>
              <w:jc w:val="right"/>
              <w:rPr>
                <w:rFonts w:ascii="宋体" w:hAnsi="宋体" w:eastAsia="宋体" w:cs="宋体"/>
                <w:sz w:val="15"/>
                <w:szCs w:val="15"/>
              </w:rPr>
            </w:pPr>
            <w:r>
              <w:rPr>
                <w:rFonts w:ascii="宋体" w:hAnsi="宋体" w:eastAsia="宋体" w:cs="宋体"/>
                <w:color w:val="212529"/>
                <w:spacing w:val="1"/>
                <w:sz w:val="15"/>
                <w:szCs w:val="15"/>
              </w:rPr>
              <w:t>1.98</w:t>
            </w:r>
          </w:p>
        </w:tc>
      </w:tr>
      <w:tr w14:paraId="6AD769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0038D931">
            <w:pPr>
              <w:spacing w:before="71" w:line="229" w:lineRule="auto"/>
              <w:ind w:left="333"/>
              <w:rPr>
                <w:rFonts w:ascii="宋体" w:hAnsi="宋体" w:eastAsia="宋体" w:cs="宋体"/>
                <w:sz w:val="15"/>
                <w:szCs w:val="15"/>
              </w:rPr>
            </w:pPr>
            <w:r>
              <w:rPr>
                <w:rFonts w:ascii="宋体" w:hAnsi="宋体" w:eastAsia="宋体" w:cs="宋体"/>
                <w:color w:val="212529"/>
                <w:spacing w:val="6"/>
                <w:sz w:val="15"/>
                <w:szCs w:val="15"/>
              </w:rPr>
              <w:t>维修（护）</w:t>
            </w:r>
            <w:r>
              <w:rPr>
                <w:rFonts w:ascii="宋体" w:hAnsi="宋体" w:eastAsia="宋体" w:cs="宋体"/>
                <w:color w:val="212529"/>
                <w:spacing w:val="-45"/>
                <w:sz w:val="15"/>
                <w:szCs w:val="15"/>
              </w:rPr>
              <w:t xml:space="preserve"> </w:t>
            </w:r>
            <w:r>
              <w:rPr>
                <w:rFonts w:ascii="宋体" w:hAnsi="宋体" w:eastAsia="宋体" w:cs="宋体"/>
                <w:color w:val="212529"/>
                <w:spacing w:val="6"/>
                <w:sz w:val="15"/>
                <w:szCs w:val="15"/>
              </w:rPr>
              <w:t>费</w:t>
            </w:r>
          </w:p>
        </w:tc>
        <w:tc>
          <w:tcPr>
            <w:tcW w:w="2278" w:type="dxa"/>
            <w:vAlign w:val="top"/>
          </w:tcPr>
          <w:p w14:paraId="1FDDAA28">
            <w:pPr>
              <w:spacing w:before="71" w:line="229" w:lineRule="auto"/>
              <w:ind w:left="328"/>
              <w:rPr>
                <w:rFonts w:ascii="宋体" w:hAnsi="宋体" w:eastAsia="宋体" w:cs="宋体"/>
                <w:sz w:val="15"/>
                <w:szCs w:val="15"/>
              </w:rPr>
            </w:pPr>
            <w:r>
              <w:rPr>
                <w:rFonts w:ascii="宋体" w:hAnsi="宋体" w:eastAsia="宋体" w:cs="宋体"/>
                <w:color w:val="212529"/>
                <w:spacing w:val="10"/>
                <w:sz w:val="15"/>
                <w:szCs w:val="15"/>
              </w:rPr>
              <w:t>商品和服务支出</w:t>
            </w:r>
          </w:p>
        </w:tc>
        <w:tc>
          <w:tcPr>
            <w:tcW w:w="1188" w:type="dxa"/>
            <w:vAlign w:val="top"/>
          </w:tcPr>
          <w:p w14:paraId="21D22C5D">
            <w:pPr>
              <w:spacing w:before="95" w:line="191" w:lineRule="auto"/>
              <w:ind w:right="19"/>
              <w:jc w:val="right"/>
              <w:rPr>
                <w:rFonts w:ascii="宋体" w:hAnsi="宋体" w:eastAsia="宋体" w:cs="宋体"/>
                <w:sz w:val="15"/>
                <w:szCs w:val="15"/>
              </w:rPr>
            </w:pPr>
            <w:r>
              <w:rPr>
                <w:rFonts w:ascii="宋体" w:hAnsi="宋体" w:eastAsia="宋体" w:cs="宋体"/>
                <w:color w:val="212529"/>
                <w:spacing w:val="3"/>
                <w:sz w:val="15"/>
                <w:szCs w:val="15"/>
              </w:rPr>
              <w:t>0.10</w:t>
            </w:r>
          </w:p>
        </w:tc>
        <w:tc>
          <w:tcPr>
            <w:tcW w:w="1188" w:type="dxa"/>
            <w:vAlign w:val="top"/>
          </w:tcPr>
          <w:p w14:paraId="65507E82">
            <w:pPr>
              <w:pStyle w:val="6"/>
            </w:pPr>
          </w:p>
        </w:tc>
        <w:tc>
          <w:tcPr>
            <w:tcW w:w="1118" w:type="dxa"/>
            <w:vAlign w:val="top"/>
          </w:tcPr>
          <w:p w14:paraId="11B991FA">
            <w:pPr>
              <w:spacing w:before="95" w:line="191" w:lineRule="auto"/>
              <w:ind w:right="22"/>
              <w:jc w:val="right"/>
              <w:rPr>
                <w:rFonts w:ascii="宋体" w:hAnsi="宋体" w:eastAsia="宋体" w:cs="宋体"/>
                <w:sz w:val="15"/>
                <w:szCs w:val="15"/>
              </w:rPr>
            </w:pPr>
            <w:r>
              <w:rPr>
                <w:rFonts w:ascii="宋体" w:hAnsi="宋体" w:eastAsia="宋体" w:cs="宋体"/>
                <w:color w:val="212529"/>
                <w:spacing w:val="3"/>
                <w:sz w:val="15"/>
                <w:szCs w:val="15"/>
              </w:rPr>
              <w:t>0.10</w:t>
            </w:r>
          </w:p>
        </w:tc>
      </w:tr>
      <w:tr w14:paraId="00959C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7AA32E58">
            <w:pPr>
              <w:spacing w:before="72" w:line="229" w:lineRule="auto"/>
              <w:ind w:left="330"/>
              <w:rPr>
                <w:rFonts w:ascii="宋体" w:hAnsi="宋体" w:eastAsia="宋体" w:cs="宋体"/>
                <w:sz w:val="15"/>
                <w:szCs w:val="15"/>
              </w:rPr>
            </w:pPr>
            <w:r>
              <w:rPr>
                <w:rFonts w:ascii="宋体" w:hAnsi="宋体" w:eastAsia="宋体" w:cs="宋体"/>
                <w:color w:val="212529"/>
                <w:spacing w:val="10"/>
                <w:sz w:val="15"/>
                <w:szCs w:val="15"/>
              </w:rPr>
              <w:t>委托业务费</w:t>
            </w:r>
          </w:p>
        </w:tc>
        <w:tc>
          <w:tcPr>
            <w:tcW w:w="2278" w:type="dxa"/>
            <w:vAlign w:val="top"/>
          </w:tcPr>
          <w:p w14:paraId="177F6493">
            <w:pPr>
              <w:spacing w:before="72" w:line="229" w:lineRule="auto"/>
              <w:ind w:left="328"/>
              <w:rPr>
                <w:rFonts w:ascii="宋体" w:hAnsi="宋体" w:eastAsia="宋体" w:cs="宋体"/>
                <w:sz w:val="15"/>
                <w:szCs w:val="15"/>
              </w:rPr>
            </w:pPr>
            <w:r>
              <w:rPr>
                <w:rFonts w:ascii="宋体" w:hAnsi="宋体" w:eastAsia="宋体" w:cs="宋体"/>
                <w:color w:val="212529"/>
                <w:spacing w:val="10"/>
                <w:sz w:val="15"/>
                <w:szCs w:val="15"/>
              </w:rPr>
              <w:t>商品和服务支出</w:t>
            </w:r>
          </w:p>
        </w:tc>
        <w:tc>
          <w:tcPr>
            <w:tcW w:w="1188" w:type="dxa"/>
            <w:vAlign w:val="top"/>
          </w:tcPr>
          <w:p w14:paraId="0750F45F">
            <w:pPr>
              <w:spacing w:before="95" w:line="191" w:lineRule="auto"/>
              <w:ind w:right="19"/>
              <w:jc w:val="right"/>
              <w:rPr>
                <w:rFonts w:ascii="宋体" w:hAnsi="宋体" w:eastAsia="宋体" w:cs="宋体"/>
                <w:sz w:val="15"/>
                <w:szCs w:val="15"/>
              </w:rPr>
            </w:pPr>
            <w:r>
              <w:rPr>
                <w:rFonts w:ascii="宋体" w:hAnsi="宋体" w:eastAsia="宋体" w:cs="宋体"/>
                <w:color w:val="212529"/>
                <w:spacing w:val="3"/>
                <w:sz w:val="15"/>
                <w:szCs w:val="15"/>
              </w:rPr>
              <w:t>0.10</w:t>
            </w:r>
          </w:p>
        </w:tc>
        <w:tc>
          <w:tcPr>
            <w:tcW w:w="1188" w:type="dxa"/>
            <w:vAlign w:val="top"/>
          </w:tcPr>
          <w:p w14:paraId="15020552">
            <w:pPr>
              <w:pStyle w:val="6"/>
            </w:pPr>
          </w:p>
        </w:tc>
        <w:tc>
          <w:tcPr>
            <w:tcW w:w="1118" w:type="dxa"/>
            <w:vAlign w:val="top"/>
          </w:tcPr>
          <w:p w14:paraId="26A6A5A8">
            <w:pPr>
              <w:spacing w:before="95" w:line="191" w:lineRule="auto"/>
              <w:ind w:right="22"/>
              <w:jc w:val="right"/>
              <w:rPr>
                <w:rFonts w:ascii="宋体" w:hAnsi="宋体" w:eastAsia="宋体" w:cs="宋体"/>
                <w:sz w:val="15"/>
                <w:szCs w:val="15"/>
              </w:rPr>
            </w:pPr>
            <w:r>
              <w:rPr>
                <w:rFonts w:ascii="宋体" w:hAnsi="宋体" w:eastAsia="宋体" w:cs="宋体"/>
                <w:color w:val="212529"/>
                <w:spacing w:val="3"/>
                <w:sz w:val="15"/>
                <w:szCs w:val="15"/>
              </w:rPr>
              <w:t>0.10</w:t>
            </w:r>
          </w:p>
        </w:tc>
      </w:tr>
      <w:tr w14:paraId="5923BE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514EA8F4">
            <w:pPr>
              <w:spacing w:before="71" w:line="229" w:lineRule="auto"/>
              <w:ind w:left="336"/>
              <w:rPr>
                <w:rFonts w:ascii="宋体" w:hAnsi="宋体" w:eastAsia="宋体" w:cs="宋体"/>
                <w:sz w:val="15"/>
                <w:szCs w:val="15"/>
              </w:rPr>
            </w:pPr>
            <w:r>
              <w:rPr>
                <w:rFonts w:ascii="宋体" w:hAnsi="宋体" w:eastAsia="宋体" w:cs="宋体"/>
                <w:color w:val="212529"/>
                <w:spacing w:val="10"/>
                <w:sz w:val="15"/>
                <w:szCs w:val="15"/>
              </w:rPr>
              <w:t>公务用车运行维护费</w:t>
            </w:r>
          </w:p>
        </w:tc>
        <w:tc>
          <w:tcPr>
            <w:tcW w:w="2278" w:type="dxa"/>
            <w:vAlign w:val="top"/>
          </w:tcPr>
          <w:p w14:paraId="59164E38">
            <w:pPr>
              <w:spacing w:before="71" w:line="229" w:lineRule="auto"/>
              <w:ind w:left="331"/>
              <w:rPr>
                <w:rFonts w:ascii="宋体" w:hAnsi="宋体" w:eastAsia="宋体" w:cs="宋体"/>
                <w:sz w:val="15"/>
                <w:szCs w:val="15"/>
              </w:rPr>
            </w:pPr>
            <w:r>
              <w:rPr>
                <w:rFonts w:ascii="宋体" w:hAnsi="宋体" w:eastAsia="宋体" w:cs="宋体"/>
                <w:color w:val="212529"/>
                <w:spacing w:val="10"/>
                <w:sz w:val="15"/>
                <w:szCs w:val="15"/>
              </w:rPr>
              <w:t>公务用车运行维护费</w:t>
            </w:r>
          </w:p>
        </w:tc>
        <w:tc>
          <w:tcPr>
            <w:tcW w:w="1188" w:type="dxa"/>
            <w:vAlign w:val="top"/>
          </w:tcPr>
          <w:p w14:paraId="5D076769">
            <w:pPr>
              <w:spacing w:before="95" w:line="191" w:lineRule="auto"/>
              <w:ind w:right="19"/>
              <w:jc w:val="right"/>
              <w:rPr>
                <w:rFonts w:ascii="宋体" w:hAnsi="宋体" w:eastAsia="宋体" w:cs="宋体"/>
                <w:sz w:val="15"/>
                <w:szCs w:val="15"/>
              </w:rPr>
            </w:pPr>
            <w:r>
              <w:rPr>
                <w:rFonts w:ascii="宋体" w:hAnsi="宋体" w:eastAsia="宋体" w:cs="宋体"/>
                <w:color w:val="212529"/>
                <w:spacing w:val="1"/>
                <w:sz w:val="15"/>
                <w:szCs w:val="15"/>
              </w:rPr>
              <w:t>1.00</w:t>
            </w:r>
          </w:p>
        </w:tc>
        <w:tc>
          <w:tcPr>
            <w:tcW w:w="1188" w:type="dxa"/>
            <w:vAlign w:val="top"/>
          </w:tcPr>
          <w:p w14:paraId="102C56ED">
            <w:pPr>
              <w:pStyle w:val="6"/>
            </w:pPr>
          </w:p>
        </w:tc>
        <w:tc>
          <w:tcPr>
            <w:tcW w:w="1118" w:type="dxa"/>
            <w:vAlign w:val="top"/>
          </w:tcPr>
          <w:p w14:paraId="5BA73BF1">
            <w:pPr>
              <w:spacing w:before="95" w:line="191" w:lineRule="auto"/>
              <w:ind w:right="22"/>
              <w:jc w:val="right"/>
              <w:rPr>
                <w:rFonts w:ascii="宋体" w:hAnsi="宋体" w:eastAsia="宋体" w:cs="宋体"/>
                <w:sz w:val="15"/>
                <w:szCs w:val="15"/>
              </w:rPr>
            </w:pPr>
            <w:r>
              <w:rPr>
                <w:rFonts w:ascii="宋体" w:hAnsi="宋体" w:eastAsia="宋体" w:cs="宋体"/>
                <w:color w:val="212529"/>
                <w:spacing w:val="1"/>
                <w:sz w:val="15"/>
                <w:szCs w:val="15"/>
              </w:rPr>
              <w:t>1.00</w:t>
            </w:r>
          </w:p>
        </w:tc>
      </w:tr>
      <w:tr w14:paraId="3DC6D4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01634A2B">
            <w:pPr>
              <w:spacing w:before="72" w:line="230" w:lineRule="auto"/>
              <w:ind w:left="330"/>
              <w:rPr>
                <w:rFonts w:ascii="宋体" w:hAnsi="宋体" w:eastAsia="宋体" w:cs="宋体"/>
                <w:sz w:val="15"/>
                <w:szCs w:val="15"/>
              </w:rPr>
            </w:pPr>
            <w:r>
              <w:rPr>
                <w:rFonts w:ascii="宋体" w:hAnsi="宋体" w:eastAsia="宋体" w:cs="宋体"/>
                <w:color w:val="212529"/>
                <w:spacing w:val="10"/>
                <w:sz w:val="15"/>
                <w:szCs w:val="15"/>
              </w:rPr>
              <w:t>其他交通费用</w:t>
            </w:r>
          </w:p>
        </w:tc>
        <w:tc>
          <w:tcPr>
            <w:tcW w:w="2278" w:type="dxa"/>
            <w:vAlign w:val="top"/>
          </w:tcPr>
          <w:p w14:paraId="526F4844">
            <w:pPr>
              <w:spacing w:before="72" w:line="229" w:lineRule="auto"/>
              <w:ind w:left="328"/>
              <w:rPr>
                <w:rFonts w:ascii="宋体" w:hAnsi="宋体" w:eastAsia="宋体" w:cs="宋体"/>
                <w:sz w:val="15"/>
                <w:szCs w:val="15"/>
              </w:rPr>
            </w:pPr>
            <w:r>
              <w:rPr>
                <w:rFonts w:ascii="宋体" w:hAnsi="宋体" w:eastAsia="宋体" w:cs="宋体"/>
                <w:color w:val="212529"/>
                <w:spacing w:val="10"/>
                <w:sz w:val="15"/>
                <w:szCs w:val="15"/>
              </w:rPr>
              <w:t>商品和服务支出</w:t>
            </w:r>
          </w:p>
        </w:tc>
        <w:tc>
          <w:tcPr>
            <w:tcW w:w="1188" w:type="dxa"/>
            <w:vAlign w:val="top"/>
          </w:tcPr>
          <w:p w14:paraId="57239120">
            <w:pPr>
              <w:spacing w:before="96" w:line="191" w:lineRule="auto"/>
              <w:ind w:right="19"/>
              <w:jc w:val="right"/>
              <w:rPr>
                <w:rFonts w:ascii="宋体" w:hAnsi="宋体" w:eastAsia="宋体" w:cs="宋体"/>
                <w:sz w:val="15"/>
                <w:szCs w:val="15"/>
              </w:rPr>
            </w:pPr>
            <w:r>
              <w:rPr>
                <w:rFonts w:ascii="宋体" w:hAnsi="宋体" w:eastAsia="宋体" w:cs="宋体"/>
                <w:color w:val="212529"/>
                <w:spacing w:val="3"/>
                <w:sz w:val="15"/>
                <w:szCs w:val="15"/>
              </w:rPr>
              <w:t>2.61</w:t>
            </w:r>
          </w:p>
        </w:tc>
        <w:tc>
          <w:tcPr>
            <w:tcW w:w="1188" w:type="dxa"/>
            <w:vAlign w:val="top"/>
          </w:tcPr>
          <w:p w14:paraId="49326645">
            <w:pPr>
              <w:pStyle w:val="6"/>
            </w:pPr>
          </w:p>
        </w:tc>
        <w:tc>
          <w:tcPr>
            <w:tcW w:w="1118" w:type="dxa"/>
            <w:vAlign w:val="top"/>
          </w:tcPr>
          <w:p w14:paraId="27251349">
            <w:pPr>
              <w:spacing w:before="96" w:line="191" w:lineRule="auto"/>
              <w:ind w:right="22"/>
              <w:jc w:val="right"/>
              <w:rPr>
                <w:rFonts w:ascii="宋体" w:hAnsi="宋体" w:eastAsia="宋体" w:cs="宋体"/>
                <w:sz w:val="15"/>
                <w:szCs w:val="15"/>
              </w:rPr>
            </w:pPr>
            <w:r>
              <w:rPr>
                <w:rFonts w:ascii="宋体" w:hAnsi="宋体" w:eastAsia="宋体" w:cs="宋体"/>
                <w:color w:val="212529"/>
                <w:spacing w:val="3"/>
                <w:sz w:val="15"/>
                <w:szCs w:val="15"/>
              </w:rPr>
              <w:t>2.61</w:t>
            </w:r>
          </w:p>
        </w:tc>
      </w:tr>
      <w:tr w14:paraId="632ED3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0B05F568">
            <w:pPr>
              <w:spacing w:before="73" w:line="229" w:lineRule="auto"/>
              <w:ind w:left="330"/>
              <w:rPr>
                <w:rFonts w:ascii="宋体" w:hAnsi="宋体" w:eastAsia="宋体" w:cs="宋体"/>
                <w:sz w:val="15"/>
                <w:szCs w:val="15"/>
              </w:rPr>
            </w:pPr>
            <w:r>
              <w:rPr>
                <w:rFonts w:ascii="宋体" w:hAnsi="宋体" w:eastAsia="宋体" w:cs="宋体"/>
                <w:color w:val="212529"/>
                <w:spacing w:val="11"/>
                <w:sz w:val="15"/>
                <w:szCs w:val="15"/>
              </w:rPr>
              <w:t>其他商品和服务支出</w:t>
            </w:r>
          </w:p>
        </w:tc>
        <w:tc>
          <w:tcPr>
            <w:tcW w:w="2278" w:type="dxa"/>
            <w:vAlign w:val="top"/>
          </w:tcPr>
          <w:p w14:paraId="0C42C5C7">
            <w:pPr>
              <w:spacing w:before="73" w:line="229" w:lineRule="auto"/>
              <w:ind w:left="328"/>
              <w:rPr>
                <w:rFonts w:ascii="宋体" w:hAnsi="宋体" w:eastAsia="宋体" w:cs="宋体"/>
                <w:sz w:val="15"/>
                <w:szCs w:val="15"/>
              </w:rPr>
            </w:pPr>
            <w:r>
              <w:rPr>
                <w:rFonts w:ascii="宋体" w:hAnsi="宋体" w:eastAsia="宋体" w:cs="宋体"/>
                <w:color w:val="212529"/>
                <w:spacing w:val="10"/>
                <w:sz w:val="15"/>
                <w:szCs w:val="15"/>
              </w:rPr>
              <w:t>商品和服务支出</w:t>
            </w:r>
          </w:p>
        </w:tc>
        <w:tc>
          <w:tcPr>
            <w:tcW w:w="1188" w:type="dxa"/>
            <w:vAlign w:val="top"/>
          </w:tcPr>
          <w:p w14:paraId="21B549B3">
            <w:pPr>
              <w:spacing w:before="97" w:line="191" w:lineRule="auto"/>
              <w:ind w:right="19"/>
              <w:jc w:val="right"/>
              <w:rPr>
                <w:rFonts w:ascii="宋体" w:hAnsi="宋体" w:eastAsia="宋体" w:cs="宋体"/>
                <w:sz w:val="15"/>
                <w:szCs w:val="15"/>
              </w:rPr>
            </w:pPr>
            <w:r>
              <w:rPr>
                <w:rFonts w:ascii="宋体" w:hAnsi="宋体" w:eastAsia="宋体" w:cs="宋体"/>
                <w:color w:val="212529"/>
                <w:spacing w:val="3"/>
                <w:sz w:val="15"/>
                <w:szCs w:val="15"/>
              </w:rPr>
              <w:t>2.01</w:t>
            </w:r>
          </w:p>
        </w:tc>
        <w:tc>
          <w:tcPr>
            <w:tcW w:w="1188" w:type="dxa"/>
            <w:vAlign w:val="top"/>
          </w:tcPr>
          <w:p w14:paraId="3094A972">
            <w:pPr>
              <w:pStyle w:val="6"/>
            </w:pPr>
          </w:p>
        </w:tc>
        <w:tc>
          <w:tcPr>
            <w:tcW w:w="1118" w:type="dxa"/>
            <w:vAlign w:val="top"/>
          </w:tcPr>
          <w:p w14:paraId="13775FBA">
            <w:pPr>
              <w:spacing w:before="97" w:line="191" w:lineRule="auto"/>
              <w:ind w:right="22"/>
              <w:jc w:val="right"/>
              <w:rPr>
                <w:rFonts w:ascii="宋体" w:hAnsi="宋体" w:eastAsia="宋体" w:cs="宋体"/>
                <w:sz w:val="15"/>
                <w:szCs w:val="15"/>
              </w:rPr>
            </w:pPr>
            <w:r>
              <w:rPr>
                <w:rFonts w:ascii="宋体" w:hAnsi="宋体" w:eastAsia="宋体" w:cs="宋体"/>
                <w:color w:val="212529"/>
                <w:spacing w:val="3"/>
                <w:sz w:val="15"/>
                <w:szCs w:val="15"/>
              </w:rPr>
              <w:t>2.01</w:t>
            </w:r>
          </w:p>
        </w:tc>
      </w:tr>
      <w:tr w14:paraId="287417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2818145F">
            <w:pPr>
              <w:spacing w:before="72" w:line="229" w:lineRule="auto"/>
              <w:ind w:left="6"/>
              <w:rPr>
                <w:rFonts w:ascii="宋体" w:hAnsi="宋体" w:eastAsia="宋体" w:cs="宋体"/>
                <w:sz w:val="15"/>
                <w:szCs w:val="15"/>
              </w:rPr>
            </w:pPr>
            <w:r>
              <w:rPr>
                <w:rFonts w:ascii="宋体" w:hAnsi="宋体" w:eastAsia="宋体" w:cs="宋体"/>
                <w:color w:val="212529"/>
                <w:spacing w:val="11"/>
                <w:sz w:val="15"/>
                <w:szCs w:val="15"/>
              </w:rPr>
              <w:t>对个人和家庭的补助</w:t>
            </w:r>
          </w:p>
        </w:tc>
        <w:tc>
          <w:tcPr>
            <w:tcW w:w="2278" w:type="dxa"/>
            <w:vAlign w:val="top"/>
          </w:tcPr>
          <w:p w14:paraId="3DB34196">
            <w:pPr>
              <w:pStyle w:val="6"/>
            </w:pPr>
          </w:p>
        </w:tc>
        <w:tc>
          <w:tcPr>
            <w:tcW w:w="1188" w:type="dxa"/>
            <w:vAlign w:val="top"/>
          </w:tcPr>
          <w:p w14:paraId="1BEA6543">
            <w:pPr>
              <w:spacing w:before="97" w:line="190" w:lineRule="auto"/>
              <w:ind w:right="19"/>
              <w:jc w:val="right"/>
              <w:rPr>
                <w:rFonts w:ascii="宋体" w:hAnsi="宋体" w:eastAsia="宋体" w:cs="宋体"/>
                <w:sz w:val="15"/>
                <w:szCs w:val="15"/>
              </w:rPr>
            </w:pPr>
            <w:r>
              <w:rPr>
                <w:rFonts w:ascii="宋体" w:hAnsi="宋体" w:eastAsia="宋体" w:cs="宋体"/>
                <w:color w:val="212529"/>
                <w:spacing w:val="4"/>
                <w:sz w:val="15"/>
                <w:szCs w:val="15"/>
              </w:rPr>
              <w:t>4.83</w:t>
            </w:r>
          </w:p>
        </w:tc>
        <w:tc>
          <w:tcPr>
            <w:tcW w:w="1188" w:type="dxa"/>
            <w:vAlign w:val="top"/>
          </w:tcPr>
          <w:p w14:paraId="01703672">
            <w:pPr>
              <w:spacing w:before="97" w:line="190" w:lineRule="auto"/>
              <w:ind w:right="16"/>
              <w:jc w:val="right"/>
              <w:rPr>
                <w:rFonts w:ascii="宋体" w:hAnsi="宋体" w:eastAsia="宋体" w:cs="宋体"/>
                <w:sz w:val="15"/>
                <w:szCs w:val="15"/>
              </w:rPr>
            </w:pPr>
            <w:r>
              <w:rPr>
                <w:rFonts w:ascii="宋体" w:hAnsi="宋体" w:eastAsia="宋体" w:cs="宋体"/>
                <w:color w:val="212529"/>
                <w:spacing w:val="3"/>
                <w:sz w:val="15"/>
                <w:szCs w:val="15"/>
              </w:rPr>
              <w:t>3.39</w:t>
            </w:r>
          </w:p>
        </w:tc>
        <w:tc>
          <w:tcPr>
            <w:tcW w:w="1118" w:type="dxa"/>
            <w:vAlign w:val="top"/>
          </w:tcPr>
          <w:p w14:paraId="2876AE41">
            <w:pPr>
              <w:spacing w:before="96" w:line="191" w:lineRule="auto"/>
              <w:ind w:right="22"/>
              <w:jc w:val="right"/>
              <w:rPr>
                <w:rFonts w:ascii="宋体" w:hAnsi="宋体" w:eastAsia="宋体" w:cs="宋体"/>
                <w:sz w:val="15"/>
                <w:szCs w:val="15"/>
              </w:rPr>
            </w:pPr>
            <w:r>
              <w:rPr>
                <w:rFonts w:ascii="宋体" w:hAnsi="宋体" w:eastAsia="宋体" w:cs="宋体"/>
                <w:color w:val="212529"/>
                <w:spacing w:val="1"/>
                <w:sz w:val="15"/>
                <w:szCs w:val="15"/>
              </w:rPr>
              <w:t>1.44</w:t>
            </w:r>
          </w:p>
        </w:tc>
      </w:tr>
      <w:tr w14:paraId="10F6AA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09F007A8">
            <w:pPr>
              <w:spacing w:before="73" w:line="229" w:lineRule="auto"/>
              <w:ind w:left="331"/>
              <w:rPr>
                <w:rFonts w:ascii="宋体" w:hAnsi="宋体" w:eastAsia="宋体" w:cs="宋体"/>
                <w:sz w:val="15"/>
                <w:szCs w:val="15"/>
              </w:rPr>
            </w:pPr>
            <w:r>
              <w:rPr>
                <w:rFonts w:ascii="宋体" w:hAnsi="宋体" w:eastAsia="宋体" w:cs="宋体"/>
                <w:color w:val="212529"/>
                <w:spacing w:val="8"/>
                <w:sz w:val="15"/>
                <w:szCs w:val="15"/>
              </w:rPr>
              <w:t>退休费</w:t>
            </w:r>
          </w:p>
        </w:tc>
        <w:tc>
          <w:tcPr>
            <w:tcW w:w="2278" w:type="dxa"/>
            <w:vAlign w:val="top"/>
          </w:tcPr>
          <w:p w14:paraId="3311478B">
            <w:pPr>
              <w:spacing w:before="73" w:line="229" w:lineRule="auto"/>
              <w:ind w:left="328"/>
              <w:rPr>
                <w:rFonts w:ascii="宋体" w:hAnsi="宋体" w:eastAsia="宋体" w:cs="宋体"/>
                <w:sz w:val="15"/>
                <w:szCs w:val="15"/>
              </w:rPr>
            </w:pPr>
            <w:r>
              <w:rPr>
                <w:rFonts w:ascii="宋体" w:hAnsi="宋体" w:eastAsia="宋体" w:cs="宋体"/>
                <w:color w:val="212529"/>
                <w:spacing w:val="9"/>
                <w:sz w:val="15"/>
                <w:szCs w:val="15"/>
              </w:rPr>
              <w:t>离退休费</w:t>
            </w:r>
          </w:p>
        </w:tc>
        <w:tc>
          <w:tcPr>
            <w:tcW w:w="1188" w:type="dxa"/>
            <w:vAlign w:val="top"/>
          </w:tcPr>
          <w:p w14:paraId="3EE252EA">
            <w:pPr>
              <w:spacing w:before="97" w:line="191" w:lineRule="auto"/>
              <w:ind w:right="19"/>
              <w:jc w:val="right"/>
              <w:rPr>
                <w:rFonts w:ascii="宋体" w:hAnsi="宋体" w:eastAsia="宋体" w:cs="宋体"/>
                <w:sz w:val="15"/>
                <w:szCs w:val="15"/>
              </w:rPr>
            </w:pPr>
            <w:r>
              <w:rPr>
                <w:rFonts w:ascii="宋体" w:hAnsi="宋体" w:eastAsia="宋体" w:cs="宋体"/>
                <w:color w:val="212529"/>
                <w:spacing w:val="3"/>
                <w:sz w:val="15"/>
                <w:szCs w:val="15"/>
              </w:rPr>
              <w:t>3.21</w:t>
            </w:r>
          </w:p>
        </w:tc>
        <w:tc>
          <w:tcPr>
            <w:tcW w:w="1188" w:type="dxa"/>
            <w:vAlign w:val="top"/>
          </w:tcPr>
          <w:p w14:paraId="28517822">
            <w:pPr>
              <w:spacing w:before="97" w:line="191" w:lineRule="auto"/>
              <w:ind w:right="16"/>
              <w:jc w:val="right"/>
              <w:rPr>
                <w:rFonts w:ascii="宋体" w:hAnsi="宋体" w:eastAsia="宋体" w:cs="宋体"/>
                <w:sz w:val="15"/>
                <w:szCs w:val="15"/>
              </w:rPr>
            </w:pPr>
            <w:r>
              <w:rPr>
                <w:rFonts w:ascii="宋体" w:hAnsi="宋体" w:eastAsia="宋体" w:cs="宋体"/>
                <w:color w:val="212529"/>
                <w:spacing w:val="3"/>
                <w:sz w:val="15"/>
                <w:szCs w:val="15"/>
              </w:rPr>
              <w:t>3.21</w:t>
            </w:r>
          </w:p>
        </w:tc>
        <w:tc>
          <w:tcPr>
            <w:tcW w:w="1118" w:type="dxa"/>
            <w:vAlign w:val="top"/>
          </w:tcPr>
          <w:p w14:paraId="26D8EF10">
            <w:pPr>
              <w:pStyle w:val="6"/>
            </w:pPr>
          </w:p>
        </w:tc>
      </w:tr>
      <w:tr w14:paraId="490103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63279DEC">
            <w:pPr>
              <w:spacing w:before="74" w:line="229" w:lineRule="auto"/>
              <w:ind w:left="332"/>
              <w:rPr>
                <w:rFonts w:ascii="宋体" w:hAnsi="宋体" w:eastAsia="宋体" w:cs="宋体"/>
                <w:sz w:val="15"/>
                <w:szCs w:val="15"/>
              </w:rPr>
            </w:pPr>
            <w:r>
              <w:rPr>
                <w:rFonts w:ascii="宋体" w:hAnsi="宋体" w:eastAsia="宋体" w:cs="宋体"/>
                <w:color w:val="212529"/>
                <w:spacing w:val="8"/>
                <w:sz w:val="15"/>
                <w:szCs w:val="15"/>
              </w:rPr>
              <w:t>奖励金</w:t>
            </w:r>
          </w:p>
        </w:tc>
        <w:tc>
          <w:tcPr>
            <w:tcW w:w="2278" w:type="dxa"/>
            <w:vAlign w:val="top"/>
          </w:tcPr>
          <w:p w14:paraId="6827F12C">
            <w:pPr>
              <w:spacing w:before="74" w:line="228" w:lineRule="auto"/>
              <w:ind w:left="327"/>
              <w:rPr>
                <w:rFonts w:ascii="宋体" w:hAnsi="宋体" w:eastAsia="宋体" w:cs="宋体"/>
                <w:sz w:val="15"/>
                <w:szCs w:val="15"/>
              </w:rPr>
            </w:pPr>
            <w:r>
              <w:rPr>
                <w:rFonts w:ascii="宋体" w:hAnsi="宋体" w:eastAsia="宋体" w:cs="宋体"/>
                <w:color w:val="212529"/>
                <w:spacing w:val="10"/>
                <w:sz w:val="15"/>
                <w:szCs w:val="15"/>
              </w:rPr>
              <w:t>社会福利和救助</w:t>
            </w:r>
          </w:p>
        </w:tc>
        <w:tc>
          <w:tcPr>
            <w:tcW w:w="1188" w:type="dxa"/>
            <w:vAlign w:val="top"/>
          </w:tcPr>
          <w:p w14:paraId="0CD263D8">
            <w:pPr>
              <w:spacing w:before="98" w:line="191" w:lineRule="auto"/>
              <w:ind w:right="19"/>
              <w:jc w:val="right"/>
              <w:rPr>
                <w:rFonts w:ascii="宋体" w:hAnsi="宋体" w:eastAsia="宋体" w:cs="宋体"/>
                <w:sz w:val="15"/>
                <w:szCs w:val="15"/>
              </w:rPr>
            </w:pPr>
            <w:r>
              <w:rPr>
                <w:rFonts w:ascii="宋体" w:hAnsi="宋体" w:eastAsia="宋体" w:cs="宋体"/>
                <w:color w:val="212529"/>
                <w:spacing w:val="3"/>
                <w:sz w:val="15"/>
                <w:szCs w:val="15"/>
              </w:rPr>
              <w:t>0.18</w:t>
            </w:r>
          </w:p>
        </w:tc>
        <w:tc>
          <w:tcPr>
            <w:tcW w:w="1188" w:type="dxa"/>
            <w:vAlign w:val="top"/>
          </w:tcPr>
          <w:p w14:paraId="4D26E155">
            <w:pPr>
              <w:spacing w:before="98" w:line="191" w:lineRule="auto"/>
              <w:ind w:right="16"/>
              <w:jc w:val="right"/>
              <w:rPr>
                <w:rFonts w:ascii="宋体" w:hAnsi="宋体" w:eastAsia="宋体" w:cs="宋体"/>
                <w:sz w:val="15"/>
                <w:szCs w:val="15"/>
              </w:rPr>
            </w:pPr>
            <w:r>
              <w:rPr>
                <w:rFonts w:ascii="宋体" w:hAnsi="宋体" w:eastAsia="宋体" w:cs="宋体"/>
                <w:color w:val="212529"/>
                <w:spacing w:val="3"/>
                <w:sz w:val="15"/>
                <w:szCs w:val="15"/>
              </w:rPr>
              <w:t>0.18</w:t>
            </w:r>
          </w:p>
        </w:tc>
        <w:tc>
          <w:tcPr>
            <w:tcW w:w="1118" w:type="dxa"/>
            <w:vAlign w:val="top"/>
          </w:tcPr>
          <w:p w14:paraId="1313221F">
            <w:pPr>
              <w:pStyle w:val="6"/>
            </w:pPr>
          </w:p>
        </w:tc>
      </w:tr>
      <w:tr w14:paraId="6BF898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2C2C65A4">
            <w:pPr>
              <w:spacing w:before="74" w:line="229" w:lineRule="auto"/>
              <w:ind w:left="330"/>
              <w:rPr>
                <w:rFonts w:ascii="宋体" w:hAnsi="宋体" w:eastAsia="宋体" w:cs="宋体"/>
                <w:sz w:val="15"/>
                <w:szCs w:val="15"/>
              </w:rPr>
            </w:pPr>
            <w:r>
              <w:rPr>
                <w:rFonts w:ascii="宋体" w:hAnsi="宋体" w:eastAsia="宋体" w:cs="宋体"/>
                <w:color w:val="212529"/>
                <w:spacing w:val="11"/>
                <w:sz w:val="15"/>
                <w:szCs w:val="15"/>
              </w:rPr>
              <w:t>其他对个人和家庭的补助</w:t>
            </w:r>
          </w:p>
        </w:tc>
        <w:tc>
          <w:tcPr>
            <w:tcW w:w="2278" w:type="dxa"/>
            <w:vAlign w:val="top"/>
          </w:tcPr>
          <w:p w14:paraId="1CA223A7">
            <w:pPr>
              <w:spacing w:before="74" w:line="229" w:lineRule="auto"/>
              <w:ind w:left="325"/>
              <w:rPr>
                <w:rFonts w:ascii="宋体" w:hAnsi="宋体" w:eastAsia="宋体" w:cs="宋体"/>
                <w:sz w:val="15"/>
                <w:szCs w:val="15"/>
              </w:rPr>
            </w:pPr>
            <w:r>
              <w:rPr>
                <w:rFonts w:ascii="宋体" w:hAnsi="宋体" w:eastAsia="宋体" w:cs="宋体"/>
                <w:color w:val="212529"/>
                <w:spacing w:val="11"/>
                <w:sz w:val="15"/>
                <w:szCs w:val="15"/>
              </w:rPr>
              <w:t>其他对个人和家庭的补助</w:t>
            </w:r>
          </w:p>
        </w:tc>
        <w:tc>
          <w:tcPr>
            <w:tcW w:w="1188" w:type="dxa"/>
            <w:vAlign w:val="top"/>
          </w:tcPr>
          <w:p w14:paraId="035E781B">
            <w:pPr>
              <w:spacing w:before="97" w:line="191" w:lineRule="auto"/>
              <w:ind w:right="19"/>
              <w:jc w:val="right"/>
              <w:rPr>
                <w:rFonts w:ascii="宋体" w:hAnsi="宋体" w:eastAsia="宋体" w:cs="宋体"/>
                <w:sz w:val="15"/>
                <w:szCs w:val="15"/>
              </w:rPr>
            </w:pPr>
            <w:r>
              <w:rPr>
                <w:rFonts w:ascii="宋体" w:hAnsi="宋体" w:eastAsia="宋体" w:cs="宋体"/>
                <w:color w:val="212529"/>
                <w:spacing w:val="1"/>
                <w:sz w:val="15"/>
                <w:szCs w:val="15"/>
              </w:rPr>
              <w:t>1.44</w:t>
            </w:r>
          </w:p>
        </w:tc>
        <w:tc>
          <w:tcPr>
            <w:tcW w:w="1188" w:type="dxa"/>
            <w:vAlign w:val="top"/>
          </w:tcPr>
          <w:p w14:paraId="17A70AD3">
            <w:pPr>
              <w:pStyle w:val="6"/>
            </w:pPr>
          </w:p>
        </w:tc>
        <w:tc>
          <w:tcPr>
            <w:tcW w:w="1118" w:type="dxa"/>
            <w:vAlign w:val="top"/>
          </w:tcPr>
          <w:p w14:paraId="426F7666">
            <w:pPr>
              <w:spacing w:before="97" w:line="191" w:lineRule="auto"/>
              <w:ind w:right="22"/>
              <w:jc w:val="right"/>
              <w:rPr>
                <w:rFonts w:ascii="宋体" w:hAnsi="宋体" w:eastAsia="宋体" w:cs="宋体"/>
                <w:sz w:val="15"/>
                <w:szCs w:val="15"/>
              </w:rPr>
            </w:pPr>
            <w:r>
              <w:rPr>
                <w:rFonts w:ascii="宋体" w:hAnsi="宋体" w:eastAsia="宋体" w:cs="宋体"/>
                <w:color w:val="212529"/>
                <w:spacing w:val="1"/>
                <w:sz w:val="15"/>
                <w:szCs w:val="15"/>
              </w:rPr>
              <w:t>1.44</w:t>
            </w:r>
          </w:p>
        </w:tc>
      </w:tr>
      <w:tr w14:paraId="0A5E90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7C181B73">
            <w:pPr>
              <w:spacing w:before="75" w:line="228" w:lineRule="auto"/>
              <w:ind w:left="13"/>
              <w:rPr>
                <w:rFonts w:ascii="宋体" w:hAnsi="宋体" w:eastAsia="宋体" w:cs="宋体"/>
                <w:sz w:val="15"/>
                <w:szCs w:val="15"/>
              </w:rPr>
            </w:pPr>
            <w:r>
              <w:rPr>
                <w:rFonts w:ascii="宋体" w:hAnsi="宋体" w:eastAsia="宋体" w:cs="宋体"/>
                <w:color w:val="212529"/>
                <w:spacing w:val="8"/>
                <w:sz w:val="15"/>
                <w:szCs w:val="15"/>
              </w:rPr>
              <w:t>资本性支出</w:t>
            </w:r>
          </w:p>
        </w:tc>
        <w:tc>
          <w:tcPr>
            <w:tcW w:w="2278" w:type="dxa"/>
            <w:vAlign w:val="top"/>
          </w:tcPr>
          <w:p w14:paraId="30596B95">
            <w:pPr>
              <w:pStyle w:val="6"/>
            </w:pPr>
          </w:p>
        </w:tc>
        <w:tc>
          <w:tcPr>
            <w:tcW w:w="1188" w:type="dxa"/>
            <w:vAlign w:val="top"/>
          </w:tcPr>
          <w:p w14:paraId="088D5EA0">
            <w:pPr>
              <w:spacing w:before="99" w:line="190" w:lineRule="auto"/>
              <w:ind w:right="19"/>
              <w:jc w:val="right"/>
              <w:rPr>
                <w:rFonts w:ascii="宋体" w:hAnsi="宋体" w:eastAsia="宋体" w:cs="宋体"/>
                <w:sz w:val="15"/>
                <w:szCs w:val="15"/>
              </w:rPr>
            </w:pPr>
            <w:r>
              <w:rPr>
                <w:rFonts w:ascii="宋体" w:hAnsi="宋体" w:eastAsia="宋体" w:cs="宋体"/>
                <w:color w:val="212529"/>
                <w:spacing w:val="3"/>
                <w:sz w:val="15"/>
                <w:szCs w:val="15"/>
              </w:rPr>
              <w:t>0.80</w:t>
            </w:r>
          </w:p>
        </w:tc>
        <w:tc>
          <w:tcPr>
            <w:tcW w:w="1188" w:type="dxa"/>
            <w:vAlign w:val="top"/>
          </w:tcPr>
          <w:p w14:paraId="4E284B1C">
            <w:pPr>
              <w:pStyle w:val="6"/>
            </w:pPr>
          </w:p>
        </w:tc>
        <w:tc>
          <w:tcPr>
            <w:tcW w:w="1118" w:type="dxa"/>
            <w:vAlign w:val="top"/>
          </w:tcPr>
          <w:p w14:paraId="6F4E1D7C">
            <w:pPr>
              <w:spacing w:before="99" w:line="190" w:lineRule="auto"/>
              <w:ind w:right="22"/>
              <w:jc w:val="right"/>
              <w:rPr>
                <w:rFonts w:ascii="宋体" w:hAnsi="宋体" w:eastAsia="宋体" w:cs="宋体"/>
                <w:sz w:val="15"/>
                <w:szCs w:val="15"/>
              </w:rPr>
            </w:pPr>
            <w:r>
              <w:rPr>
                <w:rFonts w:ascii="宋体" w:hAnsi="宋体" w:eastAsia="宋体" w:cs="宋体"/>
                <w:color w:val="212529"/>
                <w:spacing w:val="3"/>
                <w:sz w:val="15"/>
                <w:szCs w:val="15"/>
              </w:rPr>
              <w:t>0.80</w:t>
            </w:r>
          </w:p>
        </w:tc>
      </w:tr>
      <w:tr w14:paraId="1E5430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3310" w:type="dxa"/>
            <w:vAlign w:val="top"/>
          </w:tcPr>
          <w:p w14:paraId="738BB411">
            <w:pPr>
              <w:spacing w:before="75" w:line="229" w:lineRule="auto"/>
              <w:ind w:left="334"/>
              <w:rPr>
                <w:rFonts w:ascii="宋体" w:hAnsi="宋体" w:eastAsia="宋体" w:cs="宋体"/>
                <w:sz w:val="15"/>
                <w:szCs w:val="15"/>
              </w:rPr>
            </w:pPr>
            <w:r>
              <w:rPr>
                <w:rFonts w:ascii="宋体" w:hAnsi="宋体" w:eastAsia="宋体" w:cs="宋体"/>
                <w:color w:val="212529"/>
                <w:spacing w:val="10"/>
                <w:sz w:val="15"/>
                <w:szCs w:val="15"/>
              </w:rPr>
              <w:t>办公设备购置</w:t>
            </w:r>
          </w:p>
        </w:tc>
        <w:tc>
          <w:tcPr>
            <w:tcW w:w="2278" w:type="dxa"/>
            <w:vAlign w:val="top"/>
          </w:tcPr>
          <w:p w14:paraId="513310EE">
            <w:pPr>
              <w:spacing w:before="75" w:line="228" w:lineRule="auto"/>
              <w:ind w:left="332"/>
              <w:rPr>
                <w:rFonts w:ascii="宋体" w:hAnsi="宋体" w:eastAsia="宋体" w:cs="宋体"/>
                <w:sz w:val="15"/>
                <w:szCs w:val="15"/>
              </w:rPr>
            </w:pPr>
            <w:r>
              <w:rPr>
                <w:rFonts w:ascii="宋体" w:hAnsi="宋体" w:eastAsia="宋体" w:cs="宋体"/>
                <w:color w:val="212529"/>
                <w:spacing w:val="8"/>
                <w:sz w:val="15"/>
                <w:szCs w:val="15"/>
              </w:rPr>
              <w:t>资本性支出</w:t>
            </w:r>
          </w:p>
        </w:tc>
        <w:tc>
          <w:tcPr>
            <w:tcW w:w="1188" w:type="dxa"/>
            <w:vAlign w:val="top"/>
          </w:tcPr>
          <w:p w14:paraId="3D1F8030">
            <w:pPr>
              <w:spacing w:before="100" w:line="190" w:lineRule="auto"/>
              <w:ind w:right="19"/>
              <w:jc w:val="right"/>
              <w:rPr>
                <w:rFonts w:ascii="宋体" w:hAnsi="宋体" w:eastAsia="宋体" w:cs="宋体"/>
                <w:sz w:val="15"/>
                <w:szCs w:val="15"/>
              </w:rPr>
            </w:pPr>
            <w:r>
              <w:rPr>
                <w:rFonts w:ascii="宋体" w:hAnsi="宋体" w:eastAsia="宋体" w:cs="宋体"/>
                <w:color w:val="212529"/>
                <w:spacing w:val="3"/>
                <w:sz w:val="15"/>
                <w:szCs w:val="15"/>
              </w:rPr>
              <w:t>0.80</w:t>
            </w:r>
          </w:p>
        </w:tc>
        <w:tc>
          <w:tcPr>
            <w:tcW w:w="1188" w:type="dxa"/>
            <w:vAlign w:val="top"/>
          </w:tcPr>
          <w:p w14:paraId="73DAE24C">
            <w:pPr>
              <w:pStyle w:val="6"/>
            </w:pPr>
          </w:p>
        </w:tc>
        <w:tc>
          <w:tcPr>
            <w:tcW w:w="1118" w:type="dxa"/>
            <w:vAlign w:val="top"/>
          </w:tcPr>
          <w:p w14:paraId="70D91097">
            <w:pPr>
              <w:spacing w:before="100" w:line="190" w:lineRule="auto"/>
              <w:ind w:right="22"/>
              <w:jc w:val="right"/>
              <w:rPr>
                <w:rFonts w:ascii="宋体" w:hAnsi="宋体" w:eastAsia="宋体" w:cs="宋体"/>
                <w:sz w:val="15"/>
                <w:szCs w:val="15"/>
              </w:rPr>
            </w:pPr>
            <w:r>
              <w:rPr>
                <w:rFonts w:ascii="宋体" w:hAnsi="宋体" w:eastAsia="宋体" w:cs="宋体"/>
                <w:color w:val="212529"/>
                <w:spacing w:val="3"/>
                <w:sz w:val="15"/>
                <w:szCs w:val="15"/>
              </w:rPr>
              <w:t>0.80</w:t>
            </w:r>
          </w:p>
        </w:tc>
      </w:tr>
    </w:tbl>
    <w:p w14:paraId="1EA47C9D">
      <w:pPr>
        <w:pStyle w:val="2"/>
      </w:pPr>
    </w:p>
    <w:p w14:paraId="70555558">
      <w:pPr>
        <w:sectPr>
          <w:headerReference r:id="rId24" w:type="default"/>
          <w:footerReference r:id="rId25" w:type="default"/>
          <w:pgSz w:w="11900" w:h="16840"/>
          <w:pgMar w:top="611" w:right="0" w:bottom="312" w:left="0" w:header="357" w:footer="153" w:gutter="0"/>
          <w:cols w:space="720" w:num="1"/>
        </w:sectPr>
      </w:pPr>
    </w:p>
    <w:p w14:paraId="2BE0210A">
      <w:pPr>
        <w:spacing w:before="118"/>
      </w:pPr>
    </w:p>
    <w:p w14:paraId="4DA7FE8B">
      <w:pPr>
        <w:spacing w:before="118"/>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511"/>
        <w:gridCol w:w="4590"/>
        <w:gridCol w:w="2057"/>
      </w:tblGrid>
      <w:tr w14:paraId="690D74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2511" w:type="dxa"/>
            <w:tcBorders>
              <w:top w:val="single" w:color="FFFFFF" w:sz="4" w:space="0"/>
              <w:left w:val="single" w:color="FFFFFF" w:sz="2" w:space="0"/>
              <w:bottom w:val="single" w:color="FFFFFF" w:sz="4" w:space="0"/>
              <w:right w:val="single" w:color="FFFFFF" w:sz="2" w:space="0"/>
            </w:tcBorders>
            <w:vAlign w:val="top"/>
          </w:tcPr>
          <w:p w14:paraId="0A543DB3">
            <w:pPr>
              <w:pStyle w:val="6"/>
            </w:pPr>
          </w:p>
        </w:tc>
        <w:tc>
          <w:tcPr>
            <w:tcW w:w="4590" w:type="dxa"/>
            <w:tcBorders>
              <w:top w:val="single" w:color="FFFFFF" w:sz="4" w:space="0"/>
              <w:left w:val="single" w:color="FFFFFF" w:sz="2" w:space="0"/>
              <w:bottom w:val="single" w:color="FFFFFF" w:sz="4" w:space="0"/>
              <w:right w:val="single" w:color="FFFFFF" w:sz="2" w:space="0"/>
            </w:tcBorders>
            <w:vAlign w:val="top"/>
          </w:tcPr>
          <w:p w14:paraId="683D65FD">
            <w:pPr>
              <w:pStyle w:val="6"/>
            </w:pPr>
          </w:p>
        </w:tc>
        <w:tc>
          <w:tcPr>
            <w:tcW w:w="2057" w:type="dxa"/>
            <w:tcBorders>
              <w:top w:val="single" w:color="FFFFFF" w:sz="4" w:space="0"/>
              <w:left w:val="single" w:color="FFFFFF" w:sz="2" w:space="0"/>
              <w:bottom w:val="single" w:color="FFFFFF" w:sz="4" w:space="0"/>
              <w:right w:val="single" w:color="FFFFFF" w:sz="2" w:space="0"/>
            </w:tcBorders>
            <w:vAlign w:val="top"/>
          </w:tcPr>
          <w:p w14:paraId="14D444CF">
            <w:pPr>
              <w:spacing w:before="127" w:line="234" w:lineRule="auto"/>
              <w:ind w:left="1319"/>
              <w:rPr>
                <w:rFonts w:ascii="宋体" w:hAnsi="宋体" w:eastAsia="宋体" w:cs="宋体"/>
                <w:sz w:val="12"/>
                <w:szCs w:val="12"/>
              </w:rPr>
            </w:pPr>
            <w:r>
              <w:rPr>
                <w:rFonts w:ascii="宋体" w:hAnsi="宋体" w:eastAsia="宋体" w:cs="宋体"/>
                <w:color w:val="212529"/>
                <w:spacing w:val="7"/>
                <w:sz w:val="12"/>
                <w:szCs w:val="12"/>
              </w:rPr>
              <w:t>预算公开表7</w:t>
            </w:r>
          </w:p>
        </w:tc>
      </w:tr>
      <w:tr w14:paraId="175DC9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3"/>
            <w:tcBorders>
              <w:top w:val="single" w:color="FFFFFF" w:sz="4" w:space="0"/>
              <w:left w:val="single" w:color="FFFFFF" w:sz="4" w:space="0"/>
              <w:bottom w:val="single" w:color="FFFFFF" w:sz="4" w:space="0"/>
              <w:right w:val="single" w:color="FFFFFF" w:sz="4" w:space="0"/>
            </w:tcBorders>
            <w:vAlign w:val="top"/>
          </w:tcPr>
          <w:p w14:paraId="61AB19CF">
            <w:pPr>
              <w:spacing w:before="79" w:line="201" w:lineRule="exact"/>
              <w:ind w:left="2455"/>
              <w:outlineLvl w:val="1"/>
              <w:rPr>
                <w:rFonts w:ascii="微软雅黑" w:hAnsi="微软雅黑" w:eastAsia="微软雅黑" w:cs="微软雅黑"/>
                <w:sz w:val="20"/>
                <w:szCs w:val="20"/>
              </w:rPr>
            </w:pPr>
            <w:bookmarkStart w:id="54" w:name="bookmark13"/>
            <w:bookmarkEnd w:id="54"/>
            <w:bookmarkStart w:id="55" w:name="bookmark43"/>
            <w:bookmarkEnd w:id="55"/>
            <w:r>
              <w:rPr>
                <w:rFonts w:ascii="微软雅黑" w:hAnsi="微软雅黑" w:eastAsia="微软雅黑" w:cs="微软雅黑"/>
                <w:color w:val="212529"/>
                <w:position w:val="-1"/>
                <w:sz w:val="20"/>
                <w:szCs w:val="20"/>
              </w:rPr>
              <w:t>2025年政府性基金预算收入表</w:t>
            </w:r>
            <w:r>
              <w:rPr>
                <w:rFonts w:ascii="微软雅黑" w:hAnsi="微软雅黑" w:eastAsia="微软雅黑" w:cs="微软雅黑"/>
                <w:color w:val="212529"/>
                <w:spacing w:val="56"/>
                <w:w w:val="101"/>
                <w:position w:val="-1"/>
                <w:sz w:val="20"/>
                <w:szCs w:val="20"/>
              </w:rPr>
              <w:t xml:space="preserve"> </w:t>
            </w:r>
            <w:r>
              <w:rPr>
                <w:rFonts w:ascii="微软雅黑" w:hAnsi="微软雅黑" w:eastAsia="微软雅黑" w:cs="微软雅黑"/>
                <w:color w:val="212529"/>
                <w:position w:val="-1"/>
                <w:sz w:val="20"/>
                <w:szCs w:val="20"/>
              </w:rPr>
              <w:t>(不含上年结转)</w:t>
            </w:r>
          </w:p>
        </w:tc>
      </w:tr>
      <w:tr w14:paraId="6245E6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101" w:type="dxa"/>
            <w:gridSpan w:val="2"/>
            <w:tcBorders>
              <w:top w:val="single" w:color="FFFFFF" w:sz="4" w:space="0"/>
              <w:left w:val="single" w:color="FFFFFF" w:sz="2" w:space="0"/>
              <w:right w:val="single" w:color="FFFFFF" w:sz="2" w:space="0"/>
            </w:tcBorders>
            <w:vAlign w:val="top"/>
          </w:tcPr>
          <w:p w14:paraId="46588D88">
            <w:pPr>
              <w:spacing w:before="124" w:line="234" w:lineRule="auto"/>
              <w:ind w:left="9"/>
              <w:rPr>
                <w:rFonts w:ascii="宋体" w:hAnsi="宋体" w:eastAsia="宋体" w:cs="宋体"/>
                <w:sz w:val="12"/>
                <w:szCs w:val="12"/>
              </w:rPr>
            </w:pPr>
            <w:r>
              <w:rPr>
                <w:rFonts w:ascii="宋体" w:hAnsi="宋体" w:eastAsia="宋体" w:cs="宋体"/>
                <w:color w:val="212529"/>
                <w:spacing w:val="9"/>
                <w:sz w:val="12"/>
                <w:szCs w:val="12"/>
              </w:rPr>
              <w:t>部门名称：长治高新区漳泽工业园事业服务中心</w:t>
            </w:r>
          </w:p>
        </w:tc>
        <w:tc>
          <w:tcPr>
            <w:tcW w:w="2057" w:type="dxa"/>
            <w:tcBorders>
              <w:top w:val="single" w:color="FFFFFF" w:sz="4" w:space="0"/>
              <w:left w:val="single" w:color="FFFFFF" w:sz="2" w:space="0"/>
              <w:right w:val="single" w:color="FFFFFF" w:sz="2" w:space="0"/>
            </w:tcBorders>
            <w:vAlign w:val="top"/>
          </w:tcPr>
          <w:p w14:paraId="0A7349B1">
            <w:pPr>
              <w:spacing w:before="124" w:line="235" w:lineRule="auto"/>
              <w:ind w:left="1449"/>
              <w:rPr>
                <w:rFonts w:ascii="宋体" w:hAnsi="宋体" w:eastAsia="宋体" w:cs="宋体"/>
                <w:sz w:val="12"/>
                <w:szCs w:val="12"/>
              </w:rPr>
            </w:pPr>
            <w:r>
              <w:rPr>
                <w:rFonts w:ascii="宋体" w:hAnsi="宋体" w:eastAsia="宋体" w:cs="宋体"/>
                <w:color w:val="212529"/>
                <w:spacing w:val="7"/>
                <w:sz w:val="12"/>
                <w:szCs w:val="12"/>
              </w:rPr>
              <w:t>单位:万元</w:t>
            </w:r>
          </w:p>
        </w:tc>
      </w:tr>
      <w:tr w14:paraId="37004D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101" w:type="dxa"/>
            <w:gridSpan w:val="2"/>
            <w:vAlign w:val="top"/>
          </w:tcPr>
          <w:p w14:paraId="180FDA5C">
            <w:pPr>
              <w:spacing w:before="112" w:line="154" w:lineRule="exact"/>
              <w:ind w:left="3377"/>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2057" w:type="dxa"/>
            <w:vMerge w:val="restart"/>
            <w:tcBorders>
              <w:bottom w:val="nil"/>
            </w:tcBorders>
            <w:vAlign w:val="top"/>
          </w:tcPr>
          <w:p w14:paraId="620C2799">
            <w:pPr>
              <w:spacing w:before="304" w:line="158" w:lineRule="exact"/>
              <w:ind w:left="288"/>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政府性基金收入预算</w:t>
            </w:r>
          </w:p>
        </w:tc>
      </w:tr>
      <w:tr w14:paraId="58D48B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511" w:type="dxa"/>
            <w:vAlign w:val="top"/>
          </w:tcPr>
          <w:p w14:paraId="65058D3A">
            <w:pPr>
              <w:spacing w:before="111" w:line="158" w:lineRule="exact"/>
              <w:ind w:left="762"/>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收入科目编码</w:t>
            </w:r>
          </w:p>
        </w:tc>
        <w:tc>
          <w:tcPr>
            <w:tcW w:w="4590" w:type="dxa"/>
            <w:vAlign w:val="top"/>
          </w:tcPr>
          <w:p w14:paraId="047FC143">
            <w:pPr>
              <w:spacing w:before="111" w:line="156" w:lineRule="exact"/>
              <w:ind w:left="195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2057" w:type="dxa"/>
            <w:vMerge w:val="continue"/>
            <w:tcBorders>
              <w:top w:val="nil"/>
            </w:tcBorders>
            <w:vAlign w:val="top"/>
          </w:tcPr>
          <w:p w14:paraId="3852A7EA">
            <w:pPr>
              <w:pStyle w:val="6"/>
            </w:pPr>
          </w:p>
        </w:tc>
      </w:tr>
      <w:tr w14:paraId="489A41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101" w:type="dxa"/>
            <w:gridSpan w:val="2"/>
            <w:vAlign w:val="top"/>
          </w:tcPr>
          <w:p w14:paraId="0BC3336A">
            <w:pPr>
              <w:spacing w:before="113" w:line="154" w:lineRule="exact"/>
              <w:ind w:left="3379"/>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2057" w:type="dxa"/>
            <w:vAlign w:val="top"/>
          </w:tcPr>
          <w:p w14:paraId="67E0D35B">
            <w:pPr>
              <w:pStyle w:val="6"/>
              <w:spacing w:before="134" w:line="186" w:lineRule="auto"/>
              <w:ind w:left="1546"/>
              <w:rPr>
                <w:sz w:val="13"/>
                <w:szCs w:val="13"/>
              </w:rPr>
            </w:pPr>
            <w:r>
              <w:rPr>
                <w:color w:val="212529"/>
                <w:spacing w:val="4"/>
                <w:sz w:val="13"/>
                <w:szCs w:val="13"/>
              </w:rPr>
              <w:t>277.</w:t>
            </w:r>
            <w:r>
              <w:rPr>
                <w:color w:val="212529"/>
                <w:spacing w:val="18"/>
                <w:w w:val="102"/>
                <w:sz w:val="13"/>
                <w:szCs w:val="13"/>
              </w:rPr>
              <w:t xml:space="preserve"> </w:t>
            </w:r>
            <w:r>
              <w:rPr>
                <w:color w:val="212529"/>
                <w:spacing w:val="4"/>
                <w:sz w:val="13"/>
                <w:szCs w:val="13"/>
              </w:rPr>
              <w:t>14</w:t>
            </w:r>
          </w:p>
        </w:tc>
      </w:tr>
      <w:tr w14:paraId="671956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511" w:type="dxa"/>
            <w:vAlign w:val="top"/>
          </w:tcPr>
          <w:p w14:paraId="7390659C">
            <w:pPr>
              <w:spacing w:before="140" w:line="191" w:lineRule="auto"/>
              <w:ind w:left="18"/>
              <w:rPr>
                <w:rFonts w:ascii="宋体" w:hAnsi="宋体" w:eastAsia="宋体" w:cs="宋体"/>
                <w:sz w:val="15"/>
                <w:szCs w:val="15"/>
              </w:rPr>
            </w:pPr>
            <w:r>
              <w:rPr>
                <w:rFonts w:ascii="宋体" w:hAnsi="宋体" w:eastAsia="宋体" w:cs="宋体"/>
                <w:color w:val="212529"/>
                <w:spacing w:val="-1"/>
                <w:sz w:val="15"/>
                <w:szCs w:val="15"/>
              </w:rPr>
              <w:t>103</w:t>
            </w:r>
          </w:p>
        </w:tc>
        <w:tc>
          <w:tcPr>
            <w:tcW w:w="4590" w:type="dxa"/>
            <w:vAlign w:val="top"/>
          </w:tcPr>
          <w:p w14:paraId="49D3E140">
            <w:pPr>
              <w:spacing w:before="116" w:line="229" w:lineRule="auto"/>
              <w:ind w:left="7"/>
              <w:rPr>
                <w:rFonts w:ascii="宋体" w:hAnsi="宋体" w:eastAsia="宋体" w:cs="宋体"/>
                <w:sz w:val="15"/>
                <w:szCs w:val="15"/>
              </w:rPr>
            </w:pPr>
            <w:r>
              <w:rPr>
                <w:rFonts w:ascii="宋体" w:hAnsi="宋体" w:eastAsia="宋体" w:cs="宋体"/>
                <w:color w:val="212529"/>
                <w:spacing w:val="9"/>
                <w:sz w:val="15"/>
                <w:szCs w:val="15"/>
              </w:rPr>
              <w:t>非税收入</w:t>
            </w:r>
          </w:p>
        </w:tc>
        <w:tc>
          <w:tcPr>
            <w:tcW w:w="2057" w:type="dxa"/>
            <w:vAlign w:val="top"/>
          </w:tcPr>
          <w:p w14:paraId="0F664858">
            <w:pPr>
              <w:spacing w:before="140" w:line="191" w:lineRule="auto"/>
              <w:ind w:left="1546"/>
              <w:rPr>
                <w:rFonts w:ascii="宋体" w:hAnsi="宋体" w:eastAsia="宋体" w:cs="宋体"/>
                <w:sz w:val="15"/>
                <w:szCs w:val="15"/>
              </w:rPr>
            </w:pPr>
            <w:r>
              <w:rPr>
                <w:rFonts w:ascii="宋体" w:hAnsi="宋体" w:eastAsia="宋体" w:cs="宋体"/>
                <w:color w:val="212529"/>
                <w:spacing w:val="4"/>
                <w:sz w:val="15"/>
                <w:szCs w:val="15"/>
              </w:rPr>
              <w:t>277.14</w:t>
            </w:r>
          </w:p>
        </w:tc>
      </w:tr>
      <w:tr w14:paraId="0BD262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511" w:type="dxa"/>
            <w:vAlign w:val="top"/>
          </w:tcPr>
          <w:p w14:paraId="71E36C35">
            <w:pPr>
              <w:spacing w:before="141" w:line="191" w:lineRule="auto"/>
              <w:ind w:left="18"/>
              <w:rPr>
                <w:rFonts w:ascii="宋体" w:hAnsi="宋体" w:eastAsia="宋体" w:cs="宋体"/>
                <w:sz w:val="15"/>
                <w:szCs w:val="15"/>
              </w:rPr>
            </w:pPr>
            <w:r>
              <w:rPr>
                <w:rFonts w:ascii="宋体" w:hAnsi="宋体" w:eastAsia="宋体" w:cs="宋体"/>
                <w:color w:val="212529"/>
                <w:spacing w:val="2"/>
                <w:sz w:val="15"/>
                <w:szCs w:val="15"/>
              </w:rPr>
              <w:t>10301</w:t>
            </w:r>
          </w:p>
        </w:tc>
        <w:tc>
          <w:tcPr>
            <w:tcW w:w="4590" w:type="dxa"/>
            <w:vAlign w:val="top"/>
          </w:tcPr>
          <w:p w14:paraId="7ACBFDC6">
            <w:pPr>
              <w:spacing w:before="117" w:line="228" w:lineRule="auto"/>
              <w:ind w:left="5"/>
              <w:rPr>
                <w:rFonts w:ascii="宋体" w:hAnsi="宋体" w:eastAsia="宋体" w:cs="宋体"/>
                <w:sz w:val="15"/>
                <w:szCs w:val="15"/>
              </w:rPr>
            </w:pPr>
            <w:r>
              <w:rPr>
                <w:rFonts w:ascii="宋体" w:hAnsi="宋体" w:eastAsia="宋体" w:cs="宋体"/>
                <w:color w:val="212529"/>
                <w:spacing w:val="10"/>
                <w:sz w:val="15"/>
                <w:szCs w:val="15"/>
              </w:rPr>
              <w:t>政府性基金收入</w:t>
            </w:r>
          </w:p>
        </w:tc>
        <w:tc>
          <w:tcPr>
            <w:tcW w:w="2057" w:type="dxa"/>
            <w:vAlign w:val="top"/>
          </w:tcPr>
          <w:p w14:paraId="2C309107">
            <w:pPr>
              <w:spacing w:before="141" w:line="191" w:lineRule="auto"/>
              <w:ind w:left="1546"/>
              <w:rPr>
                <w:rFonts w:ascii="宋体" w:hAnsi="宋体" w:eastAsia="宋体" w:cs="宋体"/>
                <w:sz w:val="15"/>
                <w:szCs w:val="15"/>
              </w:rPr>
            </w:pPr>
            <w:r>
              <w:rPr>
                <w:rFonts w:ascii="宋体" w:hAnsi="宋体" w:eastAsia="宋体" w:cs="宋体"/>
                <w:color w:val="212529"/>
                <w:spacing w:val="4"/>
                <w:sz w:val="15"/>
                <w:szCs w:val="15"/>
              </w:rPr>
              <w:t>277.14</w:t>
            </w:r>
          </w:p>
        </w:tc>
      </w:tr>
      <w:tr w14:paraId="50C8A3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2511" w:type="dxa"/>
            <w:vAlign w:val="top"/>
          </w:tcPr>
          <w:p w14:paraId="6E7CDCF6">
            <w:pPr>
              <w:spacing w:before="142" w:line="191" w:lineRule="auto"/>
              <w:ind w:left="18"/>
              <w:rPr>
                <w:rFonts w:ascii="宋体" w:hAnsi="宋体" w:eastAsia="宋体" w:cs="宋体"/>
                <w:sz w:val="15"/>
                <w:szCs w:val="15"/>
              </w:rPr>
            </w:pPr>
            <w:r>
              <w:rPr>
                <w:rFonts w:ascii="宋体" w:hAnsi="宋体" w:eastAsia="宋体" w:cs="宋体"/>
                <w:color w:val="212529"/>
                <w:spacing w:val="3"/>
                <w:sz w:val="15"/>
                <w:szCs w:val="15"/>
              </w:rPr>
              <w:t>1030148</w:t>
            </w:r>
          </w:p>
        </w:tc>
        <w:tc>
          <w:tcPr>
            <w:tcW w:w="4590" w:type="dxa"/>
            <w:vAlign w:val="top"/>
          </w:tcPr>
          <w:p w14:paraId="1B180ED1">
            <w:pPr>
              <w:spacing w:before="118" w:line="229" w:lineRule="auto"/>
              <w:ind w:left="20"/>
              <w:rPr>
                <w:rFonts w:ascii="宋体" w:hAnsi="宋体" w:eastAsia="宋体" w:cs="宋体"/>
                <w:sz w:val="15"/>
                <w:szCs w:val="15"/>
              </w:rPr>
            </w:pPr>
            <w:r>
              <w:rPr>
                <w:rFonts w:ascii="宋体" w:hAnsi="宋体" w:eastAsia="宋体" w:cs="宋体"/>
                <w:color w:val="212529"/>
                <w:spacing w:val="9"/>
                <w:sz w:val="15"/>
                <w:szCs w:val="15"/>
              </w:rPr>
              <w:t>国有土地使用权出让收入</w:t>
            </w:r>
          </w:p>
        </w:tc>
        <w:tc>
          <w:tcPr>
            <w:tcW w:w="2057" w:type="dxa"/>
            <w:vAlign w:val="top"/>
          </w:tcPr>
          <w:p w14:paraId="4466397D">
            <w:pPr>
              <w:spacing w:before="142" w:line="191" w:lineRule="auto"/>
              <w:ind w:left="1546"/>
              <w:rPr>
                <w:rFonts w:ascii="宋体" w:hAnsi="宋体" w:eastAsia="宋体" w:cs="宋体"/>
                <w:sz w:val="15"/>
                <w:szCs w:val="15"/>
              </w:rPr>
            </w:pPr>
            <w:r>
              <w:rPr>
                <w:rFonts w:ascii="宋体" w:hAnsi="宋体" w:eastAsia="宋体" w:cs="宋体"/>
                <w:color w:val="212529"/>
                <w:spacing w:val="4"/>
                <w:sz w:val="15"/>
                <w:szCs w:val="15"/>
              </w:rPr>
              <w:t>277.14</w:t>
            </w:r>
          </w:p>
        </w:tc>
      </w:tr>
    </w:tbl>
    <w:p w14:paraId="7267FA76">
      <w:pPr>
        <w:pStyle w:val="2"/>
      </w:pPr>
    </w:p>
    <w:p w14:paraId="1E53CD9A">
      <w:pPr>
        <w:sectPr>
          <w:headerReference r:id="rId26" w:type="default"/>
          <w:footerReference r:id="rId27" w:type="default"/>
          <w:pgSz w:w="11900" w:h="16840"/>
          <w:pgMar w:top="611" w:right="0" w:bottom="312" w:left="0" w:header="357" w:footer="153" w:gutter="0"/>
          <w:cols w:space="720" w:num="1"/>
        </w:sectPr>
      </w:pPr>
    </w:p>
    <w:p w14:paraId="5E576A62">
      <w:pPr>
        <w:spacing w:before="118"/>
      </w:pPr>
    </w:p>
    <w:p w14:paraId="52852647">
      <w:pPr>
        <w:spacing w:before="118"/>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98"/>
        <w:gridCol w:w="3261"/>
        <w:gridCol w:w="1318"/>
        <w:gridCol w:w="1069"/>
        <w:gridCol w:w="1312"/>
      </w:tblGrid>
      <w:tr w14:paraId="3DF482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2198" w:type="dxa"/>
            <w:tcBorders>
              <w:top w:val="single" w:color="FFFFFF" w:sz="4" w:space="0"/>
              <w:left w:val="single" w:color="FFFFFF" w:sz="2" w:space="0"/>
              <w:bottom w:val="single" w:color="FFFFFF" w:sz="4" w:space="0"/>
              <w:right w:val="single" w:color="FFFFFF" w:sz="2" w:space="0"/>
            </w:tcBorders>
            <w:vAlign w:val="top"/>
          </w:tcPr>
          <w:p w14:paraId="23836AD7">
            <w:pPr>
              <w:pStyle w:val="6"/>
            </w:pPr>
          </w:p>
        </w:tc>
        <w:tc>
          <w:tcPr>
            <w:tcW w:w="3261" w:type="dxa"/>
            <w:tcBorders>
              <w:top w:val="single" w:color="FFFFFF" w:sz="4" w:space="0"/>
              <w:left w:val="single" w:color="FFFFFF" w:sz="2" w:space="0"/>
              <w:bottom w:val="single" w:color="FFFFFF" w:sz="4" w:space="0"/>
              <w:right w:val="single" w:color="FFFFFF" w:sz="2" w:space="0"/>
            </w:tcBorders>
            <w:vAlign w:val="top"/>
          </w:tcPr>
          <w:p w14:paraId="26997DC6">
            <w:pPr>
              <w:pStyle w:val="6"/>
            </w:pPr>
          </w:p>
        </w:tc>
        <w:tc>
          <w:tcPr>
            <w:tcW w:w="1318" w:type="dxa"/>
            <w:tcBorders>
              <w:top w:val="single" w:color="FFFFFF" w:sz="4" w:space="0"/>
              <w:left w:val="single" w:color="FFFFFF" w:sz="2" w:space="0"/>
              <w:bottom w:val="single" w:color="FFFFFF" w:sz="4" w:space="0"/>
              <w:right w:val="single" w:color="FFFFFF" w:sz="2" w:space="0"/>
            </w:tcBorders>
            <w:vAlign w:val="top"/>
          </w:tcPr>
          <w:p w14:paraId="034FB311">
            <w:pPr>
              <w:pStyle w:val="6"/>
            </w:pPr>
          </w:p>
        </w:tc>
        <w:tc>
          <w:tcPr>
            <w:tcW w:w="1069" w:type="dxa"/>
            <w:tcBorders>
              <w:top w:val="single" w:color="FFFFFF" w:sz="4" w:space="0"/>
              <w:left w:val="single" w:color="FFFFFF" w:sz="2" w:space="0"/>
              <w:bottom w:val="single" w:color="FFFFFF" w:sz="4" w:space="0"/>
              <w:right w:val="single" w:color="FFFFFF" w:sz="2" w:space="0"/>
            </w:tcBorders>
            <w:vAlign w:val="top"/>
          </w:tcPr>
          <w:p w14:paraId="31E3812E">
            <w:pPr>
              <w:pStyle w:val="6"/>
            </w:pPr>
          </w:p>
        </w:tc>
        <w:tc>
          <w:tcPr>
            <w:tcW w:w="1312" w:type="dxa"/>
            <w:tcBorders>
              <w:top w:val="single" w:color="FFFFFF" w:sz="4" w:space="0"/>
              <w:left w:val="single" w:color="FFFFFF" w:sz="2" w:space="0"/>
              <w:bottom w:val="single" w:color="FFFFFF" w:sz="4" w:space="0"/>
              <w:right w:val="single" w:color="FFFFFF" w:sz="2" w:space="0"/>
            </w:tcBorders>
            <w:vAlign w:val="top"/>
          </w:tcPr>
          <w:p w14:paraId="74C16C7C">
            <w:pPr>
              <w:spacing w:before="127" w:line="234" w:lineRule="auto"/>
              <w:ind w:left="573"/>
              <w:rPr>
                <w:rFonts w:ascii="宋体" w:hAnsi="宋体" w:eastAsia="宋体" w:cs="宋体"/>
                <w:sz w:val="12"/>
                <w:szCs w:val="12"/>
              </w:rPr>
            </w:pPr>
            <w:r>
              <w:rPr>
                <w:rFonts w:ascii="宋体" w:hAnsi="宋体" w:eastAsia="宋体" w:cs="宋体"/>
                <w:color w:val="212529"/>
                <w:spacing w:val="8"/>
                <w:sz w:val="12"/>
                <w:szCs w:val="12"/>
              </w:rPr>
              <w:t>预算公开表8</w:t>
            </w:r>
          </w:p>
        </w:tc>
      </w:tr>
      <w:tr w14:paraId="105C0C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5B6087D1">
            <w:pPr>
              <w:spacing w:before="79" w:line="201" w:lineRule="exact"/>
              <w:ind w:left="2455"/>
              <w:outlineLvl w:val="1"/>
              <w:rPr>
                <w:rFonts w:ascii="微软雅黑" w:hAnsi="微软雅黑" w:eastAsia="微软雅黑" w:cs="微软雅黑"/>
                <w:sz w:val="20"/>
                <w:szCs w:val="20"/>
              </w:rPr>
            </w:pPr>
            <w:bookmarkStart w:id="56" w:name="bookmark14"/>
            <w:bookmarkEnd w:id="56"/>
            <w:bookmarkStart w:id="57" w:name="bookmark44"/>
            <w:bookmarkEnd w:id="57"/>
            <w:r>
              <w:rPr>
                <w:rFonts w:ascii="微软雅黑" w:hAnsi="微软雅黑" w:eastAsia="微软雅黑" w:cs="微软雅黑"/>
                <w:color w:val="212529"/>
                <w:position w:val="-1"/>
                <w:sz w:val="20"/>
                <w:szCs w:val="20"/>
              </w:rPr>
              <w:t>2025年政府性基金预算支出表</w:t>
            </w:r>
            <w:r>
              <w:rPr>
                <w:rFonts w:ascii="微软雅黑" w:hAnsi="微软雅黑" w:eastAsia="微软雅黑" w:cs="微软雅黑"/>
                <w:color w:val="212529"/>
                <w:spacing w:val="56"/>
                <w:w w:val="101"/>
                <w:position w:val="-1"/>
                <w:sz w:val="20"/>
                <w:szCs w:val="20"/>
              </w:rPr>
              <w:t xml:space="preserve"> </w:t>
            </w:r>
            <w:r>
              <w:rPr>
                <w:rFonts w:ascii="微软雅黑" w:hAnsi="微软雅黑" w:eastAsia="微软雅黑" w:cs="微软雅黑"/>
                <w:color w:val="212529"/>
                <w:position w:val="-1"/>
                <w:sz w:val="20"/>
                <w:szCs w:val="20"/>
              </w:rPr>
              <w:t>(不含上年结转)</w:t>
            </w:r>
          </w:p>
        </w:tc>
      </w:tr>
      <w:tr w14:paraId="216A7D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459" w:type="dxa"/>
            <w:gridSpan w:val="2"/>
            <w:tcBorders>
              <w:top w:val="single" w:color="FFFFFF" w:sz="4" w:space="0"/>
              <w:left w:val="single" w:color="FFFFFF" w:sz="2" w:space="0"/>
              <w:right w:val="single" w:color="FFFFFF" w:sz="2" w:space="0"/>
            </w:tcBorders>
            <w:vAlign w:val="top"/>
          </w:tcPr>
          <w:p w14:paraId="1EB9CBB3">
            <w:pPr>
              <w:spacing w:before="124" w:line="234" w:lineRule="auto"/>
              <w:ind w:left="9"/>
              <w:rPr>
                <w:rFonts w:ascii="宋体" w:hAnsi="宋体" w:eastAsia="宋体" w:cs="宋体"/>
                <w:sz w:val="12"/>
                <w:szCs w:val="12"/>
              </w:rPr>
            </w:pPr>
            <w:r>
              <w:rPr>
                <w:rFonts w:ascii="宋体" w:hAnsi="宋体" w:eastAsia="宋体" w:cs="宋体"/>
                <w:color w:val="212529"/>
                <w:spacing w:val="9"/>
                <w:sz w:val="12"/>
                <w:szCs w:val="12"/>
              </w:rPr>
              <w:t>部门名称：长治高新区漳泽工业园事业服务中心</w:t>
            </w:r>
          </w:p>
        </w:tc>
        <w:tc>
          <w:tcPr>
            <w:tcW w:w="1318" w:type="dxa"/>
            <w:tcBorders>
              <w:top w:val="single" w:color="FFFFFF" w:sz="4" w:space="0"/>
              <w:left w:val="single" w:color="FFFFFF" w:sz="2" w:space="0"/>
              <w:right w:val="single" w:color="FFFFFF" w:sz="2" w:space="0"/>
            </w:tcBorders>
            <w:vAlign w:val="top"/>
          </w:tcPr>
          <w:p w14:paraId="51F154D6">
            <w:pPr>
              <w:pStyle w:val="6"/>
            </w:pPr>
          </w:p>
        </w:tc>
        <w:tc>
          <w:tcPr>
            <w:tcW w:w="1069" w:type="dxa"/>
            <w:tcBorders>
              <w:top w:val="single" w:color="FFFFFF" w:sz="4" w:space="0"/>
              <w:left w:val="single" w:color="FFFFFF" w:sz="2" w:space="0"/>
              <w:right w:val="single" w:color="FFFFFF" w:sz="2" w:space="0"/>
            </w:tcBorders>
            <w:vAlign w:val="top"/>
          </w:tcPr>
          <w:p w14:paraId="6BF77AA1">
            <w:pPr>
              <w:pStyle w:val="6"/>
            </w:pPr>
          </w:p>
        </w:tc>
        <w:tc>
          <w:tcPr>
            <w:tcW w:w="1312" w:type="dxa"/>
            <w:tcBorders>
              <w:top w:val="single" w:color="FFFFFF" w:sz="4" w:space="0"/>
              <w:left w:val="single" w:color="FFFFFF" w:sz="2" w:space="0"/>
              <w:right w:val="single" w:color="FFFFFF" w:sz="2" w:space="0"/>
            </w:tcBorders>
            <w:vAlign w:val="top"/>
          </w:tcPr>
          <w:p w14:paraId="1ED35BD3">
            <w:pPr>
              <w:spacing w:before="124" w:line="235" w:lineRule="auto"/>
              <w:ind w:left="704"/>
              <w:rPr>
                <w:rFonts w:ascii="宋体" w:hAnsi="宋体" w:eastAsia="宋体" w:cs="宋体"/>
                <w:sz w:val="12"/>
                <w:szCs w:val="12"/>
              </w:rPr>
            </w:pPr>
            <w:r>
              <w:rPr>
                <w:rFonts w:ascii="宋体" w:hAnsi="宋体" w:eastAsia="宋体" w:cs="宋体"/>
                <w:color w:val="212529"/>
                <w:spacing w:val="7"/>
                <w:sz w:val="12"/>
                <w:szCs w:val="12"/>
              </w:rPr>
              <w:t>单位:万元</w:t>
            </w:r>
          </w:p>
        </w:tc>
      </w:tr>
      <w:tr w14:paraId="769552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198" w:type="dxa"/>
            <w:vAlign w:val="top"/>
          </w:tcPr>
          <w:p w14:paraId="5AF5EA9C">
            <w:pPr>
              <w:spacing w:before="110" w:line="156" w:lineRule="exact"/>
              <w:ind w:left="761"/>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3261" w:type="dxa"/>
            <w:vAlign w:val="top"/>
          </w:tcPr>
          <w:p w14:paraId="086DBCB3">
            <w:pPr>
              <w:spacing w:before="110" w:line="156" w:lineRule="exact"/>
              <w:ind w:left="1296"/>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318" w:type="dxa"/>
            <w:vAlign w:val="top"/>
          </w:tcPr>
          <w:p w14:paraId="0840D803">
            <w:pPr>
              <w:spacing w:before="111" w:line="154" w:lineRule="exact"/>
              <w:ind w:left="489"/>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069" w:type="dxa"/>
            <w:vAlign w:val="top"/>
          </w:tcPr>
          <w:p w14:paraId="761D9456">
            <w:pPr>
              <w:spacing w:before="109" w:line="157" w:lineRule="exact"/>
              <w:ind w:left="194"/>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312" w:type="dxa"/>
            <w:vAlign w:val="top"/>
          </w:tcPr>
          <w:p w14:paraId="359B1738">
            <w:pPr>
              <w:spacing w:before="110" w:line="156" w:lineRule="exact"/>
              <w:ind w:left="320"/>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3021FE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459" w:type="dxa"/>
            <w:gridSpan w:val="2"/>
            <w:vAlign w:val="top"/>
          </w:tcPr>
          <w:p w14:paraId="0F882CC4">
            <w:pPr>
              <w:spacing w:before="112" w:line="154" w:lineRule="exact"/>
              <w:ind w:left="2560"/>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318" w:type="dxa"/>
            <w:vAlign w:val="top"/>
          </w:tcPr>
          <w:p w14:paraId="1A011382">
            <w:pPr>
              <w:pStyle w:val="6"/>
              <w:spacing w:before="132" w:line="186" w:lineRule="auto"/>
              <w:ind w:left="805"/>
              <w:rPr>
                <w:sz w:val="13"/>
                <w:szCs w:val="13"/>
              </w:rPr>
            </w:pPr>
            <w:r>
              <w:rPr>
                <w:color w:val="212529"/>
                <w:spacing w:val="4"/>
                <w:sz w:val="13"/>
                <w:szCs w:val="13"/>
              </w:rPr>
              <w:t>277.</w:t>
            </w:r>
            <w:r>
              <w:rPr>
                <w:color w:val="212529"/>
                <w:spacing w:val="18"/>
                <w:w w:val="102"/>
                <w:sz w:val="13"/>
                <w:szCs w:val="13"/>
              </w:rPr>
              <w:t xml:space="preserve"> </w:t>
            </w:r>
            <w:r>
              <w:rPr>
                <w:color w:val="212529"/>
                <w:spacing w:val="4"/>
                <w:sz w:val="13"/>
                <w:szCs w:val="13"/>
              </w:rPr>
              <w:t>14</w:t>
            </w:r>
          </w:p>
        </w:tc>
        <w:tc>
          <w:tcPr>
            <w:tcW w:w="1069" w:type="dxa"/>
            <w:vAlign w:val="top"/>
          </w:tcPr>
          <w:p w14:paraId="0C7915B0">
            <w:pPr>
              <w:pStyle w:val="6"/>
            </w:pPr>
          </w:p>
        </w:tc>
        <w:tc>
          <w:tcPr>
            <w:tcW w:w="1312" w:type="dxa"/>
            <w:vAlign w:val="top"/>
          </w:tcPr>
          <w:p w14:paraId="119CB578">
            <w:pPr>
              <w:pStyle w:val="6"/>
              <w:spacing w:before="132" w:line="186" w:lineRule="auto"/>
              <w:ind w:left="801"/>
              <w:rPr>
                <w:sz w:val="13"/>
                <w:szCs w:val="13"/>
              </w:rPr>
            </w:pPr>
            <w:r>
              <w:rPr>
                <w:color w:val="212529"/>
                <w:spacing w:val="4"/>
                <w:sz w:val="13"/>
                <w:szCs w:val="13"/>
              </w:rPr>
              <w:t>277.</w:t>
            </w:r>
            <w:r>
              <w:rPr>
                <w:color w:val="212529"/>
                <w:spacing w:val="18"/>
                <w:w w:val="102"/>
                <w:sz w:val="13"/>
                <w:szCs w:val="13"/>
              </w:rPr>
              <w:t xml:space="preserve"> </w:t>
            </w:r>
            <w:r>
              <w:rPr>
                <w:color w:val="212529"/>
                <w:spacing w:val="4"/>
                <w:sz w:val="13"/>
                <w:szCs w:val="13"/>
              </w:rPr>
              <w:t>14</w:t>
            </w:r>
          </w:p>
        </w:tc>
      </w:tr>
      <w:tr w14:paraId="244D2A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198" w:type="dxa"/>
            <w:vAlign w:val="top"/>
          </w:tcPr>
          <w:p w14:paraId="33F541B5">
            <w:pPr>
              <w:spacing w:before="138" w:line="191" w:lineRule="auto"/>
              <w:ind w:left="8"/>
              <w:rPr>
                <w:rFonts w:ascii="宋体" w:hAnsi="宋体" w:eastAsia="宋体" w:cs="宋体"/>
                <w:sz w:val="15"/>
                <w:szCs w:val="15"/>
              </w:rPr>
            </w:pPr>
            <w:r>
              <w:rPr>
                <w:rFonts w:ascii="宋体" w:hAnsi="宋体" w:eastAsia="宋体" w:cs="宋体"/>
                <w:color w:val="212529"/>
                <w:spacing w:val="2"/>
                <w:sz w:val="15"/>
                <w:szCs w:val="15"/>
              </w:rPr>
              <w:t>212</w:t>
            </w:r>
          </w:p>
        </w:tc>
        <w:tc>
          <w:tcPr>
            <w:tcW w:w="3261" w:type="dxa"/>
            <w:vAlign w:val="top"/>
          </w:tcPr>
          <w:p w14:paraId="2EE9312E">
            <w:pPr>
              <w:spacing w:before="115" w:line="229" w:lineRule="auto"/>
              <w:ind w:left="6"/>
              <w:rPr>
                <w:rFonts w:ascii="宋体" w:hAnsi="宋体" w:eastAsia="宋体" w:cs="宋体"/>
                <w:sz w:val="15"/>
                <w:szCs w:val="15"/>
              </w:rPr>
            </w:pPr>
            <w:r>
              <w:rPr>
                <w:rFonts w:ascii="宋体" w:hAnsi="宋体" w:eastAsia="宋体" w:cs="宋体"/>
                <w:color w:val="212529"/>
                <w:spacing w:val="10"/>
                <w:sz w:val="15"/>
                <w:szCs w:val="15"/>
              </w:rPr>
              <w:t>城乡社区支出</w:t>
            </w:r>
          </w:p>
        </w:tc>
        <w:tc>
          <w:tcPr>
            <w:tcW w:w="1318" w:type="dxa"/>
            <w:vAlign w:val="top"/>
          </w:tcPr>
          <w:p w14:paraId="53BEF570">
            <w:pPr>
              <w:spacing w:before="138" w:line="191" w:lineRule="auto"/>
              <w:ind w:left="805"/>
              <w:rPr>
                <w:rFonts w:ascii="宋体" w:hAnsi="宋体" w:eastAsia="宋体" w:cs="宋体"/>
                <w:sz w:val="15"/>
                <w:szCs w:val="15"/>
              </w:rPr>
            </w:pPr>
            <w:r>
              <w:rPr>
                <w:rFonts w:ascii="宋体" w:hAnsi="宋体" w:eastAsia="宋体" w:cs="宋体"/>
                <w:color w:val="212529"/>
                <w:spacing w:val="4"/>
                <w:sz w:val="15"/>
                <w:szCs w:val="15"/>
              </w:rPr>
              <w:t>277.14</w:t>
            </w:r>
          </w:p>
        </w:tc>
        <w:tc>
          <w:tcPr>
            <w:tcW w:w="1069" w:type="dxa"/>
            <w:vAlign w:val="top"/>
          </w:tcPr>
          <w:p w14:paraId="7FF3DE0D">
            <w:pPr>
              <w:pStyle w:val="6"/>
            </w:pPr>
          </w:p>
        </w:tc>
        <w:tc>
          <w:tcPr>
            <w:tcW w:w="1312" w:type="dxa"/>
            <w:vAlign w:val="top"/>
          </w:tcPr>
          <w:p w14:paraId="4F651778">
            <w:pPr>
              <w:spacing w:before="138" w:line="191" w:lineRule="auto"/>
              <w:ind w:left="801"/>
              <w:rPr>
                <w:rFonts w:ascii="宋体" w:hAnsi="宋体" w:eastAsia="宋体" w:cs="宋体"/>
                <w:sz w:val="15"/>
                <w:szCs w:val="15"/>
              </w:rPr>
            </w:pPr>
            <w:r>
              <w:rPr>
                <w:rFonts w:ascii="宋体" w:hAnsi="宋体" w:eastAsia="宋体" w:cs="宋体"/>
                <w:color w:val="212529"/>
                <w:spacing w:val="4"/>
                <w:sz w:val="15"/>
                <w:szCs w:val="15"/>
              </w:rPr>
              <w:t>277.14</w:t>
            </w:r>
          </w:p>
        </w:tc>
      </w:tr>
      <w:tr w14:paraId="590AC1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198" w:type="dxa"/>
            <w:vAlign w:val="top"/>
          </w:tcPr>
          <w:p w14:paraId="1FCBCF26">
            <w:pPr>
              <w:spacing w:before="140" w:line="191" w:lineRule="auto"/>
              <w:ind w:left="8"/>
              <w:rPr>
                <w:rFonts w:ascii="宋体" w:hAnsi="宋体" w:eastAsia="宋体" w:cs="宋体"/>
                <w:sz w:val="15"/>
                <w:szCs w:val="15"/>
              </w:rPr>
            </w:pPr>
            <w:r>
              <w:rPr>
                <w:rFonts w:ascii="宋体" w:hAnsi="宋体" w:eastAsia="宋体" w:cs="宋体"/>
                <w:color w:val="212529"/>
                <w:spacing w:val="4"/>
                <w:sz w:val="15"/>
                <w:szCs w:val="15"/>
              </w:rPr>
              <w:t>21208</w:t>
            </w:r>
          </w:p>
        </w:tc>
        <w:tc>
          <w:tcPr>
            <w:tcW w:w="3261" w:type="dxa"/>
            <w:vAlign w:val="top"/>
          </w:tcPr>
          <w:p w14:paraId="499B0211">
            <w:pPr>
              <w:spacing w:before="116" w:line="229" w:lineRule="auto"/>
              <w:ind w:left="22"/>
              <w:rPr>
                <w:rFonts w:ascii="宋体" w:hAnsi="宋体" w:eastAsia="宋体" w:cs="宋体"/>
                <w:sz w:val="15"/>
                <w:szCs w:val="15"/>
              </w:rPr>
            </w:pPr>
            <w:r>
              <w:rPr>
                <w:rFonts w:ascii="宋体" w:hAnsi="宋体" w:eastAsia="宋体" w:cs="宋体"/>
                <w:color w:val="212529"/>
                <w:spacing w:val="10"/>
                <w:sz w:val="15"/>
                <w:szCs w:val="15"/>
              </w:rPr>
              <w:t>国有土地使用权出让收入安排的支出</w:t>
            </w:r>
          </w:p>
        </w:tc>
        <w:tc>
          <w:tcPr>
            <w:tcW w:w="1318" w:type="dxa"/>
            <w:vAlign w:val="top"/>
          </w:tcPr>
          <w:p w14:paraId="66E78C85">
            <w:pPr>
              <w:spacing w:before="140" w:line="191" w:lineRule="auto"/>
              <w:ind w:left="805"/>
              <w:rPr>
                <w:rFonts w:ascii="宋体" w:hAnsi="宋体" w:eastAsia="宋体" w:cs="宋体"/>
                <w:sz w:val="15"/>
                <w:szCs w:val="15"/>
              </w:rPr>
            </w:pPr>
            <w:r>
              <w:rPr>
                <w:rFonts w:ascii="宋体" w:hAnsi="宋体" w:eastAsia="宋体" w:cs="宋体"/>
                <w:color w:val="212529"/>
                <w:spacing w:val="4"/>
                <w:sz w:val="15"/>
                <w:szCs w:val="15"/>
              </w:rPr>
              <w:t>277.14</w:t>
            </w:r>
          </w:p>
        </w:tc>
        <w:tc>
          <w:tcPr>
            <w:tcW w:w="1069" w:type="dxa"/>
            <w:vAlign w:val="top"/>
          </w:tcPr>
          <w:p w14:paraId="540C4B0D">
            <w:pPr>
              <w:pStyle w:val="6"/>
            </w:pPr>
          </w:p>
        </w:tc>
        <w:tc>
          <w:tcPr>
            <w:tcW w:w="1312" w:type="dxa"/>
            <w:vAlign w:val="top"/>
          </w:tcPr>
          <w:p w14:paraId="0EAB9AEC">
            <w:pPr>
              <w:spacing w:before="140" w:line="191" w:lineRule="auto"/>
              <w:ind w:left="801"/>
              <w:rPr>
                <w:rFonts w:ascii="宋体" w:hAnsi="宋体" w:eastAsia="宋体" w:cs="宋体"/>
                <w:sz w:val="15"/>
                <w:szCs w:val="15"/>
              </w:rPr>
            </w:pPr>
            <w:r>
              <w:rPr>
                <w:rFonts w:ascii="宋体" w:hAnsi="宋体" w:eastAsia="宋体" w:cs="宋体"/>
                <w:color w:val="212529"/>
                <w:spacing w:val="4"/>
                <w:sz w:val="15"/>
                <w:szCs w:val="15"/>
              </w:rPr>
              <w:t>277.14</w:t>
            </w:r>
          </w:p>
        </w:tc>
      </w:tr>
      <w:tr w14:paraId="29FDEF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2198" w:type="dxa"/>
            <w:vAlign w:val="top"/>
          </w:tcPr>
          <w:p w14:paraId="61B12B7B">
            <w:pPr>
              <w:spacing w:before="141" w:line="191" w:lineRule="auto"/>
              <w:ind w:left="8"/>
              <w:rPr>
                <w:rFonts w:ascii="宋体" w:hAnsi="宋体" w:eastAsia="宋体" w:cs="宋体"/>
                <w:sz w:val="15"/>
                <w:szCs w:val="15"/>
              </w:rPr>
            </w:pPr>
            <w:r>
              <w:rPr>
                <w:rFonts w:ascii="宋体" w:hAnsi="宋体" w:eastAsia="宋体" w:cs="宋体"/>
                <w:color w:val="212529"/>
                <w:spacing w:val="4"/>
                <w:sz w:val="15"/>
                <w:szCs w:val="15"/>
              </w:rPr>
              <w:t>2120801</w:t>
            </w:r>
          </w:p>
        </w:tc>
        <w:tc>
          <w:tcPr>
            <w:tcW w:w="3261" w:type="dxa"/>
            <w:vAlign w:val="top"/>
          </w:tcPr>
          <w:p w14:paraId="3C034E30">
            <w:pPr>
              <w:spacing w:before="117" w:line="229" w:lineRule="auto"/>
              <w:ind w:left="9"/>
              <w:rPr>
                <w:rFonts w:ascii="宋体" w:hAnsi="宋体" w:eastAsia="宋体" w:cs="宋体"/>
                <w:sz w:val="15"/>
                <w:szCs w:val="15"/>
              </w:rPr>
            </w:pPr>
            <w:r>
              <w:rPr>
                <w:rFonts w:ascii="宋体" w:hAnsi="宋体" w:eastAsia="宋体" w:cs="宋体"/>
                <w:color w:val="212529"/>
                <w:spacing w:val="10"/>
                <w:sz w:val="15"/>
                <w:szCs w:val="15"/>
              </w:rPr>
              <w:t>征地和拆迁补偿支出</w:t>
            </w:r>
          </w:p>
        </w:tc>
        <w:tc>
          <w:tcPr>
            <w:tcW w:w="1318" w:type="dxa"/>
            <w:vAlign w:val="top"/>
          </w:tcPr>
          <w:p w14:paraId="0D4EC0DD">
            <w:pPr>
              <w:spacing w:before="141" w:line="191" w:lineRule="auto"/>
              <w:ind w:left="805"/>
              <w:rPr>
                <w:rFonts w:ascii="宋体" w:hAnsi="宋体" w:eastAsia="宋体" w:cs="宋体"/>
                <w:sz w:val="15"/>
                <w:szCs w:val="15"/>
              </w:rPr>
            </w:pPr>
            <w:r>
              <w:rPr>
                <w:rFonts w:ascii="宋体" w:hAnsi="宋体" w:eastAsia="宋体" w:cs="宋体"/>
                <w:color w:val="212529"/>
                <w:spacing w:val="4"/>
                <w:sz w:val="15"/>
                <w:szCs w:val="15"/>
              </w:rPr>
              <w:t>277.14</w:t>
            </w:r>
          </w:p>
        </w:tc>
        <w:tc>
          <w:tcPr>
            <w:tcW w:w="1069" w:type="dxa"/>
            <w:vAlign w:val="top"/>
          </w:tcPr>
          <w:p w14:paraId="59FD42E3">
            <w:pPr>
              <w:pStyle w:val="6"/>
            </w:pPr>
          </w:p>
        </w:tc>
        <w:tc>
          <w:tcPr>
            <w:tcW w:w="1312" w:type="dxa"/>
            <w:vAlign w:val="top"/>
          </w:tcPr>
          <w:p w14:paraId="6D90E78E">
            <w:pPr>
              <w:spacing w:before="141" w:line="191" w:lineRule="auto"/>
              <w:ind w:left="801"/>
              <w:rPr>
                <w:rFonts w:ascii="宋体" w:hAnsi="宋体" w:eastAsia="宋体" w:cs="宋体"/>
                <w:sz w:val="15"/>
                <w:szCs w:val="15"/>
              </w:rPr>
            </w:pPr>
            <w:r>
              <w:rPr>
                <w:rFonts w:ascii="宋体" w:hAnsi="宋体" w:eastAsia="宋体" w:cs="宋体"/>
                <w:color w:val="212529"/>
                <w:spacing w:val="4"/>
                <w:sz w:val="15"/>
                <w:szCs w:val="15"/>
              </w:rPr>
              <w:t>277.14</w:t>
            </w:r>
          </w:p>
        </w:tc>
      </w:tr>
    </w:tbl>
    <w:p w14:paraId="615F7B89">
      <w:pPr>
        <w:pStyle w:val="2"/>
      </w:pPr>
    </w:p>
    <w:p w14:paraId="1D9A6D45">
      <w:pPr>
        <w:sectPr>
          <w:footerReference r:id="rId28" w:type="default"/>
          <w:pgSz w:w="11900" w:h="16840"/>
          <w:pgMar w:top="611" w:right="0" w:bottom="312" w:left="0" w:header="357" w:footer="153" w:gutter="0"/>
          <w:cols w:space="720" w:num="1"/>
        </w:sectPr>
      </w:pPr>
    </w:p>
    <w:p w14:paraId="44A1D7DC">
      <w:pPr>
        <w:spacing w:before="118"/>
      </w:pPr>
    </w:p>
    <w:p w14:paraId="7B85D2D7">
      <w:pPr>
        <w:spacing w:before="118"/>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50"/>
        <w:gridCol w:w="1717"/>
        <w:gridCol w:w="983"/>
        <w:gridCol w:w="972"/>
        <w:gridCol w:w="1436"/>
        <w:gridCol w:w="1005"/>
        <w:gridCol w:w="961"/>
        <w:gridCol w:w="934"/>
      </w:tblGrid>
      <w:tr w14:paraId="4B58BF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150" w:type="dxa"/>
            <w:tcBorders>
              <w:top w:val="single" w:color="FFFFFF" w:sz="4" w:space="0"/>
              <w:left w:val="single" w:color="FFFFFF" w:sz="2" w:space="0"/>
              <w:bottom w:val="single" w:color="FFFFFF" w:sz="4" w:space="0"/>
              <w:right w:val="single" w:color="FFFFFF" w:sz="2" w:space="0"/>
            </w:tcBorders>
            <w:vAlign w:val="top"/>
          </w:tcPr>
          <w:p w14:paraId="5BE39ED5">
            <w:pPr>
              <w:pStyle w:val="6"/>
            </w:pPr>
          </w:p>
        </w:tc>
        <w:tc>
          <w:tcPr>
            <w:tcW w:w="1717" w:type="dxa"/>
            <w:tcBorders>
              <w:top w:val="single" w:color="FFFFFF" w:sz="4" w:space="0"/>
              <w:left w:val="single" w:color="FFFFFF" w:sz="2" w:space="0"/>
              <w:bottom w:val="single" w:color="FFFFFF" w:sz="4" w:space="0"/>
              <w:right w:val="single" w:color="FFFFFF" w:sz="2" w:space="0"/>
            </w:tcBorders>
            <w:vAlign w:val="top"/>
          </w:tcPr>
          <w:p w14:paraId="40C6111C">
            <w:pPr>
              <w:pStyle w:val="6"/>
            </w:pPr>
          </w:p>
        </w:tc>
        <w:tc>
          <w:tcPr>
            <w:tcW w:w="983" w:type="dxa"/>
            <w:tcBorders>
              <w:top w:val="single" w:color="FFFFFF" w:sz="4" w:space="0"/>
              <w:left w:val="single" w:color="FFFFFF" w:sz="2" w:space="0"/>
              <w:bottom w:val="single" w:color="FFFFFF" w:sz="4" w:space="0"/>
              <w:right w:val="single" w:color="FFFFFF" w:sz="2" w:space="0"/>
            </w:tcBorders>
            <w:vAlign w:val="top"/>
          </w:tcPr>
          <w:p w14:paraId="652D0772">
            <w:pPr>
              <w:pStyle w:val="6"/>
            </w:pPr>
          </w:p>
        </w:tc>
        <w:tc>
          <w:tcPr>
            <w:tcW w:w="972" w:type="dxa"/>
            <w:tcBorders>
              <w:top w:val="single" w:color="FFFFFF" w:sz="4" w:space="0"/>
              <w:left w:val="single" w:color="FFFFFF" w:sz="2" w:space="0"/>
              <w:bottom w:val="single" w:color="FFFFFF" w:sz="4" w:space="0"/>
              <w:right w:val="single" w:color="FFFFFF" w:sz="2" w:space="0"/>
            </w:tcBorders>
            <w:vAlign w:val="top"/>
          </w:tcPr>
          <w:p w14:paraId="6FBE11C1">
            <w:pPr>
              <w:pStyle w:val="6"/>
            </w:pPr>
          </w:p>
        </w:tc>
        <w:tc>
          <w:tcPr>
            <w:tcW w:w="1436" w:type="dxa"/>
            <w:tcBorders>
              <w:top w:val="single" w:color="FFFFFF" w:sz="4" w:space="0"/>
              <w:left w:val="single" w:color="FFFFFF" w:sz="2" w:space="0"/>
              <w:bottom w:val="single" w:color="FFFFFF" w:sz="4" w:space="0"/>
              <w:right w:val="single" w:color="FFFFFF" w:sz="2" w:space="0"/>
            </w:tcBorders>
            <w:vAlign w:val="top"/>
          </w:tcPr>
          <w:p w14:paraId="208EFB80">
            <w:pPr>
              <w:pStyle w:val="6"/>
            </w:pPr>
          </w:p>
        </w:tc>
        <w:tc>
          <w:tcPr>
            <w:tcW w:w="1005" w:type="dxa"/>
            <w:tcBorders>
              <w:top w:val="single" w:color="FFFFFF" w:sz="4" w:space="0"/>
              <w:left w:val="single" w:color="FFFFFF" w:sz="2" w:space="0"/>
              <w:bottom w:val="single" w:color="FFFFFF" w:sz="4" w:space="0"/>
              <w:right w:val="single" w:color="FFFFFF" w:sz="2" w:space="0"/>
            </w:tcBorders>
            <w:vAlign w:val="top"/>
          </w:tcPr>
          <w:p w14:paraId="2AB05DA4">
            <w:pPr>
              <w:pStyle w:val="6"/>
            </w:pPr>
          </w:p>
        </w:tc>
        <w:tc>
          <w:tcPr>
            <w:tcW w:w="961" w:type="dxa"/>
            <w:tcBorders>
              <w:top w:val="single" w:color="FFFFFF" w:sz="4" w:space="0"/>
              <w:left w:val="single" w:color="FFFFFF" w:sz="2" w:space="0"/>
              <w:bottom w:val="single" w:color="FFFFFF" w:sz="4" w:space="0"/>
              <w:right w:val="single" w:color="FFFFFF" w:sz="2" w:space="0"/>
            </w:tcBorders>
            <w:vAlign w:val="top"/>
          </w:tcPr>
          <w:p w14:paraId="5BB1BDC9">
            <w:pPr>
              <w:pStyle w:val="6"/>
            </w:pPr>
          </w:p>
        </w:tc>
        <w:tc>
          <w:tcPr>
            <w:tcW w:w="934" w:type="dxa"/>
            <w:tcBorders>
              <w:top w:val="single" w:color="FFFFFF" w:sz="4" w:space="0"/>
              <w:left w:val="single" w:color="FFFFFF" w:sz="2" w:space="0"/>
              <w:bottom w:val="single" w:color="FFFFFF" w:sz="4" w:space="0"/>
              <w:right w:val="single" w:color="FFFFFF" w:sz="2" w:space="0"/>
            </w:tcBorders>
            <w:vAlign w:val="top"/>
          </w:tcPr>
          <w:p w14:paraId="38E3F781">
            <w:pPr>
              <w:spacing w:before="235" w:line="211" w:lineRule="auto"/>
              <w:ind w:left="197"/>
              <w:rPr>
                <w:rFonts w:ascii="宋体" w:hAnsi="宋体" w:eastAsia="宋体" w:cs="宋体"/>
                <w:sz w:val="12"/>
                <w:szCs w:val="12"/>
              </w:rPr>
            </w:pPr>
            <w:r>
              <w:rPr>
                <w:rFonts w:ascii="宋体" w:hAnsi="宋体" w:eastAsia="宋体" w:cs="宋体"/>
                <w:color w:val="212529"/>
                <w:spacing w:val="7"/>
                <w:sz w:val="12"/>
                <w:szCs w:val="12"/>
              </w:rPr>
              <w:t>部门公开表9</w:t>
            </w:r>
          </w:p>
        </w:tc>
      </w:tr>
      <w:tr w14:paraId="04A66B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8"/>
            <w:tcBorders>
              <w:top w:val="single" w:color="FFFFFF" w:sz="4" w:space="0"/>
              <w:left w:val="single" w:color="FFFFFF" w:sz="4" w:space="0"/>
              <w:bottom w:val="single" w:color="FFFFFF" w:sz="4" w:space="0"/>
              <w:right w:val="single" w:color="FFFFFF" w:sz="4" w:space="0"/>
            </w:tcBorders>
            <w:vAlign w:val="top"/>
          </w:tcPr>
          <w:p w14:paraId="6A25E56E">
            <w:pPr>
              <w:spacing w:before="80" w:line="201" w:lineRule="exact"/>
              <w:ind w:left="2153"/>
              <w:rPr>
                <w:rFonts w:ascii="微软雅黑" w:hAnsi="微软雅黑" w:eastAsia="微软雅黑" w:cs="微软雅黑"/>
                <w:sz w:val="20"/>
                <w:szCs w:val="20"/>
              </w:rPr>
            </w:pPr>
            <w:bookmarkStart w:id="58" w:name="bookmark45"/>
            <w:bookmarkEnd w:id="58"/>
            <w:r>
              <w:rPr>
                <w:rFonts w:ascii="微软雅黑" w:hAnsi="微软雅黑" w:eastAsia="微软雅黑" w:cs="微软雅黑"/>
                <w:color w:val="212529"/>
                <w:position w:val="-1"/>
                <w:sz w:val="20"/>
                <w:szCs w:val="20"/>
              </w:rPr>
              <w:t>2025年国有资本经营预算收支预算表</w:t>
            </w:r>
            <w:r>
              <w:rPr>
                <w:rFonts w:ascii="微软雅黑" w:hAnsi="微软雅黑" w:eastAsia="微软雅黑" w:cs="微软雅黑"/>
                <w:color w:val="212529"/>
                <w:spacing w:val="61"/>
                <w:w w:val="101"/>
                <w:position w:val="-1"/>
                <w:sz w:val="20"/>
                <w:szCs w:val="20"/>
              </w:rPr>
              <w:t xml:space="preserve"> </w:t>
            </w:r>
            <w:r>
              <w:rPr>
                <w:rFonts w:ascii="微软雅黑" w:hAnsi="微软雅黑" w:eastAsia="微软雅黑" w:cs="微软雅黑"/>
                <w:color w:val="212529"/>
                <w:position w:val="-1"/>
                <w:sz w:val="20"/>
                <w:szCs w:val="20"/>
              </w:rPr>
              <w:t>(不含上年结转)</w:t>
            </w:r>
          </w:p>
        </w:tc>
      </w:tr>
      <w:tr w14:paraId="4112F2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8224" w:type="dxa"/>
            <w:gridSpan w:val="7"/>
            <w:tcBorders>
              <w:top w:val="single" w:color="FFFFFF" w:sz="4" w:space="0"/>
              <w:left w:val="single" w:color="FFFFFF" w:sz="2" w:space="0"/>
              <w:right w:val="single" w:color="FFFFFF" w:sz="2" w:space="0"/>
            </w:tcBorders>
            <w:vAlign w:val="top"/>
          </w:tcPr>
          <w:p w14:paraId="76A058FA">
            <w:pPr>
              <w:spacing w:before="124" w:line="234" w:lineRule="auto"/>
              <w:ind w:left="9"/>
              <w:rPr>
                <w:rFonts w:ascii="宋体" w:hAnsi="宋体" w:eastAsia="宋体" w:cs="宋体"/>
                <w:sz w:val="12"/>
                <w:szCs w:val="12"/>
              </w:rPr>
            </w:pPr>
            <w:r>
              <w:rPr>
                <w:rFonts w:ascii="宋体" w:hAnsi="宋体" w:eastAsia="宋体" w:cs="宋体"/>
                <w:color w:val="212529"/>
                <w:spacing w:val="9"/>
                <w:sz w:val="12"/>
                <w:szCs w:val="12"/>
              </w:rPr>
              <w:t>部门名称：长治高新区漳泽工业园事业服务中心</w:t>
            </w:r>
          </w:p>
        </w:tc>
        <w:tc>
          <w:tcPr>
            <w:tcW w:w="934" w:type="dxa"/>
            <w:tcBorders>
              <w:top w:val="single" w:color="FFFFFF" w:sz="4" w:space="0"/>
              <w:left w:val="single" w:color="FFFFFF" w:sz="2" w:space="0"/>
              <w:right w:val="single" w:color="FFFFFF" w:sz="2" w:space="0"/>
            </w:tcBorders>
            <w:vAlign w:val="top"/>
          </w:tcPr>
          <w:p w14:paraId="2E2A46F8">
            <w:pPr>
              <w:spacing w:before="124" w:line="235" w:lineRule="auto"/>
              <w:ind w:left="261"/>
              <w:rPr>
                <w:rFonts w:ascii="宋体" w:hAnsi="宋体" w:eastAsia="宋体" w:cs="宋体"/>
                <w:sz w:val="12"/>
                <w:szCs w:val="12"/>
              </w:rPr>
            </w:pPr>
            <w:r>
              <w:rPr>
                <w:rFonts w:ascii="宋体" w:hAnsi="宋体" w:eastAsia="宋体" w:cs="宋体"/>
                <w:color w:val="212529"/>
                <w:spacing w:val="8"/>
                <w:sz w:val="12"/>
                <w:szCs w:val="12"/>
              </w:rPr>
              <w:t>单位：万元</w:t>
            </w:r>
          </w:p>
        </w:tc>
      </w:tr>
      <w:tr w14:paraId="60A53F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850" w:type="dxa"/>
            <w:gridSpan w:val="3"/>
            <w:vAlign w:val="top"/>
          </w:tcPr>
          <w:p w14:paraId="7E8E5F8E">
            <w:pPr>
              <w:spacing w:before="109" w:line="158" w:lineRule="exact"/>
              <w:ind w:left="111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国有资本经营预算收入</w:t>
            </w:r>
          </w:p>
        </w:tc>
        <w:tc>
          <w:tcPr>
            <w:tcW w:w="5308" w:type="dxa"/>
            <w:gridSpan w:val="5"/>
            <w:vAlign w:val="top"/>
          </w:tcPr>
          <w:p w14:paraId="02A83338">
            <w:pPr>
              <w:spacing w:before="109" w:line="158" w:lineRule="exact"/>
              <w:ind w:left="1847"/>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国有资本经营预算支出</w:t>
            </w:r>
          </w:p>
        </w:tc>
      </w:tr>
      <w:tr w14:paraId="262AED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867" w:type="dxa"/>
            <w:gridSpan w:val="2"/>
            <w:vAlign w:val="top"/>
          </w:tcPr>
          <w:p w14:paraId="3578AD4C">
            <w:pPr>
              <w:spacing w:before="114" w:line="153" w:lineRule="exact"/>
              <w:ind w:left="1259"/>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83" w:type="dxa"/>
            <w:vMerge w:val="restart"/>
            <w:tcBorders>
              <w:bottom w:val="nil"/>
            </w:tcBorders>
            <w:vAlign w:val="top"/>
          </w:tcPr>
          <w:p w14:paraId="0719D156">
            <w:pPr>
              <w:spacing w:before="220" w:line="159" w:lineRule="auto"/>
              <w:ind w:left="75" w:right="93" w:firstLine="14"/>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国有资本经</w:t>
            </w:r>
            <w:r>
              <w:rPr>
                <w:rFonts w:ascii="微软雅黑" w:hAnsi="微软雅黑" w:eastAsia="微软雅黑" w:cs="微软雅黑"/>
                <w:color w:val="212529"/>
                <w:spacing w:val="2"/>
                <w:sz w:val="15"/>
                <w:szCs w:val="15"/>
              </w:rPr>
              <w:t xml:space="preserve"> </w:t>
            </w:r>
            <w:r>
              <w:rPr>
                <w:rFonts w:ascii="微软雅黑" w:hAnsi="微软雅黑" w:eastAsia="微软雅黑" w:cs="微软雅黑"/>
                <w:color w:val="212529"/>
                <w:spacing w:val="10"/>
                <w:sz w:val="15"/>
                <w:szCs w:val="15"/>
              </w:rPr>
              <w:t>营收入预算</w:t>
            </w:r>
          </w:p>
        </w:tc>
        <w:tc>
          <w:tcPr>
            <w:tcW w:w="972" w:type="dxa"/>
            <w:vMerge w:val="restart"/>
            <w:tcBorders>
              <w:bottom w:val="nil"/>
            </w:tcBorders>
            <w:vAlign w:val="top"/>
          </w:tcPr>
          <w:p w14:paraId="504A5096">
            <w:pPr>
              <w:pStyle w:val="6"/>
            </w:pPr>
          </w:p>
          <w:p w14:paraId="5013E257">
            <w:pPr>
              <w:spacing w:before="64" w:line="157" w:lineRule="exact"/>
              <w:ind w:left="149"/>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1436" w:type="dxa"/>
            <w:vMerge w:val="restart"/>
            <w:tcBorders>
              <w:bottom w:val="nil"/>
            </w:tcBorders>
            <w:vAlign w:val="top"/>
          </w:tcPr>
          <w:p w14:paraId="3A5F5A3E">
            <w:pPr>
              <w:pStyle w:val="6"/>
            </w:pPr>
          </w:p>
          <w:p w14:paraId="587810BB">
            <w:pPr>
              <w:spacing w:before="64" w:line="157" w:lineRule="exact"/>
              <w:ind w:left="38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005" w:type="dxa"/>
            <w:vMerge w:val="restart"/>
            <w:tcBorders>
              <w:bottom w:val="nil"/>
            </w:tcBorders>
            <w:vAlign w:val="top"/>
          </w:tcPr>
          <w:p w14:paraId="5D38B059">
            <w:pPr>
              <w:pStyle w:val="6"/>
              <w:spacing w:line="241" w:lineRule="auto"/>
            </w:pPr>
          </w:p>
          <w:p w14:paraId="10343C8D">
            <w:pPr>
              <w:spacing w:before="64" w:line="154" w:lineRule="exact"/>
              <w:ind w:left="33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961" w:type="dxa"/>
            <w:vMerge w:val="restart"/>
            <w:tcBorders>
              <w:bottom w:val="nil"/>
            </w:tcBorders>
            <w:vAlign w:val="top"/>
          </w:tcPr>
          <w:p w14:paraId="6C1D4573">
            <w:pPr>
              <w:spacing w:before="305" w:line="157" w:lineRule="exact"/>
              <w:ind w:left="14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934" w:type="dxa"/>
            <w:vMerge w:val="restart"/>
            <w:tcBorders>
              <w:bottom w:val="nil"/>
            </w:tcBorders>
            <w:vAlign w:val="top"/>
          </w:tcPr>
          <w:p w14:paraId="301AC60F">
            <w:pPr>
              <w:pStyle w:val="6"/>
            </w:pPr>
          </w:p>
          <w:p w14:paraId="554F5CF9">
            <w:pPr>
              <w:spacing w:before="64" w:line="156" w:lineRule="exact"/>
              <w:ind w:left="130"/>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2465BC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150" w:type="dxa"/>
            <w:vAlign w:val="top"/>
          </w:tcPr>
          <w:p w14:paraId="03D9EEEF">
            <w:pPr>
              <w:spacing w:before="112" w:line="158" w:lineRule="exact"/>
              <w:ind w:left="7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收入科目编码</w:t>
            </w:r>
          </w:p>
        </w:tc>
        <w:tc>
          <w:tcPr>
            <w:tcW w:w="1717" w:type="dxa"/>
            <w:vAlign w:val="top"/>
          </w:tcPr>
          <w:p w14:paraId="333209F1">
            <w:pPr>
              <w:spacing w:before="112" w:line="157" w:lineRule="exact"/>
              <w:ind w:left="51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983" w:type="dxa"/>
            <w:vMerge w:val="continue"/>
            <w:tcBorders>
              <w:top w:val="nil"/>
            </w:tcBorders>
            <w:vAlign w:val="top"/>
          </w:tcPr>
          <w:p w14:paraId="37F8B503">
            <w:pPr>
              <w:pStyle w:val="6"/>
            </w:pPr>
          </w:p>
        </w:tc>
        <w:tc>
          <w:tcPr>
            <w:tcW w:w="972" w:type="dxa"/>
            <w:vMerge w:val="continue"/>
            <w:tcBorders>
              <w:top w:val="nil"/>
            </w:tcBorders>
            <w:vAlign w:val="top"/>
          </w:tcPr>
          <w:p w14:paraId="2DEB04C3">
            <w:pPr>
              <w:pStyle w:val="6"/>
            </w:pPr>
          </w:p>
        </w:tc>
        <w:tc>
          <w:tcPr>
            <w:tcW w:w="1436" w:type="dxa"/>
            <w:vMerge w:val="continue"/>
            <w:tcBorders>
              <w:top w:val="nil"/>
            </w:tcBorders>
            <w:vAlign w:val="top"/>
          </w:tcPr>
          <w:p w14:paraId="003BB710">
            <w:pPr>
              <w:pStyle w:val="6"/>
            </w:pPr>
          </w:p>
        </w:tc>
        <w:tc>
          <w:tcPr>
            <w:tcW w:w="1005" w:type="dxa"/>
            <w:vMerge w:val="continue"/>
            <w:tcBorders>
              <w:top w:val="nil"/>
            </w:tcBorders>
            <w:vAlign w:val="top"/>
          </w:tcPr>
          <w:p w14:paraId="4318A343">
            <w:pPr>
              <w:pStyle w:val="6"/>
            </w:pPr>
          </w:p>
        </w:tc>
        <w:tc>
          <w:tcPr>
            <w:tcW w:w="961" w:type="dxa"/>
            <w:vMerge w:val="continue"/>
            <w:tcBorders>
              <w:top w:val="nil"/>
            </w:tcBorders>
            <w:vAlign w:val="top"/>
          </w:tcPr>
          <w:p w14:paraId="0F9F301D">
            <w:pPr>
              <w:pStyle w:val="6"/>
            </w:pPr>
          </w:p>
        </w:tc>
        <w:tc>
          <w:tcPr>
            <w:tcW w:w="934" w:type="dxa"/>
            <w:vMerge w:val="continue"/>
            <w:tcBorders>
              <w:top w:val="nil"/>
            </w:tcBorders>
            <w:vAlign w:val="top"/>
          </w:tcPr>
          <w:p w14:paraId="20C34AB9">
            <w:pPr>
              <w:pStyle w:val="6"/>
            </w:pPr>
          </w:p>
        </w:tc>
      </w:tr>
      <w:tr w14:paraId="3170CC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867" w:type="dxa"/>
            <w:gridSpan w:val="2"/>
            <w:vAlign w:val="top"/>
          </w:tcPr>
          <w:p w14:paraId="0A3743BA">
            <w:pPr>
              <w:spacing w:before="114" w:line="154" w:lineRule="exact"/>
              <w:ind w:left="1262"/>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983" w:type="dxa"/>
            <w:vAlign w:val="top"/>
          </w:tcPr>
          <w:p w14:paraId="3B93655A">
            <w:pPr>
              <w:pStyle w:val="6"/>
            </w:pPr>
          </w:p>
        </w:tc>
        <w:tc>
          <w:tcPr>
            <w:tcW w:w="972" w:type="dxa"/>
            <w:vAlign w:val="top"/>
          </w:tcPr>
          <w:p w14:paraId="2E6847FE">
            <w:pPr>
              <w:pStyle w:val="6"/>
            </w:pPr>
          </w:p>
        </w:tc>
        <w:tc>
          <w:tcPr>
            <w:tcW w:w="1436" w:type="dxa"/>
            <w:vAlign w:val="top"/>
          </w:tcPr>
          <w:p w14:paraId="5574A7CD">
            <w:pPr>
              <w:pStyle w:val="6"/>
            </w:pPr>
          </w:p>
        </w:tc>
        <w:tc>
          <w:tcPr>
            <w:tcW w:w="1005" w:type="dxa"/>
            <w:vAlign w:val="top"/>
          </w:tcPr>
          <w:p w14:paraId="2A73B566">
            <w:pPr>
              <w:pStyle w:val="6"/>
            </w:pPr>
          </w:p>
        </w:tc>
        <w:tc>
          <w:tcPr>
            <w:tcW w:w="961" w:type="dxa"/>
            <w:vAlign w:val="top"/>
          </w:tcPr>
          <w:p w14:paraId="021811F8">
            <w:pPr>
              <w:pStyle w:val="6"/>
            </w:pPr>
          </w:p>
        </w:tc>
        <w:tc>
          <w:tcPr>
            <w:tcW w:w="934" w:type="dxa"/>
            <w:vAlign w:val="top"/>
          </w:tcPr>
          <w:p w14:paraId="706CC2B2">
            <w:pPr>
              <w:pStyle w:val="6"/>
            </w:pPr>
          </w:p>
        </w:tc>
      </w:tr>
      <w:tr w14:paraId="64AD56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150" w:type="dxa"/>
            <w:vAlign w:val="top"/>
          </w:tcPr>
          <w:p w14:paraId="7BAC8E2C">
            <w:pPr>
              <w:pStyle w:val="6"/>
            </w:pPr>
          </w:p>
        </w:tc>
        <w:tc>
          <w:tcPr>
            <w:tcW w:w="1717" w:type="dxa"/>
            <w:vAlign w:val="top"/>
          </w:tcPr>
          <w:p w14:paraId="1FD98FB4">
            <w:pPr>
              <w:pStyle w:val="6"/>
            </w:pPr>
          </w:p>
        </w:tc>
        <w:tc>
          <w:tcPr>
            <w:tcW w:w="983" w:type="dxa"/>
            <w:vAlign w:val="top"/>
          </w:tcPr>
          <w:p w14:paraId="467CE525">
            <w:pPr>
              <w:pStyle w:val="6"/>
            </w:pPr>
          </w:p>
        </w:tc>
        <w:tc>
          <w:tcPr>
            <w:tcW w:w="972" w:type="dxa"/>
            <w:vAlign w:val="top"/>
          </w:tcPr>
          <w:p w14:paraId="2AA22FCD">
            <w:pPr>
              <w:pStyle w:val="6"/>
            </w:pPr>
          </w:p>
        </w:tc>
        <w:tc>
          <w:tcPr>
            <w:tcW w:w="1436" w:type="dxa"/>
            <w:vAlign w:val="top"/>
          </w:tcPr>
          <w:p w14:paraId="293703A2">
            <w:pPr>
              <w:pStyle w:val="6"/>
            </w:pPr>
          </w:p>
        </w:tc>
        <w:tc>
          <w:tcPr>
            <w:tcW w:w="1005" w:type="dxa"/>
            <w:vAlign w:val="top"/>
          </w:tcPr>
          <w:p w14:paraId="077187B7">
            <w:pPr>
              <w:pStyle w:val="6"/>
            </w:pPr>
          </w:p>
        </w:tc>
        <w:tc>
          <w:tcPr>
            <w:tcW w:w="961" w:type="dxa"/>
            <w:vAlign w:val="top"/>
          </w:tcPr>
          <w:p w14:paraId="1DB779E3">
            <w:pPr>
              <w:pStyle w:val="6"/>
            </w:pPr>
          </w:p>
        </w:tc>
        <w:tc>
          <w:tcPr>
            <w:tcW w:w="934" w:type="dxa"/>
            <w:vAlign w:val="top"/>
          </w:tcPr>
          <w:p w14:paraId="0F7D6F13">
            <w:pPr>
              <w:pStyle w:val="6"/>
            </w:pPr>
          </w:p>
        </w:tc>
      </w:tr>
      <w:tr w14:paraId="30BC23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left w:val="single" w:color="FFFFFF" w:sz="2" w:space="0"/>
              <w:bottom w:val="single" w:color="FFFFFF" w:sz="4" w:space="0"/>
              <w:right w:val="single" w:color="FFFFFF" w:sz="2" w:space="0"/>
            </w:tcBorders>
            <w:vAlign w:val="top"/>
          </w:tcPr>
          <w:p w14:paraId="58559AC6">
            <w:pPr>
              <w:spacing w:before="118" w:line="228" w:lineRule="auto"/>
              <w:ind w:left="8"/>
              <w:rPr>
                <w:rFonts w:ascii="宋体" w:hAnsi="宋体" w:eastAsia="宋体" w:cs="宋体"/>
                <w:sz w:val="15"/>
                <w:szCs w:val="15"/>
              </w:rPr>
            </w:pPr>
            <w:r>
              <w:rPr>
                <w:rFonts w:ascii="宋体" w:hAnsi="宋体" w:eastAsia="宋体" w:cs="宋体"/>
                <w:color w:val="212529"/>
                <w:spacing w:val="10"/>
                <w:sz w:val="15"/>
                <w:szCs w:val="15"/>
              </w:rPr>
              <w:t>注：本表无数据</w:t>
            </w:r>
          </w:p>
        </w:tc>
      </w:tr>
    </w:tbl>
    <w:p w14:paraId="5C3EBC1A">
      <w:pPr>
        <w:spacing w:before="17"/>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505"/>
        <w:gridCol w:w="1458"/>
        <w:gridCol w:w="1393"/>
        <w:gridCol w:w="1382"/>
        <w:gridCol w:w="1420"/>
      </w:tblGrid>
      <w:tr w14:paraId="079F36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3505" w:type="dxa"/>
            <w:tcBorders>
              <w:top w:val="single" w:color="FFFFFF" w:sz="4" w:space="0"/>
              <w:left w:val="single" w:color="FFFFFF" w:sz="2" w:space="0"/>
              <w:bottom w:val="single" w:color="FFFFFF" w:sz="4" w:space="0"/>
              <w:right w:val="single" w:color="FFFFFF" w:sz="2" w:space="0"/>
            </w:tcBorders>
            <w:vAlign w:val="top"/>
          </w:tcPr>
          <w:p w14:paraId="56E2F042">
            <w:pPr>
              <w:pStyle w:val="6"/>
            </w:pPr>
          </w:p>
        </w:tc>
        <w:tc>
          <w:tcPr>
            <w:tcW w:w="1458" w:type="dxa"/>
            <w:tcBorders>
              <w:top w:val="single" w:color="FFFFFF" w:sz="4" w:space="0"/>
              <w:left w:val="single" w:color="FFFFFF" w:sz="2" w:space="0"/>
              <w:bottom w:val="single" w:color="FFFFFF" w:sz="4" w:space="0"/>
              <w:right w:val="single" w:color="FFFFFF" w:sz="2" w:space="0"/>
            </w:tcBorders>
            <w:vAlign w:val="top"/>
          </w:tcPr>
          <w:p w14:paraId="4ECDFC7C">
            <w:pPr>
              <w:pStyle w:val="6"/>
            </w:pPr>
          </w:p>
        </w:tc>
        <w:tc>
          <w:tcPr>
            <w:tcW w:w="1393" w:type="dxa"/>
            <w:tcBorders>
              <w:top w:val="single" w:color="FFFFFF" w:sz="4" w:space="0"/>
              <w:left w:val="single" w:color="FFFFFF" w:sz="2" w:space="0"/>
              <w:bottom w:val="single" w:color="FFFFFF" w:sz="4" w:space="0"/>
              <w:right w:val="single" w:color="FFFFFF" w:sz="2" w:space="0"/>
            </w:tcBorders>
            <w:vAlign w:val="top"/>
          </w:tcPr>
          <w:p w14:paraId="30F1795E">
            <w:pPr>
              <w:pStyle w:val="6"/>
            </w:pPr>
          </w:p>
        </w:tc>
        <w:tc>
          <w:tcPr>
            <w:tcW w:w="1382" w:type="dxa"/>
            <w:tcBorders>
              <w:top w:val="single" w:color="FFFFFF" w:sz="4" w:space="0"/>
              <w:left w:val="single" w:color="FFFFFF" w:sz="2" w:space="0"/>
              <w:bottom w:val="single" w:color="FFFFFF" w:sz="4" w:space="0"/>
              <w:right w:val="single" w:color="FFFFFF" w:sz="2" w:space="0"/>
            </w:tcBorders>
            <w:vAlign w:val="top"/>
          </w:tcPr>
          <w:p w14:paraId="00B26C86">
            <w:pPr>
              <w:pStyle w:val="6"/>
            </w:pPr>
          </w:p>
        </w:tc>
        <w:tc>
          <w:tcPr>
            <w:tcW w:w="1420" w:type="dxa"/>
            <w:tcBorders>
              <w:top w:val="single" w:color="FFFFFF" w:sz="4" w:space="0"/>
              <w:left w:val="single" w:color="FFFFFF" w:sz="2" w:space="0"/>
              <w:bottom w:val="single" w:color="FFFFFF" w:sz="4" w:space="0"/>
              <w:right w:val="single" w:color="FFFFFF" w:sz="2" w:space="0"/>
            </w:tcBorders>
            <w:vAlign w:val="top"/>
          </w:tcPr>
          <w:p w14:paraId="27406DE0">
            <w:pPr>
              <w:spacing w:before="127" w:line="234" w:lineRule="auto"/>
              <w:ind w:left="616"/>
              <w:rPr>
                <w:rFonts w:ascii="宋体" w:hAnsi="宋体" w:eastAsia="宋体" w:cs="宋体"/>
                <w:sz w:val="12"/>
                <w:szCs w:val="12"/>
              </w:rPr>
            </w:pPr>
            <w:r>
              <w:rPr>
                <w:rFonts w:ascii="宋体" w:hAnsi="宋体" w:eastAsia="宋体" w:cs="宋体"/>
                <w:color w:val="212529"/>
                <w:spacing w:val="7"/>
                <w:sz w:val="12"/>
                <w:szCs w:val="12"/>
              </w:rPr>
              <w:t>预算公开表10</w:t>
            </w:r>
          </w:p>
        </w:tc>
      </w:tr>
      <w:tr w14:paraId="768C33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7A5C89A6">
            <w:pPr>
              <w:spacing w:before="78" w:line="200" w:lineRule="exact"/>
              <w:ind w:left="2556"/>
              <w:outlineLvl w:val="1"/>
              <w:rPr>
                <w:rFonts w:ascii="微软雅黑" w:hAnsi="微软雅黑" w:eastAsia="微软雅黑" w:cs="微软雅黑"/>
                <w:sz w:val="19"/>
                <w:szCs w:val="19"/>
              </w:rPr>
            </w:pPr>
            <w:bookmarkStart w:id="59" w:name="bookmark15"/>
            <w:bookmarkEnd w:id="59"/>
            <w:r>
              <w:rPr>
                <w:rFonts w:ascii="微软雅黑" w:hAnsi="微软雅黑" w:eastAsia="微软雅黑" w:cs="微软雅黑"/>
                <w:color w:val="212529"/>
                <w:spacing w:val="9"/>
                <w:position w:val="-1"/>
                <w:sz w:val="19"/>
                <w:szCs w:val="19"/>
              </w:rPr>
              <w:t>2025年财政拨款安排</w:t>
            </w:r>
            <w:r>
              <w:rPr>
                <w:rFonts w:ascii="微软雅黑" w:hAnsi="微软雅黑" w:eastAsia="微软雅黑" w:cs="微软雅黑"/>
                <w:color w:val="212529"/>
                <w:spacing w:val="23"/>
                <w:w w:val="101"/>
                <w:position w:val="-1"/>
                <w:sz w:val="19"/>
                <w:szCs w:val="19"/>
              </w:rPr>
              <w:t xml:space="preserve"> </w:t>
            </w:r>
            <w:r>
              <w:rPr>
                <w:rFonts w:ascii="微软雅黑" w:hAnsi="微软雅黑" w:eastAsia="微软雅黑" w:cs="微软雅黑"/>
                <w:color w:val="212529"/>
                <w:spacing w:val="9"/>
                <w:position w:val="-1"/>
                <w:sz w:val="19"/>
                <w:szCs w:val="19"/>
              </w:rPr>
              <w:t>"三公"</w:t>
            </w:r>
            <w:r>
              <w:rPr>
                <w:rFonts w:ascii="微软雅黑" w:hAnsi="微软雅黑" w:eastAsia="微软雅黑" w:cs="微软雅黑"/>
                <w:color w:val="212529"/>
                <w:spacing w:val="39"/>
                <w:w w:val="101"/>
                <w:position w:val="-1"/>
                <w:sz w:val="19"/>
                <w:szCs w:val="19"/>
              </w:rPr>
              <w:t xml:space="preserve"> </w:t>
            </w:r>
            <w:r>
              <w:rPr>
                <w:rFonts w:ascii="微软雅黑" w:hAnsi="微软雅黑" w:eastAsia="微软雅黑" w:cs="微软雅黑"/>
                <w:color w:val="212529"/>
                <w:spacing w:val="9"/>
                <w:position w:val="-1"/>
                <w:sz w:val="19"/>
                <w:szCs w:val="19"/>
              </w:rPr>
              <w:t>经费支出预算表</w:t>
            </w:r>
          </w:p>
        </w:tc>
      </w:tr>
      <w:tr w14:paraId="29710F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6356" w:type="dxa"/>
            <w:gridSpan w:val="3"/>
            <w:tcBorders>
              <w:top w:val="single" w:color="FFFFFF" w:sz="4" w:space="0"/>
              <w:left w:val="single" w:color="FFFFFF" w:sz="2" w:space="0"/>
              <w:right w:val="single" w:color="FFFFFF" w:sz="2" w:space="0"/>
            </w:tcBorders>
            <w:vAlign w:val="top"/>
          </w:tcPr>
          <w:p w14:paraId="787D5BAA">
            <w:pPr>
              <w:spacing w:before="123" w:line="234" w:lineRule="auto"/>
              <w:ind w:left="9"/>
              <w:rPr>
                <w:rFonts w:ascii="宋体" w:hAnsi="宋体" w:eastAsia="宋体" w:cs="宋体"/>
                <w:sz w:val="12"/>
                <w:szCs w:val="12"/>
              </w:rPr>
            </w:pPr>
            <w:r>
              <w:rPr>
                <w:rFonts w:ascii="宋体" w:hAnsi="宋体" w:eastAsia="宋体" w:cs="宋体"/>
                <w:color w:val="212529"/>
                <w:spacing w:val="9"/>
                <w:sz w:val="12"/>
                <w:szCs w:val="12"/>
              </w:rPr>
              <w:t>部门名称：长治高新区漳泽工业园事业服务中心</w:t>
            </w:r>
          </w:p>
        </w:tc>
        <w:tc>
          <w:tcPr>
            <w:tcW w:w="1382" w:type="dxa"/>
            <w:tcBorders>
              <w:top w:val="single" w:color="FFFFFF" w:sz="4" w:space="0"/>
              <w:left w:val="single" w:color="FFFFFF" w:sz="2" w:space="0"/>
              <w:right w:val="single" w:color="FFFFFF" w:sz="2" w:space="0"/>
            </w:tcBorders>
            <w:vAlign w:val="top"/>
          </w:tcPr>
          <w:p w14:paraId="028FEF44">
            <w:pPr>
              <w:pStyle w:val="6"/>
            </w:pPr>
          </w:p>
        </w:tc>
        <w:tc>
          <w:tcPr>
            <w:tcW w:w="1420" w:type="dxa"/>
            <w:tcBorders>
              <w:top w:val="single" w:color="FFFFFF" w:sz="4" w:space="0"/>
              <w:left w:val="single" w:color="FFFFFF" w:sz="2" w:space="0"/>
              <w:right w:val="single" w:color="FFFFFF" w:sz="2" w:space="0"/>
            </w:tcBorders>
            <w:vAlign w:val="top"/>
          </w:tcPr>
          <w:p w14:paraId="0BA4DD6C">
            <w:pPr>
              <w:spacing w:before="124" w:line="234" w:lineRule="auto"/>
              <w:ind w:left="812"/>
              <w:rPr>
                <w:rFonts w:ascii="宋体" w:hAnsi="宋体" w:eastAsia="宋体" w:cs="宋体"/>
                <w:sz w:val="12"/>
                <w:szCs w:val="12"/>
              </w:rPr>
            </w:pPr>
            <w:r>
              <w:rPr>
                <w:rFonts w:ascii="宋体" w:hAnsi="宋体" w:eastAsia="宋体" w:cs="宋体"/>
                <w:color w:val="212529"/>
                <w:spacing w:val="7"/>
                <w:sz w:val="12"/>
                <w:szCs w:val="12"/>
              </w:rPr>
              <w:t>单位:万元</w:t>
            </w:r>
          </w:p>
        </w:tc>
      </w:tr>
      <w:tr w14:paraId="3BED1A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505" w:type="dxa"/>
            <w:vMerge w:val="restart"/>
            <w:tcBorders>
              <w:bottom w:val="nil"/>
            </w:tcBorders>
            <w:vAlign w:val="top"/>
          </w:tcPr>
          <w:p w14:paraId="33DE84D5">
            <w:pPr>
              <w:pStyle w:val="6"/>
            </w:pPr>
          </w:p>
          <w:p w14:paraId="7052E725">
            <w:pPr>
              <w:spacing w:before="64" w:line="154" w:lineRule="exact"/>
              <w:ind w:left="1575"/>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5653" w:type="dxa"/>
            <w:gridSpan w:val="4"/>
            <w:vAlign w:val="top"/>
          </w:tcPr>
          <w:p w14:paraId="79A3D4A2">
            <w:pPr>
              <w:spacing w:before="109" w:line="157" w:lineRule="exact"/>
              <w:ind w:left="2329"/>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573263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05" w:type="dxa"/>
            <w:vMerge w:val="continue"/>
            <w:tcBorders>
              <w:top w:val="nil"/>
            </w:tcBorders>
            <w:vAlign w:val="top"/>
          </w:tcPr>
          <w:p w14:paraId="66302631">
            <w:pPr>
              <w:pStyle w:val="6"/>
            </w:pPr>
          </w:p>
        </w:tc>
        <w:tc>
          <w:tcPr>
            <w:tcW w:w="1458" w:type="dxa"/>
            <w:vAlign w:val="top"/>
          </w:tcPr>
          <w:p w14:paraId="63EDD80E">
            <w:pPr>
              <w:spacing w:before="110" w:line="154" w:lineRule="exact"/>
              <w:ind w:left="55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393" w:type="dxa"/>
            <w:vAlign w:val="top"/>
          </w:tcPr>
          <w:p w14:paraId="489D78EF">
            <w:pPr>
              <w:spacing w:before="108" w:line="158" w:lineRule="exact"/>
              <w:ind w:left="197"/>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1382" w:type="dxa"/>
            <w:vAlign w:val="top"/>
          </w:tcPr>
          <w:p w14:paraId="74882DB0">
            <w:pPr>
              <w:spacing w:before="109" w:line="157" w:lineRule="exact"/>
              <w:ind w:left="111"/>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政府性基金预算</w:t>
            </w:r>
          </w:p>
        </w:tc>
        <w:tc>
          <w:tcPr>
            <w:tcW w:w="1420" w:type="dxa"/>
            <w:vAlign w:val="top"/>
          </w:tcPr>
          <w:p w14:paraId="4ED6EA6F">
            <w:pPr>
              <w:spacing w:before="108" w:line="158" w:lineRule="exact"/>
              <w:ind w:left="6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国有资本经营预算</w:t>
            </w:r>
          </w:p>
        </w:tc>
      </w:tr>
      <w:tr w14:paraId="14C3C3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05" w:type="dxa"/>
            <w:vAlign w:val="top"/>
          </w:tcPr>
          <w:p w14:paraId="1AD09C2D">
            <w:pPr>
              <w:spacing w:before="112" w:line="230" w:lineRule="auto"/>
              <w:ind w:left="1104"/>
              <w:rPr>
                <w:rFonts w:ascii="宋体" w:hAnsi="宋体" w:eastAsia="宋体" w:cs="宋体"/>
                <w:sz w:val="15"/>
                <w:szCs w:val="15"/>
              </w:rPr>
            </w:pPr>
            <w:r>
              <w:rPr>
                <w:rFonts w:ascii="宋体" w:hAnsi="宋体" w:eastAsia="宋体" w:cs="宋体"/>
                <w:color w:val="212529"/>
                <w:spacing w:val="6"/>
                <w:sz w:val="15"/>
                <w:szCs w:val="15"/>
              </w:rPr>
              <w:t>因公出国（境）</w:t>
            </w:r>
            <w:r>
              <w:rPr>
                <w:rFonts w:ascii="宋体" w:hAnsi="宋体" w:eastAsia="宋体" w:cs="宋体"/>
                <w:color w:val="212529"/>
                <w:spacing w:val="-44"/>
                <w:sz w:val="15"/>
                <w:szCs w:val="15"/>
              </w:rPr>
              <w:t xml:space="preserve"> </w:t>
            </w:r>
            <w:r>
              <w:rPr>
                <w:rFonts w:ascii="宋体" w:hAnsi="宋体" w:eastAsia="宋体" w:cs="宋体"/>
                <w:color w:val="212529"/>
                <w:spacing w:val="6"/>
                <w:sz w:val="15"/>
                <w:szCs w:val="15"/>
              </w:rPr>
              <w:t>费</w:t>
            </w:r>
          </w:p>
        </w:tc>
        <w:tc>
          <w:tcPr>
            <w:tcW w:w="1458" w:type="dxa"/>
            <w:vAlign w:val="top"/>
          </w:tcPr>
          <w:p w14:paraId="53AA7DD8">
            <w:pPr>
              <w:pStyle w:val="6"/>
            </w:pPr>
          </w:p>
        </w:tc>
        <w:tc>
          <w:tcPr>
            <w:tcW w:w="1393" w:type="dxa"/>
            <w:vAlign w:val="top"/>
          </w:tcPr>
          <w:p w14:paraId="1AAAE28A">
            <w:pPr>
              <w:pStyle w:val="6"/>
            </w:pPr>
          </w:p>
        </w:tc>
        <w:tc>
          <w:tcPr>
            <w:tcW w:w="1382" w:type="dxa"/>
            <w:vAlign w:val="top"/>
          </w:tcPr>
          <w:p w14:paraId="2D19FF87">
            <w:pPr>
              <w:pStyle w:val="6"/>
            </w:pPr>
          </w:p>
        </w:tc>
        <w:tc>
          <w:tcPr>
            <w:tcW w:w="1420" w:type="dxa"/>
            <w:vAlign w:val="top"/>
          </w:tcPr>
          <w:p w14:paraId="0BA2CD64">
            <w:pPr>
              <w:pStyle w:val="6"/>
            </w:pPr>
          </w:p>
        </w:tc>
      </w:tr>
      <w:tr w14:paraId="0BDF4A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05" w:type="dxa"/>
            <w:vAlign w:val="top"/>
          </w:tcPr>
          <w:p w14:paraId="73AC5054">
            <w:pPr>
              <w:spacing w:before="114" w:line="229" w:lineRule="auto"/>
              <w:ind w:left="1339"/>
              <w:rPr>
                <w:rFonts w:ascii="宋体" w:hAnsi="宋体" w:eastAsia="宋体" w:cs="宋体"/>
                <w:sz w:val="15"/>
                <w:szCs w:val="15"/>
              </w:rPr>
            </w:pPr>
            <w:r>
              <w:rPr>
                <w:rFonts w:ascii="宋体" w:hAnsi="宋体" w:eastAsia="宋体" w:cs="宋体"/>
                <w:color w:val="212529"/>
                <w:spacing w:val="9"/>
                <w:sz w:val="15"/>
                <w:szCs w:val="15"/>
              </w:rPr>
              <w:t>公务接待费</w:t>
            </w:r>
          </w:p>
        </w:tc>
        <w:tc>
          <w:tcPr>
            <w:tcW w:w="1458" w:type="dxa"/>
            <w:vAlign w:val="top"/>
          </w:tcPr>
          <w:p w14:paraId="0C10D062">
            <w:pPr>
              <w:pStyle w:val="6"/>
            </w:pPr>
          </w:p>
        </w:tc>
        <w:tc>
          <w:tcPr>
            <w:tcW w:w="1393" w:type="dxa"/>
            <w:vAlign w:val="top"/>
          </w:tcPr>
          <w:p w14:paraId="789688DD">
            <w:pPr>
              <w:pStyle w:val="6"/>
            </w:pPr>
          </w:p>
        </w:tc>
        <w:tc>
          <w:tcPr>
            <w:tcW w:w="1382" w:type="dxa"/>
            <w:vAlign w:val="top"/>
          </w:tcPr>
          <w:p w14:paraId="1B3816FF">
            <w:pPr>
              <w:pStyle w:val="6"/>
            </w:pPr>
          </w:p>
        </w:tc>
        <w:tc>
          <w:tcPr>
            <w:tcW w:w="1420" w:type="dxa"/>
            <w:vAlign w:val="top"/>
          </w:tcPr>
          <w:p w14:paraId="379C6939">
            <w:pPr>
              <w:pStyle w:val="6"/>
            </w:pPr>
          </w:p>
        </w:tc>
      </w:tr>
      <w:tr w14:paraId="54CE3B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05" w:type="dxa"/>
            <w:vAlign w:val="top"/>
          </w:tcPr>
          <w:p w14:paraId="7DC724E2">
            <w:pPr>
              <w:spacing w:before="115" w:line="229" w:lineRule="auto"/>
              <w:ind w:left="934"/>
              <w:rPr>
                <w:rFonts w:ascii="宋体" w:hAnsi="宋体" w:eastAsia="宋体" w:cs="宋体"/>
                <w:sz w:val="15"/>
                <w:szCs w:val="15"/>
              </w:rPr>
            </w:pPr>
            <w:r>
              <w:rPr>
                <w:rFonts w:ascii="宋体" w:hAnsi="宋体" w:eastAsia="宋体" w:cs="宋体"/>
                <w:color w:val="212529"/>
                <w:spacing w:val="10"/>
                <w:sz w:val="15"/>
                <w:szCs w:val="15"/>
              </w:rPr>
              <w:t>公务用车购置及运行费</w:t>
            </w:r>
          </w:p>
        </w:tc>
        <w:tc>
          <w:tcPr>
            <w:tcW w:w="1458" w:type="dxa"/>
            <w:vAlign w:val="top"/>
          </w:tcPr>
          <w:p w14:paraId="0340E581">
            <w:pPr>
              <w:spacing w:before="139" w:line="191" w:lineRule="auto"/>
              <w:ind w:right="19"/>
              <w:jc w:val="right"/>
              <w:rPr>
                <w:rFonts w:ascii="宋体" w:hAnsi="宋体" w:eastAsia="宋体" w:cs="宋体"/>
                <w:sz w:val="15"/>
                <w:szCs w:val="15"/>
              </w:rPr>
            </w:pPr>
            <w:r>
              <w:rPr>
                <w:rFonts w:ascii="宋体" w:hAnsi="宋体" w:eastAsia="宋体" w:cs="宋体"/>
                <w:color w:val="212529"/>
                <w:spacing w:val="1"/>
                <w:sz w:val="15"/>
                <w:szCs w:val="15"/>
              </w:rPr>
              <w:t>1.00</w:t>
            </w:r>
          </w:p>
        </w:tc>
        <w:tc>
          <w:tcPr>
            <w:tcW w:w="1393" w:type="dxa"/>
            <w:vAlign w:val="top"/>
          </w:tcPr>
          <w:p w14:paraId="47834973">
            <w:pPr>
              <w:spacing w:before="139" w:line="191" w:lineRule="auto"/>
              <w:ind w:left="1050"/>
              <w:rPr>
                <w:rFonts w:ascii="宋体" w:hAnsi="宋体" w:eastAsia="宋体" w:cs="宋体"/>
                <w:sz w:val="15"/>
                <w:szCs w:val="15"/>
              </w:rPr>
            </w:pPr>
            <w:r>
              <w:rPr>
                <w:rFonts w:ascii="宋体" w:hAnsi="宋体" w:eastAsia="宋体" w:cs="宋体"/>
                <w:color w:val="212529"/>
                <w:spacing w:val="1"/>
                <w:sz w:val="15"/>
                <w:szCs w:val="15"/>
              </w:rPr>
              <w:t>1.00</w:t>
            </w:r>
          </w:p>
        </w:tc>
        <w:tc>
          <w:tcPr>
            <w:tcW w:w="1382" w:type="dxa"/>
            <w:vAlign w:val="top"/>
          </w:tcPr>
          <w:p w14:paraId="515CD084">
            <w:pPr>
              <w:pStyle w:val="6"/>
            </w:pPr>
          </w:p>
        </w:tc>
        <w:tc>
          <w:tcPr>
            <w:tcW w:w="1420" w:type="dxa"/>
            <w:vAlign w:val="top"/>
          </w:tcPr>
          <w:p w14:paraId="1376DA9B">
            <w:pPr>
              <w:pStyle w:val="6"/>
            </w:pPr>
          </w:p>
        </w:tc>
      </w:tr>
      <w:tr w14:paraId="24F9DC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05" w:type="dxa"/>
            <w:vAlign w:val="top"/>
          </w:tcPr>
          <w:p w14:paraId="7256DE1B">
            <w:pPr>
              <w:spacing w:before="116" w:line="227" w:lineRule="auto"/>
              <w:ind w:left="1131"/>
              <w:rPr>
                <w:rFonts w:ascii="宋体" w:hAnsi="宋体" w:eastAsia="宋体" w:cs="宋体"/>
                <w:sz w:val="15"/>
                <w:szCs w:val="15"/>
              </w:rPr>
            </w:pPr>
            <w:r>
              <w:rPr>
                <w:rFonts w:ascii="宋体" w:hAnsi="宋体" w:eastAsia="宋体" w:cs="宋体"/>
                <w:color w:val="212529"/>
                <w:spacing w:val="11"/>
                <w:sz w:val="15"/>
                <w:szCs w:val="15"/>
              </w:rPr>
              <w:t>①公务用车购置费</w:t>
            </w:r>
          </w:p>
        </w:tc>
        <w:tc>
          <w:tcPr>
            <w:tcW w:w="1458" w:type="dxa"/>
            <w:vAlign w:val="top"/>
          </w:tcPr>
          <w:p w14:paraId="44765169">
            <w:pPr>
              <w:pStyle w:val="6"/>
            </w:pPr>
          </w:p>
        </w:tc>
        <w:tc>
          <w:tcPr>
            <w:tcW w:w="1393" w:type="dxa"/>
            <w:vAlign w:val="top"/>
          </w:tcPr>
          <w:p w14:paraId="3C84F9FC">
            <w:pPr>
              <w:pStyle w:val="6"/>
            </w:pPr>
          </w:p>
        </w:tc>
        <w:tc>
          <w:tcPr>
            <w:tcW w:w="1382" w:type="dxa"/>
            <w:vAlign w:val="top"/>
          </w:tcPr>
          <w:p w14:paraId="27F78DEB">
            <w:pPr>
              <w:pStyle w:val="6"/>
            </w:pPr>
          </w:p>
        </w:tc>
        <w:tc>
          <w:tcPr>
            <w:tcW w:w="1420" w:type="dxa"/>
            <w:vAlign w:val="top"/>
          </w:tcPr>
          <w:p w14:paraId="66120252">
            <w:pPr>
              <w:pStyle w:val="6"/>
            </w:pPr>
          </w:p>
        </w:tc>
      </w:tr>
      <w:tr w14:paraId="054D62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505" w:type="dxa"/>
            <w:vAlign w:val="top"/>
          </w:tcPr>
          <w:p w14:paraId="4D05D4E4">
            <w:pPr>
              <w:spacing w:before="117" w:line="227" w:lineRule="auto"/>
              <w:ind w:left="968"/>
              <w:rPr>
                <w:rFonts w:ascii="宋体" w:hAnsi="宋体" w:eastAsia="宋体" w:cs="宋体"/>
                <w:sz w:val="15"/>
                <w:szCs w:val="15"/>
              </w:rPr>
            </w:pPr>
            <w:r>
              <w:rPr>
                <w:rFonts w:ascii="宋体" w:hAnsi="宋体" w:eastAsia="宋体" w:cs="宋体"/>
                <w:color w:val="212529"/>
                <w:spacing w:val="11"/>
                <w:sz w:val="15"/>
                <w:szCs w:val="15"/>
              </w:rPr>
              <w:t>②公务用车运行维护费</w:t>
            </w:r>
          </w:p>
        </w:tc>
        <w:tc>
          <w:tcPr>
            <w:tcW w:w="1458" w:type="dxa"/>
            <w:vAlign w:val="top"/>
          </w:tcPr>
          <w:p w14:paraId="45FD5D0B">
            <w:pPr>
              <w:spacing w:before="141" w:line="191" w:lineRule="auto"/>
              <w:ind w:right="19"/>
              <w:jc w:val="right"/>
              <w:rPr>
                <w:rFonts w:ascii="宋体" w:hAnsi="宋体" w:eastAsia="宋体" w:cs="宋体"/>
                <w:sz w:val="15"/>
                <w:szCs w:val="15"/>
              </w:rPr>
            </w:pPr>
            <w:r>
              <w:rPr>
                <w:rFonts w:ascii="宋体" w:hAnsi="宋体" w:eastAsia="宋体" w:cs="宋体"/>
                <w:color w:val="212529"/>
                <w:spacing w:val="1"/>
                <w:sz w:val="15"/>
                <w:szCs w:val="15"/>
              </w:rPr>
              <w:t>1.00</w:t>
            </w:r>
          </w:p>
        </w:tc>
        <w:tc>
          <w:tcPr>
            <w:tcW w:w="1393" w:type="dxa"/>
            <w:vAlign w:val="top"/>
          </w:tcPr>
          <w:p w14:paraId="12FD5950">
            <w:pPr>
              <w:spacing w:before="141" w:line="191" w:lineRule="auto"/>
              <w:ind w:left="1050"/>
              <w:rPr>
                <w:rFonts w:ascii="宋体" w:hAnsi="宋体" w:eastAsia="宋体" w:cs="宋体"/>
                <w:sz w:val="15"/>
                <w:szCs w:val="15"/>
              </w:rPr>
            </w:pPr>
            <w:r>
              <w:rPr>
                <w:rFonts w:ascii="宋体" w:hAnsi="宋体" w:eastAsia="宋体" w:cs="宋体"/>
                <w:color w:val="212529"/>
                <w:spacing w:val="1"/>
                <w:sz w:val="15"/>
                <w:szCs w:val="15"/>
              </w:rPr>
              <w:t>1.00</w:t>
            </w:r>
          </w:p>
        </w:tc>
        <w:tc>
          <w:tcPr>
            <w:tcW w:w="1382" w:type="dxa"/>
            <w:vAlign w:val="top"/>
          </w:tcPr>
          <w:p w14:paraId="26BBF804">
            <w:pPr>
              <w:pStyle w:val="6"/>
            </w:pPr>
          </w:p>
        </w:tc>
        <w:tc>
          <w:tcPr>
            <w:tcW w:w="1420" w:type="dxa"/>
            <w:vAlign w:val="top"/>
          </w:tcPr>
          <w:p w14:paraId="5F46DD39">
            <w:pPr>
              <w:pStyle w:val="6"/>
            </w:pPr>
          </w:p>
        </w:tc>
      </w:tr>
      <w:tr w14:paraId="0DF285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3505" w:type="dxa"/>
            <w:vAlign w:val="top"/>
          </w:tcPr>
          <w:p w14:paraId="1E663A2C">
            <w:pPr>
              <w:spacing w:before="116" w:line="154" w:lineRule="exact"/>
              <w:ind w:left="157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458" w:type="dxa"/>
            <w:vAlign w:val="top"/>
          </w:tcPr>
          <w:p w14:paraId="76CCBAB6">
            <w:pPr>
              <w:spacing w:before="141" w:line="191" w:lineRule="auto"/>
              <w:ind w:right="19"/>
              <w:jc w:val="right"/>
              <w:rPr>
                <w:rFonts w:ascii="宋体" w:hAnsi="宋体" w:eastAsia="宋体" w:cs="宋体"/>
                <w:sz w:val="15"/>
                <w:szCs w:val="15"/>
              </w:rPr>
            </w:pPr>
            <w:r>
              <w:rPr>
                <w:rFonts w:ascii="宋体" w:hAnsi="宋体" w:eastAsia="宋体" w:cs="宋体"/>
                <w:color w:val="212529"/>
                <w:spacing w:val="1"/>
                <w:sz w:val="15"/>
                <w:szCs w:val="15"/>
              </w:rPr>
              <w:t>1.00</w:t>
            </w:r>
          </w:p>
        </w:tc>
        <w:tc>
          <w:tcPr>
            <w:tcW w:w="1393" w:type="dxa"/>
            <w:vAlign w:val="top"/>
          </w:tcPr>
          <w:p w14:paraId="399FD824">
            <w:pPr>
              <w:spacing w:before="141" w:line="191" w:lineRule="auto"/>
              <w:ind w:left="1050"/>
              <w:rPr>
                <w:rFonts w:ascii="宋体" w:hAnsi="宋体" w:eastAsia="宋体" w:cs="宋体"/>
                <w:sz w:val="15"/>
                <w:szCs w:val="15"/>
              </w:rPr>
            </w:pPr>
            <w:r>
              <w:rPr>
                <w:rFonts w:ascii="宋体" w:hAnsi="宋体" w:eastAsia="宋体" w:cs="宋体"/>
                <w:color w:val="212529"/>
                <w:spacing w:val="1"/>
                <w:sz w:val="15"/>
                <w:szCs w:val="15"/>
              </w:rPr>
              <w:t>1.00</w:t>
            </w:r>
          </w:p>
        </w:tc>
        <w:tc>
          <w:tcPr>
            <w:tcW w:w="1382" w:type="dxa"/>
            <w:vAlign w:val="top"/>
          </w:tcPr>
          <w:p w14:paraId="7B83E56C">
            <w:pPr>
              <w:pStyle w:val="6"/>
            </w:pPr>
          </w:p>
        </w:tc>
        <w:tc>
          <w:tcPr>
            <w:tcW w:w="1420" w:type="dxa"/>
            <w:vAlign w:val="top"/>
          </w:tcPr>
          <w:p w14:paraId="66DF731D">
            <w:pPr>
              <w:pStyle w:val="6"/>
            </w:pPr>
          </w:p>
        </w:tc>
      </w:tr>
    </w:tbl>
    <w:p w14:paraId="32BD44AC">
      <w:pPr>
        <w:pStyle w:val="2"/>
      </w:pPr>
    </w:p>
    <w:p w14:paraId="201CFD96">
      <w:pPr>
        <w:sectPr>
          <w:headerReference r:id="rId29" w:type="default"/>
          <w:footerReference r:id="rId30" w:type="default"/>
          <w:pgSz w:w="11900" w:h="16840"/>
          <w:pgMar w:top="611" w:right="0" w:bottom="312" w:left="0" w:header="357" w:footer="153" w:gutter="0"/>
          <w:cols w:space="720" w:num="1"/>
        </w:sectPr>
      </w:pPr>
    </w:p>
    <w:p w14:paraId="2B10D4FB">
      <w:pPr>
        <w:spacing w:before="118"/>
      </w:pPr>
    </w:p>
    <w:p w14:paraId="57C28CB6">
      <w:pPr>
        <w:spacing w:before="118"/>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148"/>
        <w:gridCol w:w="1285"/>
        <w:gridCol w:w="1512"/>
        <w:gridCol w:w="1620"/>
        <w:gridCol w:w="1593"/>
      </w:tblGrid>
      <w:tr w14:paraId="0EE896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3148" w:type="dxa"/>
            <w:tcBorders>
              <w:top w:val="single" w:color="FFFFFF" w:sz="4" w:space="0"/>
              <w:left w:val="single" w:color="FFFFFF" w:sz="2" w:space="0"/>
              <w:bottom w:val="single" w:color="FFFFFF" w:sz="4" w:space="0"/>
              <w:right w:val="single" w:color="FFFFFF" w:sz="2" w:space="0"/>
            </w:tcBorders>
            <w:vAlign w:val="top"/>
          </w:tcPr>
          <w:p w14:paraId="46AA3F08">
            <w:pPr>
              <w:pStyle w:val="6"/>
            </w:pPr>
          </w:p>
        </w:tc>
        <w:tc>
          <w:tcPr>
            <w:tcW w:w="1285" w:type="dxa"/>
            <w:tcBorders>
              <w:top w:val="nil"/>
              <w:left w:val="single" w:color="FFFFFF" w:sz="2" w:space="0"/>
              <w:bottom w:val="single" w:color="FFFFFF" w:sz="4" w:space="0"/>
              <w:right w:val="single" w:color="FFFFFF" w:sz="2" w:space="0"/>
            </w:tcBorders>
            <w:vAlign w:val="top"/>
          </w:tcPr>
          <w:p w14:paraId="56039DDA">
            <w:pPr>
              <w:pStyle w:val="6"/>
            </w:pPr>
          </w:p>
        </w:tc>
        <w:tc>
          <w:tcPr>
            <w:tcW w:w="1512" w:type="dxa"/>
            <w:tcBorders>
              <w:top w:val="single" w:color="FFFFFF" w:sz="4" w:space="0"/>
              <w:left w:val="single" w:color="FFFFFF" w:sz="2" w:space="0"/>
              <w:bottom w:val="single" w:color="FFFFFF" w:sz="4" w:space="0"/>
              <w:right w:val="single" w:color="FFFFFF" w:sz="2" w:space="0"/>
            </w:tcBorders>
            <w:vAlign w:val="top"/>
          </w:tcPr>
          <w:p w14:paraId="6FF781D5">
            <w:pPr>
              <w:pStyle w:val="6"/>
            </w:pPr>
          </w:p>
        </w:tc>
        <w:tc>
          <w:tcPr>
            <w:tcW w:w="1620" w:type="dxa"/>
            <w:tcBorders>
              <w:top w:val="single" w:color="FFFFFF" w:sz="4" w:space="0"/>
              <w:left w:val="single" w:color="FFFFFF" w:sz="2" w:space="0"/>
              <w:bottom w:val="single" w:color="FFFFFF" w:sz="4" w:space="0"/>
              <w:right w:val="single" w:color="FFFFFF" w:sz="2" w:space="0"/>
            </w:tcBorders>
            <w:vAlign w:val="top"/>
          </w:tcPr>
          <w:p w14:paraId="6AE4A122">
            <w:pPr>
              <w:pStyle w:val="6"/>
            </w:pPr>
          </w:p>
        </w:tc>
        <w:tc>
          <w:tcPr>
            <w:tcW w:w="1593" w:type="dxa"/>
            <w:tcBorders>
              <w:top w:val="single" w:color="FFFFFF" w:sz="4" w:space="0"/>
              <w:left w:val="single" w:color="FFFFFF" w:sz="2" w:space="0"/>
              <w:bottom w:val="single" w:color="FFFFFF" w:sz="4" w:space="0"/>
              <w:right w:val="single" w:color="FFFFFF" w:sz="2" w:space="0"/>
            </w:tcBorders>
            <w:vAlign w:val="top"/>
          </w:tcPr>
          <w:p w14:paraId="0B05D244">
            <w:pPr>
              <w:spacing w:before="8" w:line="234" w:lineRule="auto"/>
              <w:ind w:left="790"/>
              <w:rPr>
                <w:rFonts w:ascii="宋体" w:hAnsi="宋体" w:eastAsia="宋体" w:cs="宋体"/>
                <w:sz w:val="12"/>
                <w:szCs w:val="12"/>
              </w:rPr>
            </w:pPr>
            <w:r>
              <w:rPr>
                <w:rFonts w:ascii="宋体" w:hAnsi="宋体" w:eastAsia="宋体" w:cs="宋体"/>
                <w:color w:val="212529"/>
                <w:spacing w:val="7"/>
                <w:sz w:val="12"/>
                <w:szCs w:val="12"/>
              </w:rPr>
              <w:t>预算公开表11</w:t>
            </w:r>
          </w:p>
        </w:tc>
      </w:tr>
      <w:tr w14:paraId="4B0C1A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1C7FD0E8">
            <w:pPr>
              <w:spacing w:before="80" w:line="201" w:lineRule="exact"/>
              <w:ind w:left="2758"/>
              <w:outlineLvl w:val="1"/>
              <w:rPr>
                <w:rFonts w:ascii="微软雅黑" w:hAnsi="微软雅黑" w:eastAsia="微软雅黑" w:cs="微软雅黑"/>
                <w:sz w:val="20"/>
                <w:szCs w:val="20"/>
              </w:rPr>
            </w:pPr>
            <w:bookmarkStart w:id="60" w:name="bookmark46"/>
            <w:bookmarkEnd w:id="60"/>
            <w:bookmarkStart w:id="61" w:name="bookmark16"/>
            <w:bookmarkEnd w:id="61"/>
            <w:r>
              <w:rPr>
                <w:rFonts w:ascii="微软雅黑" w:hAnsi="微软雅黑" w:eastAsia="微软雅黑" w:cs="微软雅黑"/>
                <w:color w:val="212529"/>
                <w:spacing w:val="-3"/>
                <w:position w:val="-1"/>
                <w:sz w:val="20"/>
                <w:szCs w:val="20"/>
              </w:rPr>
              <w:t>2025年财政拨款安排机关运行经费预算表</w:t>
            </w:r>
          </w:p>
        </w:tc>
      </w:tr>
      <w:tr w14:paraId="146057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148" w:type="dxa"/>
            <w:tcBorders>
              <w:top w:val="single" w:color="FFFFFF" w:sz="4" w:space="0"/>
              <w:left w:val="single" w:color="FFFFFF" w:sz="2" w:space="0"/>
              <w:right w:val="single" w:color="FFFFFF" w:sz="2" w:space="0"/>
            </w:tcBorders>
            <w:vAlign w:val="top"/>
          </w:tcPr>
          <w:p w14:paraId="6155E188">
            <w:pPr>
              <w:spacing w:before="124" w:line="234" w:lineRule="auto"/>
              <w:ind w:left="9"/>
              <w:rPr>
                <w:rFonts w:ascii="宋体" w:hAnsi="宋体" w:eastAsia="宋体" w:cs="宋体"/>
                <w:sz w:val="12"/>
                <w:szCs w:val="12"/>
              </w:rPr>
            </w:pPr>
            <w:r>
              <w:rPr>
                <w:rFonts w:ascii="宋体" w:hAnsi="宋体" w:eastAsia="宋体" w:cs="宋体"/>
                <w:color w:val="212529"/>
                <w:spacing w:val="9"/>
                <w:sz w:val="12"/>
                <w:szCs w:val="12"/>
              </w:rPr>
              <w:t>部门名称：长治高新区漳泽工业园事业服务中心</w:t>
            </w:r>
          </w:p>
        </w:tc>
        <w:tc>
          <w:tcPr>
            <w:tcW w:w="1285" w:type="dxa"/>
            <w:tcBorders>
              <w:top w:val="single" w:color="FFFFFF" w:sz="4" w:space="0"/>
              <w:left w:val="single" w:color="FFFFFF" w:sz="2" w:space="0"/>
              <w:right w:val="single" w:color="FFFFFF" w:sz="2" w:space="0"/>
            </w:tcBorders>
            <w:vAlign w:val="top"/>
          </w:tcPr>
          <w:p w14:paraId="6C72D3F1">
            <w:pPr>
              <w:pStyle w:val="6"/>
            </w:pPr>
          </w:p>
        </w:tc>
        <w:tc>
          <w:tcPr>
            <w:tcW w:w="1512" w:type="dxa"/>
            <w:tcBorders>
              <w:top w:val="single" w:color="FFFFFF" w:sz="4" w:space="0"/>
              <w:left w:val="single" w:color="FFFFFF" w:sz="2" w:space="0"/>
              <w:right w:val="single" w:color="FFFFFF" w:sz="2" w:space="0"/>
            </w:tcBorders>
            <w:vAlign w:val="top"/>
          </w:tcPr>
          <w:p w14:paraId="4DC11D74">
            <w:pPr>
              <w:pStyle w:val="6"/>
            </w:pPr>
          </w:p>
        </w:tc>
        <w:tc>
          <w:tcPr>
            <w:tcW w:w="1620" w:type="dxa"/>
            <w:tcBorders>
              <w:top w:val="single" w:color="FFFFFF" w:sz="4" w:space="0"/>
              <w:left w:val="single" w:color="FFFFFF" w:sz="2" w:space="0"/>
              <w:right w:val="single" w:color="FFFFFF" w:sz="2" w:space="0"/>
            </w:tcBorders>
            <w:vAlign w:val="top"/>
          </w:tcPr>
          <w:p w14:paraId="24027918">
            <w:pPr>
              <w:pStyle w:val="6"/>
            </w:pPr>
          </w:p>
        </w:tc>
        <w:tc>
          <w:tcPr>
            <w:tcW w:w="1593" w:type="dxa"/>
            <w:tcBorders>
              <w:top w:val="single" w:color="FFFFFF" w:sz="4" w:space="0"/>
              <w:left w:val="single" w:color="FFFFFF" w:sz="2" w:space="0"/>
              <w:right w:val="single" w:color="FFFFFF" w:sz="2" w:space="0"/>
            </w:tcBorders>
            <w:vAlign w:val="top"/>
          </w:tcPr>
          <w:p w14:paraId="544FA0EB">
            <w:pPr>
              <w:spacing w:before="125" w:line="234" w:lineRule="auto"/>
              <w:ind w:left="985"/>
              <w:rPr>
                <w:rFonts w:ascii="宋体" w:hAnsi="宋体" w:eastAsia="宋体" w:cs="宋体"/>
                <w:sz w:val="12"/>
                <w:szCs w:val="12"/>
              </w:rPr>
            </w:pPr>
            <w:r>
              <w:rPr>
                <w:rFonts w:ascii="宋体" w:hAnsi="宋体" w:eastAsia="宋体" w:cs="宋体"/>
                <w:color w:val="212529"/>
                <w:spacing w:val="7"/>
                <w:sz w:val="12"/>
                <w:szCs w:val="12"/>
              </w:rPr>
              <w:t>单位:万元</w:t>
            </w:r>
          </w:p>
        </w:tc>
      </w:tr>
      <w:tr w14:paraId="4C1EC8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148" w:type="dxa"/>
            <w:vMerge w:val="restart"/>
            <w:tcBorders>
              <w:bottom w:val="nil"/>
            </w:tcBorders>
            <w:vAlign w:val="top"/>
          </w:tcPr>
          <w:p w14:paraId="167B5DC9">
            <w:pPr>
              <w:spacing w:before="303" w:line="158" w:lineRule="exact"/>
              <w:ind w:left="1236"/>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单位名称</w:t>
            </w:r>
          </w:p>
        </w:tc>
        <w:tc>
          <w:tcPr>
            <w:tcW w:w="6010" w:type="dxa"/>
            <w:gridSpan w:val="4"/>
            <w:vAlign w:val="top"/>
          </w:tcPr>
          <w:p w14:paraId="0A8ECE65">
            <w:pPr>
              <w:spacing w:before="110" w:line="157" w:lineRule="exact"/>
              <w:ind w:left="2591"/>
              <w:rPr>
                <w:rFonts w:ascii="微软雅黑" w:hAnsi="微软雅黑" w:eastAsia="微软雅黑" w:cs="微软雅黑"/>
                <w:sz w:val="15"/>
                <w:szCs w:val="15"/>
              </w:rPr>
            </w:pPr>
            <w:r>
              <w:rPr>
                <w:rFonts w:ascii="微软雅黑" w:hAnsi="微软雅黑" w:eastAsia="微软雅黑" w:cs="微软雅黑"/>
                <w:color w:val="212529"/>
                <w:sz w:val="15"/>
                <w:szCs w:val="15"/>
              </w:rPr>
              <w:t>2025预算数</w:t>
            </w:r>
          </w:p>
        </w:tc>
      </w:tr>
      <w:tr w14:paraId="297DE1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148" w:type="dxa"/>
            <w:vMerge w:val="continue"/>
            <w:tcBorders>
              <w:top w:val="nil"/>
            </w:tcBorders>
            <w:vAlign w:val="top"/>
          </w:tcPr>
          <w:p w14:paraId="604BDF4D">
            <w:pPr>
              <w:pStyle w:val="6"/>
            </w:pPr>
          </w:p>
        </w:tc>
        <w:tc>
          <w:tcPr>
            <w:tcW w:w="1285" w:type="dxa"/>
            <w:vAlign w:val="top"/>
          </w:tcPr>
          <w:p w14:paraId="47A5B9DA">
            <w:pPr>
              <w:spacing w:before="112" w:line="154" w:lineRule="exact"/>
              <w:ind w:left="46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512" w:type="dxa"/>
            <w:vAlign w:val="top"/>
          </w:tcPr>
          <w:p w14:paraId="13AC6074">
            <w:pPr>
              <w:spacing w:before="110" w:line="158" w:lineRule="exact"/>
              <w:ind w:left="258"/>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1620" w:type="dxa"/>
            <w:vAlign w:val="top"/>
          </w:tcPr>
          <w:p w14:paraId="19862A8C">
            <w:pPr>
              <w:spacing w:before="111" w:line="157" w:lineRule="exact"/>
              <w:ind w:left="234"/>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政府性基金预算</w:t>
            </w:r>
          </w:p>
        </w:tc>
        <w:tc>
          <w:tcPr>
            <w:tcW w:w="1593" w:type="dxa"/>
            <w:vAlign w:val="top"/>
          </w:tcPr>
          <w:p w14:paraId="447FE4D7">
            <w:pPr>
              <w:spacing w:before="110" w:line="158" w:lineRule="exact"/>
              <w:ind w:left="153"/>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国有资本经营预算</w:t>
            </w:r>
          </w:p>
        </w:tc>
      </w:tr>
      <w:tr w14:paraId="4E0AD5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148" w:type="dxa"/>
            <w:vAlign w:val="top"/>
          </w:tcPr>
          <w:p w14:paraId="1E4C567C">
            <w:pPr>
              <w:spacing w:before="113" w:line="156" w:lineRule="exact"/>
              <w:ind w:left="123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部门合计</w:t>
            </w:r>
          </w:p>
        </w:tc>
        <w:tc>
          <w:tcPr>
            <w:tcW w:w="1285" w:type="dxa"/>
            <w:vAlign w:val="top"/>
          </w:tcPr>
          <w:p w14:paraId="3B7EDA17">
            <w:pPr>
              <w:pStyle w:val="6"/>
            </w:pPr>
          </w:p>
        </w:tc>
        <w:tc>
          <w:tcPr>
            <w:tcW w:w="1512" w:type="dxa"/>
            <w:vAlign w:val="top"/>
          </w:tcPr>
          <w:p w14:paraId="78D34072">
            <w:pPr>
              <w:pStyle w:val="6"/>
            </w:pPr>
          </w:p>
        </w:tc>
        <w:tc>
          <w:tcPr>
            <w:tcW w:w="1620" w:type="dxa"/>
            <w:vAlign w:val="top"/>
          </w:tcPr>
          <w:p w14:paraId="09769C3D">
            <w:pPr>
              <w:pStyle w:val="6"/>
            </w:pPr>
          </w:p>
        </w:tc>
        <w:tc>
          <w:tcPr>
            <w:tcW w:w="1593" w:type="dxa"/>
            <w:vAlign w:val="top"/>
          </w:tcPr>
          <w:p w14:paraId="50B658AD">
            <w:pPr>
              <w:pStyle w:val="6"/>
            </w:pPr>
          </w:p>
        </w:tc>
      </w:tr>
      <w:tr w14:paraId="3D4BD1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148" w:type="dxa"/>
            <w:vAlign w:val="top"/>
          </w:tcPr>
          <w:p w14:paraId="137900D7">
            <w:pPr>
              <w:pStyle w:val="6"/>
            </w:pPr>
          </w:p>
        </w:tc>
        <w:tc>
          <w:tcPr>
            <w:tcW w:w="1285" w:type="dxa"/>
            <w:vAlign w:val="top"/>
          </w:tcPr>
          <w:p w14:paraId="6DE65591">
            <w:pPr>
              <w:pStyle w:val="6"/>
            </w:pPr>
          </w:p>
        </w:tc>
        <w:tc>
          <w:tcPr>
            <w:tcW w:w="1512" w:type="dxa"/>
            <w:vAlign w:val="top"/>
          </w:tcPr>
          <w:p w14:paraId="7D4ED5E8">
            <w:pPr>
              <w:pStyle w:val="6"/>
            </w:pPr>
          </w:p>
        </w:tc>
        <w:tc>
          <w:tcPr>
            <w:tcW w:w="1620" w:type="dxa"/>
            <w:vAlign w:val="top"/>
          </w:tcPr>
          <w:p w14:paraId="666A0E4A">
            <w:pPr>
              <w:pStyle w:val="6"/>
            </w:pPr>
          </w:p>
        </w:tc>
        <w:tc>
          <w:tcPr>
            <w:tcW w:w="1593" w:type="dxa"/>
            <w:vAlign w:val="top"/>
          </w:tcPr>
          <w:p w14:paraId="7F386120">
            <w:pPr>
              <w:pStyle w:val="6"/>
            </w:pPr>
          </w:p>
        </w:tc>
      </w:tr>
      <w:tr w14:paraId="626568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3148" w:type="dxa"/>
            <w:tcBorders>
              <w:left w:val="single" w:color="FFFFFF" w:sz="2" w:space="0"/>
              <w:bottom w:val="single" w:color="FFFFFF" w:sz="4" w:space="0"/>
              <w:right w:val="single" w:color="FFFFFF" w:sz="2" w:space="0"/>
            </w:tcBorders>
            <w:vAlign w:val="top"/>
          </w:tcPr>
          <w:p w14:paraId="4C989D78">
            <w:pPr>
              <w:spacing w:before="116" w:line="233" w:lineRule="auto"/>
              <w:ind w:left="18"/>
              <w:rPr>
                <w:rFonts w:ascii="仿宋" w:hAnsi="仿宋" w:eastAsia="仿宋" w:cs="仿宋"/>
                <w:sz w:val="15"/>
                <w:szCs w:val="15"/>
              </w:rPr>
            </w:pPr>
            <w:r>
              <w:rPr>
                <w:rFonts w:ascii="仿宋" w:hAnsi="仿宋" w:eastAsia="仿宋" w:cs="仿宋"/>
                <w:color w:val="212529"/>
                <w:spacing w:val="6"/>
                <w:sz w:val="15"/>
                <w:szCs w:val="15"/>
              </w:rPr>
              <w:t>注：本表无数据</w:t>
            </w:r>
          </w:p>
        </w:tc>
        <w:tc>
          <w:tcPr>
            <w:tcW w:w="1285" w:type="dxa"/>
            <w:tcBorders>
              <w:left w:val="single" w:color="FFFFFF" w:sz="2" w:space="0"/>
              <w:bottom w:val="single" w:color="FFFFFF" w:sz="4" w:space="0"/>
              <w:right w:val="single" w:color="FFFFFF" w:sz="2" w:space="0"/>
            </w:tcBorders>
            <w:vAlign w:val="top"/>
          </w:tcPr>
          <w:p w14:paraId="1A92F603">
            <w:pPr>
              <w:pStyle w:val="6"/>
            </w:pPr>
          </w:p>
        </w:tc>
        <w:tc>
          <w:tcPr>
            <w:tcW w:w="1512" w:type="dxa"/>
            <w:tcBorders>
              <w:left w:val="single" w:color="FFFFFF" w:sz="2" w:space="0"/>
              <w:bottom w:val="single" w:color="FFFFFF" w:sz="4" w:space="0"/>
              <w:right w:val="single" w:color="FFFFFF" w:sz="2" w:space="0"/>
            </w:tcBorders>
            <w:vAlign w:val="top"/>
          </w:tcPr>
          <w:p w14:paraId="0C085F8E">
            <w:pPr>
              <w:pStyle w:val="6"/>
            </w:pPr>
          </w:p>
        </w:tc>
        <w:tc>
          <w:tcPr>
            <w:tcW w:w="1620" w:type="dxa"/>
            <w:tcBorders>
              <w:left w:val="single" w:color="FFFFFF" w:sz="2" w:space="0"/>
              <w:bottom w:val="single" w:color="FFFFFF" w:sz="4" w:space="0"/>
              <w:right w:val="single" w:color="FFFFFF" w:sz="2" w:space="0"/>
            </w:tcBorders>
            <w:vAlign w:val="top"/>
          </w:tcPr>
          <w:p w14:paraId="0837528A">
            <w:pPr>
              <w:pStyle w:val="6"/>
            </w:pPr>
          </w:p>
        </w:tc>
        <w:tc>
          <w:tcPr>
            <w:tcW w:w="1593" w:type="dxa"/>
            <w:tcBorders>
              <w:left w:val="single" w:color="FFFFFF" w:sz="2" w:space="0"/>
              <w:bottom w:val="single" w:color="FFFFFF" w:sz="4" w:space="0"/>
              <w:right w:val="single" w:color="FFFFFF" w:sz="2" w:space="0"/>
            </w:tcBorders>
            <w:vAlign w:val="top"/>
          </w:tcPr>
          <w:p w14:paraId="3695E915">
            <w:pPr>
              <w:pStyle w:val="6"/>
            </w:pPr>
          </w:p>
        </w:tc>
      </w:tr>
    </w:tbl>
    <w:p w14:paraId="1D733797">
      <w:pPr>
        <w:pStyle w:val="2"/>
      </w:pPr>
    </w:p>
    <w:p w14:paraId="4F49E528">
      <w:pPr>
        <w:sectPr>
          <w:headerReference r:id="rId31" w:type="default"/>
          <w:footerReference r:id="rId32" w:type="default"/>
          <w:pgSz w:w="11900" w:h="16840"/>
          <w:pgMar w:top="611" w:right="0" w:bottom="312" w:left="0" w:header="357" w:footer="153" w:gutter="0"/>
          <w:cols w:space="720" w:num="1"/>
        </w:sectPr>
      </w:pPr>
    </w:p>
    <w:p w14:paraId="6843EE42">
      <w:pPr>
        <w:spacing w:before="118"/>
      </w:pPr>
    </w:p>
    <w:p w14:paraId="03DAA422">
      <w:pPr>
        <w:spacing w:before="118"/>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770"/>
        <w:gridCol w:w="1155"/>
        <w:gridCol w:w="1156"/>
        <w:gridCol w:w="918"/>
        <w:gridCol w:w="1242"/>
        <w:gridCol w:w="1069"/>
        <w:gridCol w:w="848"/>
      </w:tblGrid>
      <w:tr w14:paraId="124EBE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2770" w:type="dxa"/>
            <w:tcBorders>
              <w:top w:val="single" w:color="FFFFFF" w:sz="4" w:space="0"/>
              <w:left w:val="single" w:color="FFFFFF" w:sz="2" w:space="0"/>
              <w:bottom w:val="single" w:color="FFFFFF" w:sz="4" w:space="0"/>
              <w:right w:val="single" w:color="FFFFFF" w:sz="2" w:space="0"/>
            </w:tcBorders>
            <w:vAlign w:val="top"/>
          </w:tcPr>
          <w:p w14:paraId="12CB3A85">
            <w:pPr>
              <w:pStyle w:val="6"/>
            </w:pPr>
          </w:p>
        </w:tc>
        <w:tc>
          <w:tcPr>
            <w:tcW w:w="1155" w:type="dxa"/>
            <w:tcBorders>
              <w:top w:val="single" w:color="FFFFFF" w:sz="4" w:space="0"/>
              <w:left w:val="single" w:color="FFFFFF" w:sz="2" w:space="0"/>
              <w:bottom w:val="single" w:color="FFFFFF" w:sz="4" w:space="0"/>
              <w:right w:val="single" w:color="FFFFFF" w:sz="2" w:space="0"/>
            </w:tcBorders>
            <w:vAlign w:val="top"/>
          </w:tcPr>
          <w:p w14:paraId="2B9D753A">
            <w:pPr>
              <w:pStyle w:val="6"/>
            </w:pPr>
          </w:p>
        </w:tc>
        <w:tc>
          <w:tcPr>
            <w:tcW w:w="1156" w:type="dxa"/>
            <w:tcBorders>
              <w:top w:val="single" w:color="FFFFFF" w:sz="4" w:space="0"/>
              <w:left w:val="single" w:color="FFFFFF" w:sz="2" w:space="0"/>
              <w:bottom w:val="single" w:color="FFFFFF" w:sz="4" w:space="0"/>
              <w:right w:val="single" w:color="FFFFFF" w:sz="2" w:space="0"/>
            </w:tcBorders>
            <w:vAlign w:val="top"/>
          </w:tcPr>
          <w:p w14:paraId="2CD2D3F6">
            <w:pPr>
              <w:pStyle w:val="6"/>
            </w:pPr>
          </w:p>
        </w:tc>
        <w:tc>
          <w:tcPr>
            <w:tcW w:w="918" w:type="dxa"/>
            <w:tcBorders>
              <w:top w:val="single" w:color="FFFFFF" w:sz="4" w:space="0"/>
              <w:left w:val="single" w:color="FFFFFF" w:sz="2" w:space="0"/>
              <w:bottom w:val="single" w:color="FFFFFF" w:sz="4" w:space="0"/>
              <w:right w:val="single" w:color="FFFFFF" w:sz="2" w:space="0"/>
            </w:tcBorders>
            <w:vAlign w:val="top"/>
          </w:tcPr>
          <w:p w14:paraId="1E97BA70">
            <w:pPr>
              <w:pStyle w:val="6"/>
            </w:pPr>
          </w:p>
        </w:tc>
        <w:tc>
          <w:tcPr>
            <w:tcW w:w="1242" w:type="dxa"/>
            <w:tcBorders>
              <w:top w:val="single" w:color="FFFFFF" w:sz="4" w:space="0"/>
              <w:left w:val="single" w:color="FFFFFF" w:sz="2" w:space="0"/>
              <w:bottom w:val="single" w:color="FFFFFF" w:sz="4" w:space="0"/>
              <w:right w:val="single" w:color="FFFFFF" w:sz="2" w:space="0"/>
            </w:tcBorders>
            <w:vAlign w:val="top"/>
          </w:tcPr>
          <w:p w14:paraId="6B3385C9">
            <w:pPr>
              <w:pStyle w:val="6"/>
            </w:pPr>
          </w:p>
        </w:tc>
        <w:tc>
          <w:tcPr>
            <w:tcW w:w="1917" w:type="dxa"/>
            <w:gridSpan w:val="2"/>
            <w:tcBorders>
              <w:top w:val="single" w:color="FFFFFF" w:sz="4" w:space="0"/>
              <w:left w:val="single" w:color="FFFFFF" w:sz="2" w:space="0"/>
              <w:bottom w:val="single" w:color="FFFFFF" w:sz="4" w:space="0"/>
              <w:right w:val="single" w:color="FFFFFF" w:sz="2" w:space="0"/>
            </w:tcBorders>
            <w:vAlign w:val="top"/>
          </w:tcPr>
          <w:p w14:paraId="2290F331">
            <w:pPr>
              <w:spacing w:before="127" w:line="234" w:lineRule="auto"/>
              <w:ind w:left="1114"/>
              <w:rPr>
                <w:rFonts w:ascii="宋体" w:hAnsi="宋体" w:eastAsia="宋体" w:cs="宋体"/>
                <w:sz w:val="12"/>
                <w:szCs w:val="12"/>
              </w:rPr>
            </w:pPr>
            <w:r>
              <w:rPr>
                <w:rFonts w:ascii="宋体" w:hAnsi="宋体" w:eastAsia="宋体" w:cs="宋体"/>
                <w:color w:val="212529"/>
                <w:spacing w:val="7"/>
                <w:sz w:val="12"/>
                <w:szCs w:val="12"/>
              </w:rPr>
              <w:t>预算公开表12</w:t>
            </w:r>
          </w:p>
        </w:tc>
      </w:tr>
      <w:tr w14:paraId="7FCA81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9158" w:type="dxa"/>
            <w:gridSpan w:val="7"/>
            <w:tcBorders>
              <w:top w:val="single" w:color="FFFFFF" w:sz="4" w:space="0"/>
              <w:left w:val="single" w:color="FFFFFF" w:sz="4" w:space="0"/>
              <w:bottom w:val="single" w:color="FFFFFF" w:sz="4" w:space="0"/>
              <w:right w:val="single" w:color="FFFFFF" w:sz="4" w:space="0"/>
            </w:tcBorders>
            <w:vAlign w:val="top"/>
          </w:tcPr>
          <w:p w14:paraId="5A3110D1">
            <w:pPr>
              <w:spacing w:before="79" w:line="201" w:lineRule="exact"/>
              <w:ind w:left="2959"/>
              <w:outlineLvl w:val="1"/>
              <w:rPr>
                <w:rFonts w:ascii="微软雅黑" w:hAnsi="微软雅黑" w:eastAsia="微软雅黑" w:cs="微软雅黑"/>
                <w:sz w:val="20"/>
                <w:szCs w:val="20"/>
              </w:rPr>
            </w:pPr>
            <w:bookmarkStart w:id="62" w:name="bookmark47"/>
            <w:bookmarkEnd w:id="62"/>
            <w:bookmarkStart w:id="63" w:name="bookmark17"/>
            <w:bookmarkEnd w:id="63"/>
            <w:r>
              <w:rPr>
                <w:rFonts w:ascii="微软雅黑" w:hAnsi="微软雅黑" w:eastAsia="微软雅黑" w:cs="微软雅黑"/>
                <w:color w:val="212529"/>
                <w:spacing w:val="-1"/>
                <w:position w:val="-1"/>
                <w:sz w:val="20"/>
                <w:szCs w:val="20"/>
              </w:rPr>
              <w:t>2025年项目支出预算表</w:t>
            </w:r>
            <w:r>
              <w:rPr>
                <w:rFonts w:ascii="微软雅黑" w:hAnsi="微软雅黑" w:eastAsia="微软雅黑" w:cs="微软雅黑"/>
                <w:color w:val="212529"/>
                <w:spacing w:val="66"/>
                <w:position w:val="-1"/>
                <w:sz w:val="20"/>
                <w:szCs w:val="20"/>
              </w:rPr>
              <w:t xml:space="preserve"> </w:t>
            </w:r>
            <w:r>
              <w:rPr>
                <w:rFonts w:ascii="微软雅黑" w:hAnsi="微软雅黑" w:eastAsia="微软雅黑" w:cs="微软雅黑"/>
                <w:color w:val="212529"/>
                <w:spacing w:val="-1"/>
                <w:position w:val="-1"/>
                <w:sz w:val="20"/>
                <w:szCs w:val="20"/>
              </w:rPr>
              <w:t>(本年预算)</w:t>
            </w:r>
          </w:p>
        </w:tc>
      </w:tr>
      <w:tr w14:paraId="1D04B2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7241" w:type="dxa"/>
            <w:gridSpan w:val="5"/>
            <w:tcBorders>
              <w:top w:val="single" w:color="FFFFFF" w:sz="4" w:space="0"/>
              <w:left w:val="single" w:color="FFFFFF" w:sz="2" w:space="0"/>
              <w:right w:val="single" w:color="FFFFFF" w:sz="2" w:space="0"/>
            </w:tcBorders>
            <w:vAlign w:val="top"/>
          </w:tcPr>
          <w:p w14:paraId="52C752AF">
            <w:pPr>
              <w:spacing w:before="122" w:line="234" w:lineRule="auto"/>
              <w:ind w:left="9"/>
              <w:rPr>
                <w:rFonts w:ascii="宋体" w:hAnsi="宋体" w:eastAsia="宋体" w:cs="宋体"/>
                <w:sz w:val="12"/>
                <w:szCs w:val="12"/>
              </w:rPr>
            </w:pPr>
            <w:r>
              <w:rPr>
                <w:rFonts w:ascii="宋体" w:hAnsi="宋体" w:eastAsia="宋体" w:cs="宋体"/>
                <w:color w:val="212529"/>
                <w:spacing w:val="9"/>
                <w:sz w:val="12"/>
                <w:szCs w:val="12"/>
              </w:rPr>
              <w:t>部门名称：长治高新区漳泽工业园事业服务中心</w:t>
            </w:r>
          </w:p>
        </w:tc>
        <w:tc>
          <w:tcPr>
            <w:tcW w:w="1917" w:type="dxa"/>
            <w:gridSpan w:val="2"/>
            <w:tcBorders>
              <w:top w:val="single" w:color="FFFFFF" w:sz="4" w:space="0"/>
              <w:left w:val="single" w:color="FFFFFF" w:sz="2" w:space="0"/>
              <w:right w:val="single" w:color="FFFFFF" w:sz="2" w:space="0"/>
            </w:tcBorders>
            <w:vAlign w:val="top"/>
          </w:tcPr>
          <w:p w14:paraId="70AF2354">
            <w:pPr>
              <w:spacing w:before="122" w:line="235" w:lineRule="auto"/>
              <w:ind w:left="1244"/>
              <w:rPr>
                <w:rFonts w:ascii="宋体" w:hAnsi="宋体" w:eastAsia="宋体" w:cs="宋体"/>
                <w:sz w:val="12"/>
                <w:szCs w:val="12"/>
              </w:rPr>
            </w:pPr>
            <w:r>
              <w:rPr>
                <w:rFonts w:ascii="宋体" w:hAnsi="宋体" w:eastAsia="宋体" w:cs="宋体"/>
                <w:color w:val="212529"/>
                <w:spacing w:val="8"/>
                <w:sz w:val="12"/>
                <w:szCs w:val="12"/>
              </w:rPr>
              <w:t>单位：万元</w:t>
            </w:r>
          </w:p>
        </w:tc>
      </w:tr>
      <w:tr w14:paraId="56A51A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70" w:type="dxa"/>
            <w:vMerge w:val="restart"/>
            <w:tcBorders>
              <w:bottom w:val="nil"/>
            </w:tcBorders>
            <w:vAlign w:val="top"/>
          </w:tcPr>
          <w:p w14:paraId="39BE898A">
            <w:pPr>
              <w:spacing w:before="302" w:line="156" w:lineRule="exact"/>
              <w:ind w:left="1047"/>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项目名称</w:t>
            </w:r>
          </w:p>
        </w:tc>
        <w:tc>
          <w:tcPr>
            <w:tcW w:w="1155" w:type="dxa"/>
            <w:vMerge w:val="restart"/>
            <w:tcBorders>
              <w:bottom w:val="nil"/>
            </w:tcBorders>
            <w:vAlign w:val="top"/>
          </w:tcPr>
          <w:p w14:paraId="2AF7F079">
            <w:pPr>
              <w:spacing w:before="302" w:line="154" w:lineRule="exact"/>
              <w:ind w:left="40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3316" w:type="dxa"/>
            <w:gridSpan w:val="3"/>
            <w:vAlign w:val="top"/>
          </w:tcPr>
          <w:p w14:paraId="05965F99">
            <w:pPr>
              <w:spacing w:before="106" w:line="157" w:lineRule="exact"/>
              <w:ind w:left="1083"/>
              <w:rPr>
                <w:rFonts w:ascii="微软雅黑" w:hAnsi="微软雅黑" w:eastAsia="微软雅黑" w:cs="微软雅黑"/>
                <w:sz w:val="15"/>
                <w:szCs w:val="15"/>
              </w:rPr>
            </w:pPr>
            <w:r>
              <w:rPr>
                <w:rFonts w:ascii="微软雅黑" w:hAnsi="微软雅黑" w:eastAsia="微软雅黑" w:cs="微软雅黑"/>
                <w:color w:val="212529"/>
                <w:spacing w:val="2"/>
                <w:position w:val="-1"/>
                <w:sz w:val="15"/>
                <w:szCs w:val="15"/>
              </w:rPr>
              <w:t>2025年财政拨款</w:t>
            </w:r>
          </w:p>
        </w:tc>
        <w:tc>
          <w:tcPr>
            <w:tcW w:w="1069" w:type="dxa"/>
            <w:vMerge w:val="restart"/>
            <w:tcBorders>
              <w:bottom w:val="nil"/>
            </w:tcBorders>
            <w:vAlign w:val="top"/>
          </w:tcPr>
          <w:p w14:paraId="1E349E9A">
            <w:pPr>
              <w:spacing w:before="215" w:line="158" w:lineRule="auto"/>
              <w:ind w:left="371" w:right="47" w:hanging="329"/>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财政专户管理</w:t>
            </w:r>
            <w:r>
              <w:rPr>
                <w:rFonts w:ascii="微软雅黑" w:hAnsi="微软雅黑" w:eastAsia="微软雅黑" w:cs="微软雅黑"/>
                <w:color w:val="212529"/>
                <w:spacing w:val="1"/>
                <w:sz w:val="15"/>
                <w:szCs w:val="15"/>
              </w:rPr>
              <w:t xml:space="preserve"> </w:t>
            </w:r>
            <w:r>
              <w:rPr>
                <w:rFonts w:ascii="微软雅黑" w:hAnsi="微软雅黑" w:eastAsia="微软雅黑" w:cs="微软雅黑"/>
                <w:color w:val="212529"/>
                <w:spacing w:val="5"/>
                <w:sz w:val="15"/>
                <w:szCs w:val="15"/>
              </w:rPr>
              <w:t>资金</w:t>
            </w:r>
          </w:p>
        </w:tc>
        <w:tc>
          <w:tcPr>
            <w:tcW w:w="848" w:type="dxa"/>
            <w:vMerge w:val="restart"/>
            <w:tcBorders>
              <w:bottom w:val="nil"/>
            </w:tcBorders>
            <w:vAlign w:val="top"/>
          </w:tcPr>
          <w:p w14:paraId="3F34958E">
            <w:pPr>
              <w:spacing w:before="300" w:line="158" w:lineRule="exact"/>
              <w:ind w:left="89"/>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单位资金</w:t>
            </w:r>
          </w:p>
        </w:tc>
      </w:tr>
      <w:tr w14:paraId="7B4625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70" w:type="dxa"/>
            <w:vMerge w:val="continue"/>
            <w:tcBorders>
              <w:top w:val="nil"/>
            </w:tcBorders>
            <w:vAlign w:val="top"/>
          </w:tcPr>
          <w:p w14:paraId="1254C24B">
            <w:pPr>
              <w:pStyle w:val="6"/>
            </w:pPr>
          </w:p>
        </w:tc>
        <w:tc>
          <w:tcPr>
            <w:tcW w:w="1155" w:type="dxa"/>
            <w:vMerge w:val="continue"/>
            <w:tcBorders>
              <w:top w:val="nil"/>
            </w:tcBorders>
            <w:vAlign w:val="top"/>
          </w:tcPr>
          <w:p w14:paraId="35B99123">
            <w:pPr>
              <w:pStyle w:val="6"/>
            </w:pPr>
          </w:p>
        </w:tc>
        <w:tc>
          <w:tcPr>
            <w:tcW w:w="1156" w:type="dxa"/>
            <w:vAlign w:val="top"/>
          </w:tcPr>
          <w:p w14:paraId="39E860E7">
            <w:pPr>
              <w:spacing w:before="106" w:line="158" w:lineRule="exact"/>
              <w:ind w:left="79"/>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918" w:type="dxa"/>
            <w:vAlign w:val="top"/>
          </w:tcPr>
          <w:p w14:paraId="096D6000">
            <w:pPr>
              <w:spacing w:before="21" w:line="159" w:lineRule="auto"/>
              <w:ind w:left="284" w:right="58" w:hanging="240"/>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政府性基金</w:t>
            </w:r>
            <w:r>
              <w:rPr>
                <w:rFonts w:ascii="微软雅黑" w:hAnsi="微软雅黑" w:eastAsia="微软雅黑" w:cs="微软雅黑"/>
                <w:color w:val="212529"/>
                <w:sz w:val="15"/>
                <w:szCs w:val="15"/>
              </w:rPr>
              <w:t xml:space="preserve"> </w:t>
            </w:r>
            <w:r>
              <w:rPr>
                <w:rFonts w:ascii="微软雅黑" w:hAnsi="微软雅黑" w:eastAsia="微软雅黑" w:cs="微软雅黑"/>
                <w:color w:val="212529"/>
                <w:spacing w:val="11"/>
                <w:sz w:val="15"/>
                <w:szCs w:val="15"/>
              </w:rPr>
              <w:t>预算</w:t>
            </w:r>
          </w:p>
        </w:tc>
        <w:tc>
          <w:tcPr>
            <w:tcW w:w="1242" w:type="dxa"/>
            <w:vAlign w:val="top"/>
          </w:tcPr>
          <w:p w14:paraId="7E2FAAD8">
            <w:pPr>
              <w:spacing w:before="19" w:line="159" w:lineRule="auto"/>
              <w:ind w:left="527" w:right="55" w:hanging="466"/>
              <w:rPr>
                <w:rFonts w:ascii="微软雅黑" w:hAnsi="微软雅黑" w:eastAsia="微软雅黑" w:cs="微软雅黑"/>
                <w:sz w:val="15"/>
                <w:szCs w:val="15"/>
              </w:rPr>
            </w:pPr>
            <w:r>
              <w:rPr>
                <w:rFonts w:ascii="微软雅黑" w:hAnsi="微软雅黑" w:eastAsia="微软雅黑" w:cs="微软雅黑"/>
                <w:color w:val="212529"/>
                <w:spacing w:val="9"/>
                <w:sz w:val="15"/>
                <w:szCs w:val="15"/>
              </w:rPr>
              <w:t>国有资本经营预</w:t>
            </w:r>
            <w:r>
              <w:rPr>
                <w:rFonts w:ascii="微软雅黑" w:hAnsi="微软雅黑" w:eastAsia="微软雅黑" w:cs="微软雅黑"/>
                <w:color w:val="212529"/>
                <w:sz w:val="15"/>
                <w:szCs w:val="15"/>
              </w:rPr>
              <w:t xml:space="preserve"> </w:t>
            </w:r>
            <w:r>
              <w:rPr>
                <w:rFonts w:ascii="微软雅黑" w:hAnsi="微软雅黑" w:eastAsia="微软雅黑" w:cs="微软雅黑"/>
                <w:color w:val="212529"/>
                <w:spacing w:val="10"/>
                <w:sz w:val="15"/>
                <w:szCs w:val="15"/>
              </w:rPr>
              <w:t>算</w:t>
            </w:r>
          </w:p>
        </w:tc>
        <w:tc>
          <w:tcPr>
            <w:tcW w:w="1069" w:type="dxa"/>
            <w:vMerge w:val="continue"/>
            <w:tcBorders>
              <w:top w:val="nil"/>
            </w:tcBorders>
            <w:vAlign w:val="top"/>
          </w:tcPr>
          <w:p w14:paraId="4FCA9DBD">
            <w:pPr>
              <w:pStyle w:val="6"/>
            </w:pPr>
          </w:p>
        </w:tc>
        <w:tc>
          <w:tcPr>
            <w:tcW w:w="848" w:type="dxa"/>
            <w:vMerge w:val="continue"/>
            <w:tcBorders>
              <w:top w:val="nil"/>
            </w:tcBorders>
            <w:vAlign w:val="top"/>
          </w:tcPr>
          <w:p w14:paraId="1755986D">
            <w:pPr>
              <w:pStyle w:val="6"/>
            </w:pPr>
          </w:p>
        </w:tc>
      </w:tr>
      <w:tr w14:paraId="7EDCB4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70" w:type="dxa"/>
            <w:vAlign w:val="top"/>
          </w:tcPr>
          <w:p w14:paraId="3B0751FF">
            <w:pPr>
              <w:spacing w:before="133" w:line="191" w:lineRule="auto"/>
              <w:ind w:left="1345"/>
              <w:rPr>
                <w:rFonts w:ascii="宋体" w:hAnsi="宋体" w:eastAsia="宋体" w:cs="宋体"/>
                <w:sz w:val="15"/>
                <w:szCs w:val="15"/>
              </w:rPr>
            </w:pPr>
            <w:r>
              <w:rPr>
                <w:rFonts w:ascii="宋体" w:hAnsi="宋体" w:eastAsia="宋体" w:cs="宋体"/>
                <w:color w:val="212529"/>
                <w:sz w:val="15"/>
                <w:szCs w:val="15"/>
              </w:rPr>
              <w:t>1</w:t>
            </w:r>
          </w:p>
        </w:tc>
        <w:tc>
          <w:tcPr>
            <w:tcW w:w="1155" w:type="dxa"/>
            <w:vAlign w:val="top"/>
          </w:tcPr>
          <w:p w14:paraId="111A8074">
            <w:pPr>
              <w:spacing w:before="134" w:line="190" w:lineRule="auto"/>
              <w:ind w:left="528"/>
              <w:rPr>
                <w:rFonts w:ascii="宋体" w:hAnsi="宋体" w:eastAsia="宋体" w:cs="宋体"/>
                <w:sz w:val="15"/>
                <w:szCs w:val="15"/>
              </w:rPr>
            </w:pPr>
            <w:r>
              <w:rPr>
                <w:rFonts w:ascii="宋体" w:hAnsi="宋体" w:eastAsia="宋体" w:cs="宋体"/>
                <w:color w:val="212529"/>
                <w:sz w:val="15"/>
                <w:szCs w:val="15"/>
              </w:rPr>
              <w:t>2</w:t>
            </w:r>
          </w:p>
        </w:tc>
        <w:tc>
          <w:tcPr>
            <w:tcW w:w="1156" w:type="dxa"/>
            <w:vAlign w:val="top"/>
          </w:tcPr>
          <w:p w14:paraId="50350711">
            <w:pPr>
              <w:spacing w:before="134" w:line="190" w:lineRule="auto"/>
              <w:ind w:left="531"/>
              <w:rPr>
                <w:rFonts w:ascii="宋体" w:hAnsi="宋体" w:eastAsia="宋体" w:cs="宋体"/>
                <w:sz w:val="15"/>
                <w:szCs w:val="15"/>
              </w:rPr>
            </w:pPr>
            <w:r>
              <w:rPr>
                <w:rFonts w:ascii="宋体" w:hAnsi="宋体" w:eastAsia="宋体" w:cs="宋体"/>
                <w:color w:val="212529"/>
                <w:sz w:val="15"/>
                <w:szCs w:val="15"/>
              </w:rPr>
              <w:t>3</w:t>
            </w:r>
          </w:p>
        </w:tc>
        <w:tc>
          <w:tcPr>
            <w:tcW w:w="918" w:type="dxa"/>
            <w:vAlign w:val="top"/>
          </w:tcPr>
          <w:p w14:paraId="31149804">
            <w:pPr>
              <w:spacing w:before="134" w:line="190" w:lineRule="auto"/>
              <w:ind w:left="410"/>
              <w:rPr>
                <w:rFonts w:ascii="宋体" w:hAnsi="宋体" w:eastAsia="宋体" w:cs="宋体"/>
                <w:sz w:val="15"/>
                <w:szCs w:val="15"/>
              </w:rPr>
            </w:pPr>
            <w:r>
              <w:rPr>
                <w:rFonts w:ascii="宋体" w:hAnsi="宋体" w:eastAsia="宋体" w:cs="宋体"/>
                <w:color w:val="212529"/>
                <w:sz w:val="15"/>
                <w:szCs w:val="15"/>
              </w:rPr>
              <w:t>4</w:t>
            </w:r>
          </w:p>
        </w:tc>
        <w:tc>
          <w:tcPr>
            <w:tcW w:w="1242" w:type="dxa"/>
            <w:vAlign w:val="top"/>
          </w:tcPr>
          <w:p w14:paraId="6307795C">
            <w:pPr>
              <w:spacing w:before="135" w:line="189" w:lineRule="auto"/>
              <w:ind w:left="576"/>
              <w:rPr>
                <w:rFonts w:ascii="宋体" w:hAnsi="宋体" w:eastAsia="宋体" w:cs="宋体"/>
                <w:sz w:val="15"/>
                <w:szCs w:val="15"/>
              </w:rPr>
            </w:pPr>
            <w:r>
              <w:rPr>
                <w:rFonts w:ascii="宋体" w:hAnsi="宋体" w:eastAsia="宋体" w:cs="宋体"/>
                <w:color w:val="212529"/>
                <w:sz w:val="15"/>
                <w:szCs w:val="15"/>
              </w:rPr>
              <w:t>5</w:t>
            </w:r>
          </w:p>
        </w:tc>
        <w:tc>
          <w:tcPr>
            <w:tcW w:w="1069" w:type="dxa"/>
            <w:vAlign w:val="top"/>
          </w:tcPr>
          <w:p w14:paraId="20E884C8">
            <w:pPr>
              <w:spacing w:before="134" w:line="190" w:lineRule="auto"/>
              <w:ind w:left="489"/>
              <w:rPr>
                <w:rFonts w:ascii="宋体" w:hAnsi="宋体" w:eastAsia="宋体" w:cs="宋体"/>
                <w:sz w:val="15"/>
                <w:szCs w:val="15"/>
              </w:rPr>
            </w:pPr>
            <w:r>
              <w:rPr>
                <w:rFonts w:ascii="宋体" w:hAnsi="宋体" w:eastAsia="宋体" w:cs="宋体"/>
                <w:color w:val="212529"/>
                <w:sz w:val="15"/>
                <w:szCs w:val="15"/>
              </w:rPr>
              <w:t>6</w:t>
            </w:r>
          </w:p>
        </w:tc>
        <w:tc>
          <w:tcPr>
            <w:tcW w:w="848" w:type="dxa"/>
            <w:vAlign w:val="top"/>
          </w:tcPr>
          <w:p w14:paraId="51CDBFAF">
            <w:pPr>
              <w:spacing w:before="135" w:line="189" w:lineRule="auto"/>
              <w:ind w:left="380"/>
              <w:rPr>
                <w:rFonts w:ascii="宋体" w:hAnsi="宋体" w:eastAsia="宋体" w:cs="宋体"/>
                <w:sz w:val="15"/>
                <w:szCs w:val="15"/>
              </w:rPr>
            </w:pPr>
            <w:r>
              <w:rPr>
                <w:rFonts w:ascii="宋体" w:hAnsi="宋体" w:eastAsia="宋体" w:cs="宋体"/>
                <w:color w:val="212529"/>
                <w:sz w:val="15"/>
                <w:szCs w:val="15"/>
              </w:rPr>
              <w:t>7</w:t>
            </w:r>
          </w:p>
        </w:tc>
      </w:tr>
      <w:tr w14:paraId="7E58B3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70" w:type="dxa"/>
            <w:vAlign w:val="top"/>
          </w:tcPr>
          <w:p w14:paraId="77124C04">
            <w:pPr>
              <w:spacing w:before="110" w:line="229" w:lineRule="auto"/>
              <w:ind w:left="7"/>
              <w:rPr>
                <w:rFonts w:ascii="宋体" w:hAnsi="宋体" w:eastAsia="宋体" w:cs="宋体"/>
                <w:sz w:val="15"/>
                <w:szCs w:val="15"/>
              </w:rPr>
            </w:pPr>
            <w:r>
              <w:rPr>
                <w:rFonts w:ascii="宋体" w:hAnsi="宋体" w:eastAsia="宋体" w:cs="宋体"/>
                <w:color w:val="212529"/>
                <w:spacing w:val="11"/>
                <w:sz w:val="15"/>
                <w:szCs w:val="15"/>
              </w:rPr>
              <w:t>长治高新区漳泽工业园事业服务中心</w:t>
            </w:r>
          </w:p>
        </w:tc>
        <w:tc>
          <w:tcPr>
            <w:tcW w:w="1155" w:type="dxa"/>
            <w:vAlign w:val="top"/>
          </w:tcPr>
          <w:p w14:paraId="757643CD">
            <w:pPr>
              <w:spacing w:before="134" w:line="191" w:lineRule="auto"/>
              <w:ind w:left="643"/>
              <w:rPr>
                <w:rFonts w:ascii="宋体" w:hAnsi="宋体" w:eastAsia="宋体" w:cs="宋体"/>
                <w:sz w:val="15"/>
                <w:szCs w:val="15"/>
              </w:rPr>
            </w:pPr>
            <w:r>
              <w:rPr>
                <w:rFonts w:ascii="宋体" w:hAnsi="宋体" w:eastAsia="宋体" w:cs="宋体"/>
                <w:color w:val="212529"/>
                <w:spacing w:val="4"/>
                <w:sz w:val="15"/>
                <w:szCs w:val="15"/>
              </w:rPr>
              <w:t>820.14</w:t>
            </w:r>
          </w:p>
        </w:tc>
        <w:tc>
          <w:tcPr>
            <w:tcW w:w="1156" w:type="dxa"/>
            <w:vAlign w:val="top"/>
          </w:tcPr>
          <w:p w14:paraId="075D7A98">
            <w:pPr>
              <w:spacing w:before="134" w:line="190" w:lineRule="auto"/>
              <w:ind w:right="22"/>
              <w:jc w:val="right"/>
              <w:rPr>
                <w:rFonts w:ascii="宋体" w:hAnsi="宋体" w:eastAsia="宋体" w:cs="宋体"/>
                <w:sz w:val="15"/>
                <w:szCs w:val="15"/>
              </w:rPr>
            </w:pPr>
            <w:r>
              <w:rPr>
                <w:rFonts w:ascii="宋体" w:hAnsi="宋体" w:eastAsia="宋体" w:cs="宋体"/>
                <w:color w:val="212529"/>
                <w:spacing w:val="4"/>
                <w:sz w:val="15"/>
                <w:szCs w:val="15"/>
              </w:rPr>
              <w:t>543.00</w:t>
            </w:r>
          </w:p>
        </w:tc>
        <w:tc>
          <w:tcPr>
            <w:tcW w:w="918" w:type="dxa"/>
            <w:vAlign w:val="top"/>
          </w:tcPr>
          <w:p w14:paraId="7CC202BB">
            <w:pPr>
              <w:spacing w:before="134" w:line="191" w:lineRule="auto"/>
              <w:ind w:right="20"/>
              <w:jc w:val="right"/>
              <w:rPr>
                <w:rFonts w:ascii="宋体" w:hAnsi="宋体" w:eastAsia="宋体" w:cs="宋体"/>
                <w:sz w:val="15"/>
                <w:szCs w:val="15"/>
              </w:rPr>
            </w:pPr>
            <w:r>
              <w:rPr>
                <w:rFonts w:ascii="宋体" w:hAnsi="宋体" w:eastAsia="宋体" w:cs="宋体"/>
                <w:color w:val="212529"/>
                <w:spacing w:val="4"/>
                <w:sz w:val="15"/>
                <w:szCs w:val="15"/>
              </w:rPr>
              <w:t>277.14</w:t>
            </w:r>
          </w:p>
        </w:tc>
        <w:tc>
          <w:tcPr>
            <w:tcW w:w="1242" w:type="dxa"/>
            <w:vAlign w:val="top"/>
          </w:tcPr>
          <w:p w14:paraId="00F66286">
            <w:pPr>
              <w:pStyle w:val="6"/>
            </w:pPr>
          </w:p>
        </w:tc>
        <w:tc>
          <w:tcPr>
            <w:tcW w:w="1069" w:type="dxa"/>
            <w:vAlign w:val="top"/>
          </w:tcPr>
          <w:p w14:paraId="6E1B42C0">
            <w:pPr>
              <w:pStyle w:val="6"/>
            </w:pPr>
          </w:p>
        </w:tc>
        <w:tc>
          <w:tcPr>
            <w:tcW w:w="848" w:type="dxa"/>
            <w:vAlign w:val="top"/>
          </w:tcPr>
          <w:p w14:paraId="6E715A7B">
            <w:pPr>
              <w:pStyle w:val="6"/>
            </w:pPr>
          </w:p>
        </w:tc>
      </w:tr>
      <w:tr w14:paraId="7211E3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70" w:type="dxa"/>
            <w:vAlign w:val="top"/>
          </w:tcPr>
          <w:p w14:paraId="4FF220DB">
            <w:pPr>
              <w:spacing w:before="110" w:line="229" w:lineRule="auto"/>
              <w:ind w:left="88"/>
              <w:rPr>
                <w:rFonts w:ascii="宋体" w:hAnsi="宋体" w:eastAsia="宋体" w:cs="宋体"/>
                <w:sz w:val="15"/>
                <w:szCs w:val="15"/>
              </w:rPr>
            </w:pPr>
            <w:r>
              <w:rPr>
                <w:rFonts w:ascii="宋体" w:hAnsi="宋体" w:eastAsia="宋体" w:cs="宋体"/>
                <w:color w:val="212529"/>
                <w:spacing w:val="11"/>
                <w:sz w:val="15"/>
                <w:szCs w:val="15"/>
              </w:rPr>
              <w:t>长治高新区漳泽工业园事业服务中心</w:t>
            </w:r>
          </w:p>
        </w:tc>
        <w:tc>
          <w:tcPr>
            <w:tcW w:w="1155" w:type="dxa"/>
            <w:vAlign w:val="top"/>
          </w:tcPr>
          <w:p w14:paraId="3F1B67EF">
            <w:pPr>
              <w:spacing w:before="134" w:line="191" w:lineRule="auto"/>
              <w:ind w:left="643"/>
              <w:rPr>
                <w:rFonts w:ascii="宋体" w:hAnsi="宋体" w:eastAsia="宋体" w:cs="宋体"/>
                <w:sz w:val="15"/>
                <w:szCs w:val="15"/>
              </w:rPr>
            </w:pPr>
            <w:r>
              <w:rPr>
                <w:rFonts w:ascii="宋体" w:hAnsi="宋体" w:eastAsia="宋体" w:cs="宋体"/>
                <w:color w:val="212529"/>
                <w:spacing w:val="4"/>
                <w:sz w:val="15"/>
                <w:szCs w:val="15"/>
              </w:rPr>
              <w:t>820.14</w:t>
            </w:r>
          </w:p>
        </w:tc>
        <w:tc>
          <w:tcPr>
            <w:tcW w:w="1156" w:type="dxa"/>
            <w:vAlign w:val="top"/>
          </w:tcPr>
          <w:p w14:paraId="115BE897">
            <w:pPr>
              <w:spacing w:before="135" w:line="190" w:lineRule="auto"/>
              <w:ind w:right="22"/>
              <w:jc w:val="right"/>
              <w:rPr>
                <w:rFonts w:ascii="宋体" w:hAnsi="宋体" w:eastAsia="宋体" w:cs="宋体"/>
                <w:sz w:val="15"/>
                <w:szCs w:val="15"/>
              </w:rPr>
            </w:pPr>
            <w:r>
              <w:rPr>
                <w:rFonts w:ascii="宋体" w:hAnsi="宋体" w:eastAsia="宋体" w:cs="宋体"/>
                <w:color w:val="212529"/>
                <w:spacing w:val="4"/>
                <w:sz w:val="15"/>
                <w:szCs w:val="15"/>
              </w:rPr>
              <w:t>543.00</w:t>
            </w:r>
          </w:p>
        </w:tc>
        <w:tc>
          <w:tcPr>
            <w:tcW w:w="918" w:type="dxa"/>
            <w:vAlign w:val="top"/>
          </w:tcPr>
          <w:p w14:paraId="3ECED94B">
            <w:pPr>
              <w:spacing w:before="134" w:line="191" w:lineRule="auto"/>
              <w:ind w:right="20"/>
              <w:jc w:val="right"/>
              <w:rPr>
                <w:rFonts w:ascii="宋体" w:hAnsi="宋体" w:eastAsia="宋体" w:cs="宋体"/>
                <w:sz w:val="15"/>
                <w:szCs w:val="15"/>
              </w:rPr>
            </w:pPr>
            <w:r>
              <w:rPr>
                <w:rFonts w:ascii="宋体" w:hAnsi="宋体" w:eastAsia="宋体" w:cs="宋体"/>
                <w:color w:val="212529"/>
                <w:spacing w:val="4"/>
                <w:sz w:val="15"/>
                <w:szCs w:val="15"/>
              </w:rPr>
              <w:t>277.14</w:t>
            </w:r>
          </w:p>
        </w:tc>
        <w:tc>
          <w:tcPr>
            <w:tcW w:w="1242" w:type="dxa"/>
            <w:vAlign w:val="top"/>
          </w:tcPr>
          <w:p w14:paraId="295ECA55">
            <w:pPr>
              <w:pStyle w:val="6"/>
            </w:pPr>
          </w:p>
        </w:tc>
        <w:tc>
          <w:tcPr>
            <w:tcW w:w="1069" w:type="dxa"/>
            <w:vAlign w:val="top"/>
          </w:tcPr>
          <w:p w14:paraId="08B03D41">
            <w:pPr>
              <w:pStyle w:val="6"/>
            </w:pPr>
          </w:p>
        </w:tc>
        <w:tc>
          <w:tcPr>
            <w:tcW w:w="848" w:type="dxa"/>
            <w:vAlign w:val="top"/>
          </w:tcPr>
          <w:p w14:paraId="4D3D4F30">
            <w:pPr>
              <w:pStyle w:val="6"/>
            </w:pPr>
          </w:p>
        </w:tc>
      </w:tr>
      <w:tr w14:paraId="6DFE79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70" w:type="dxa"/>
            <w:vAlign w:val="top"/>
          </w:tcPr>
          <w:p w14:paraId="1C0CBDA7">
            <w:pPr>
              <w:spacing w:before="110" w:line="230" w:lineRule="auto"/>
              <w:ind w:left="169"/>
              <w:rPr>
                <w:rFonts w:ascii="宋体" w:hAnsi="宋体" w:eastAsia="宋体" w:cs="宋体"/>
                <w:sz w:val="15"/>
                <w:szCs w:val="15"/>
              </w:rPr>
            </w:pPr>
            <w:r>
              <w:rPr>
                <w:rFonts w:ascii="宋体" w:hAnsi="宋体" w:eastAsia="宋体" w:cs="宋体"/>
                <w:color w:val="212529"/>
                <w:spacing w:val="10"/>
                <w:sz w:val="15"/>
                <w:szCs w:val="15"/>
              </w:rPr>
              <w:t>土地补偿款</w:t>
            </w:r>
          </w:p>
        </w:tc>
        <w:tc>
          <w:tcPr>
            <w:tcW w:w="1155" w:type="dxa"/>
            <w:vAlign w:val="top"/>
          </w:tcPr>
          <w:p w14:paraId="775BF1C8">
            <w:pPr>
              <w:spacing w:before="134" w:line="191" w:lineRule="auto"/>
              <w:ind w:left="654"/>
              <w:rPr>
                <w:rFonts w:ascii="宋体" w:hAnsi="宋体" w:eastAsia="宋体" w:cs="宋体"/>
                <w:sz w:val="15"/>
                <w:szCs w:val="15"/>
              </w:rPr>
            </w:pPr>
            <w:r>
              <w:rPr>
                <w:rFonts w:ascii="宋体" w:hAnsi="宋体" w:eastAsia="宋体" w:cs="宋体"/>
                <w:color w:val="212529"/>
                <w:spacing w:val="2"/>
                <w:sz w:val="15"/>
                <w:szCs w:val="15"/>
              </w:rPr>
              <w:t>184.76</w:t>
            </w:r>
          </w:p>
        </w:tc>
        <w:tc>
          <w:tcPr>
            <w:tcW w:w="1156" w:type="dxa"/>
            <w:vAlign w:val="top"/>
          </w:tcPr>
          <w:p w14:paraId="74F31C0A">
            <w:pPr>
              <w:pStyle w:val="6"/>
            </w:pPr>
          </w:p>
        </w:tc>
        <w:tc>
          <w:tcPr>
            <w:tcW w:w="918" w:type="dxa"/>
            <w:vAlign w:val="top"/>
          </w:tcPr>
          <w:p w14:paraId="2CFF246A">
            <w:pPr>
              <w:spacing w:before="134" w:line="191" w:lineRule="auto"/>
              <w:ind w:right="20"/>
              <w:jc w:val="right"/>
              <w:rPr>
                <w:rFonts w:ascii="宋体" w:hAnsi="宋体" w:eastAsia="宋体" w:cs="宋体"/>
                <w:sz w:val="15"/>
                <w:szCs w:val="15"/>
              </w:rPr>
            </w:pPr>
            <w:r>
              <w:rPr>
                <w:rFonts w:ascii="宋体" w:hAnsi="宋体" w:eastAsia="宋体" w:cs="宋体"/>
                <w:color w:val="212529"/>
                <w:spacing w:val="2"/>
                <w:sz w:val="15"/>
                <w:szCs w:val="15"/>
              </w:rPr>
              <w:t>184.76</w:t>
            </w:r>
          </w:p>
        </w:tc>
        <w:tc>
          <w:tcPr>
            <w:tcW w:w="1242" w:type="dxa"/>
            <w:vAlign w:val="top"/>
          </w:tcPr>
          <w:p w14:paraId="5C78EA9F">
            <w:pPr>
              <w:pStyle w:val="6"/>
            </w:pPr>
          </w:p>
        </w:tc>
        <w:tc>
          <w:tcPr>
            <w:tcW w:w="1069" w:type="dxa"/>
            <w:vAlign w:val="top"/>
          </w:tcPr>
          <w:p w14:paraId="3FB95FF3">
            <w:pPr>
              <w:pStyle w:val="6"/>
            </w:pPr>
          </w:p>
        </w:tc>
        <w:tc>
          <w:tcPr>
            <w:tcW w:w="848" w:type="dxa"/>
            <w:vAlign w:val="top"/>
          </w:tcPr>
          <w:p w14:paraId="1F622DF1">
            <w:pPr>
              <w:pStyle w:val="6"/>
            </w:pPr>
          </w:p>
        </w:tc>
      </w:tr>
      <w:tr w14:paraId="36F1E7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70" w:type="dxa"/>
            <w:vAlign w:val="top"/>
          </w:tcPr>
          <w:p w14:paraId="175FAD40">
            <w:pPr>
              <w:spacing w:before="110" w:line="230" w:lineRule="auto"/>
              <w:ind w:left="169"/>
              <w:rPr>
                <w:rFonts w:ascii="宋体" w:hAnsi="宋体" w:eastAsia="宋体" w:cs="宋体"/>
                <w:sz w:val="15"/>
                <w:szCs w:val="15"/>
              </w:rPr>
            </w:pPr>
            <w:r>
              <w:rPr>
                <w:rFonts w:ascii="宋体" w:hAnsi="宋体" w:eastAsia="宋体" w:cs="宋体"/>
                <w:color w:val="212529"/>
                <w:spacing w:val="9"/>
                <w:sz w:val="15"/>
                <w:szCs w:val="15"/>
              </w:rPr>
              <w:t>土地补偿款（欠款）</w:t>
            </w:r>
          </w:p>
        </w:tc>
        <w:tc>
          <w:tcPr>
            <w:tcW w:w="1155" w:type="dxa"/>
            <w:vAlign w:val="top"/>
          </w:tcPr>
          <w:p w14:paraId="11AFC429">
            <w:pPr>
              <w:spacing w:before="135" w:line="190" w:lineRule="auto"/>
              <w:ind w:left="724"/>
              <w:rPr>
                <w:rFonts w:ascii="宋体" w:hAnsi="宋体" w:eastAsia="宋体" w:cs="宋体"/>
                <w:sz w:val="15"/>
                <w:szCs w:val="15"/>
              </w:rPr>
            </w:pPr>
            <w:r>
              <w:rPr>
                <w:rFonts w:ascii="宋体" w:hAnsi="宋体" w:eastAsia="宋体" w:cs="宋体"/>
                <w:color w:val="212529"/>
                <w:spacing w:val="4"/>
                <w:sz w:val="15"/>
                <w:szCs w:val="15"/>
              </w:rPr>
              <w:t>92.38</w:t>
            </w:r>
          </w:p>
        </w:tc>
        <w:tc>
          <w:tcPr>
            <w:tcW w:w="1156" w:type="dxa"/>
            <w:vAlign w:val="top"/>
          </w:tcPr>
          <w:p w14:paraId="294B0FF3">
            <w:pPr>
              <w:pStyle w:val="6"/>
            </w:pPr>
          </w:p>
        </w:tc>
        <w:tc>
          <w:tcPr>
            <w:tcW w:w="918" w:type="dxa"/>
            <w:vAlign w:val="top"/>
          </w:tcPr>
          <w:p w14:paraId="700E90A5">
            <w:pPr>
              <w:spacing w:before="135" w:line="190" w:lineRule="auto"/>
              <w:ind w:right="20"/>
              <w:jc w:val="right"/>
              <w:rPr>
                <w:rFonts w:ascii="宋体" w:hAnsi="宋体" w:eastAsia="宋体" w:cs="宋体"/>
                <w:sz w:val="15"/>
                <w:szCs w:val="15"/>
              </w:rPr>
            </w:pPr>
            <w:r>
              <w:rPr>
                <w:rFonts w:ascii="宋体" w:hAnsi="宋体" w:eastAsia="宋体" w:cs="宋体"/>
                <w:color w:val="212529"/>
                <w:spacing w:val="4"/>
                <w:sz w:val="15"/>
                <w:szCs w:val="15"/>
              </w:rPr>
              <w:t>92.38</w:t>
            </w:r>
          </w:p>
        </w:tc>
        <w:tc>
          <w:tcPr>
            <w:tcW w:w="1242" w:type="dxa"/>
            <w:vAlign w:val="top"/>
          </w:tcPr>
          <w:p w14:paraId="32F359DA">
            <w:pPr>
              <w:pStyle w:val="6"/>
            </w:pPr>
          </w:p>
        </w:tc>
        <w:tc>
          <w:tcPr>
            <w:tcW w:w="1069" w:type="dxa"/>
            <w:vAlign w:val="top"/>
          </w:tcPr>
          <w:p w14:paraId="61E545B5">
            <w:pPr>
              <w:pStyle w:val="6"/>
            </w:pPr>
          </w:p>
        </w:tc>
        <w:tc>
          <w:tcPr>
            <w:tcW w:w="848" w:type="dxa"/>
            <w:vAlign w:val="top"/>
          </w:tcPr>
          <w:p w14:paraId="0870870E">
            <w:pPr>
              <w:pStyle w:val="6"/>
            </w:pPr>
          </w:p>
        </w:tc>
      </w:tr>
      <w:tr w14:paraId="6DCF92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70" w:type="dxa"/>
            <w:vAlign w:val="top"/>
          </w:tcPr>
          <w:p w14:paraId="2F2E5CF1">
            <w:pPr>
              <w:spacing w:before="111" w:line="229" w:lineRule="auto"/>
              <w:ind w:left="172"/>
              <w:rPr>
                <w:rFonts w:ascii="宋体" w:hAnsi="宋体" w:eastAsia="宋体" w:cs="宋体"/>
                <w:sz w:val="15"/>
                <w:szCs w:val="15"/>
              </w:rPr>
            </w:pPr>
            <w:r>
              <w:rPr>
                <w:rFonts w:ascii="宋体" w:hAnsi="宋体" w:eastAsia="宋体" w:cs="宋体"/>
                <w:color w:val="212529"/>
                <w:spacing w:val="10"/>
                <w:sz w:val="15"/>
                <w:szCs w:val="15"/>
              </w:rPr>
              <w:t>办公场所租赁费</w:t>
            </w:r>
          </w:p>
        </w:tc>
        <w:tc>
          <w:tcPr>
            <w:tcW w:w="1155" w:type="dxa"/>
            <w:vAlign w:val="top"/>
          </w:tcPr>
          <w:p w14:paraId="57270F4F">
            <w:pPr>
              <w:spacing w:before="134" w:line="191" w:lineRule="auto"/>
              <w:ind w:left="725"/>
              <w:rPr>
                <w:rFonts w:ascii="宋体" w:hAnsi="宋体" w:eastAsia="宋体" w:cs="宋体"/>
                <w:sz w:val="15"/>
                <w:szCs w:val="15"/>
              </w:rPr>
            </w:pPr>
            <w:r>
              <w:rPr>
                <w:rFonts w:ascii="宋体" w:hAnsi="宋体" w:eastAsia="宋体" w:cs="宋体"/>
                <w:color w:val="212529"/>
                <w:spacing w:val="4"/>
                <w:sz w:val="15"/>
                <w:szCs w:val="15"/>
              </w:rPr>
              <w:t>21.17</w:t>
            </w:r>
          </w:p>
        </w:tc>
        <w:tc>
          <w:tcPr>
            <w:tcW w:w="1156" w:type="dxa"/>
            <w:vAlign w:val="top"/>
          </w:tcPr>
          <w:p w14:paraId="4BB2CE8F">
            <w:pPr>
              <w:spacing w:before="134" w:line="191" w:lineRule="auto"/>
              <w:ind w:right="22"/>
              <w:jc w:val="right"/>
              <w:rPr>
                <w:rFonts w:ascii="宋体" w:hAnsi="宋体" w:eastAsia="宋体" w:cs="宋体"/>
                <w:sz w:val="15"/>
                <w:szCs w:val="15"/>
              </w:rPr>
            </w:pPr>
            <w:r>
              <w:rPr>
                <w:rFonts w:ascii="宋体" w:hAnsi="宋体" w:eastAsia="宋体" w:cs="宋体"/>
                <w:color w:val="212529"/>
                <w:spacing w:val="4"/>
                <w:sz w:val="15"/>
                <w:szCs w:val="15"/>
              </w:rPr>
              <w:t>21.17</w:t>
            </w:r>
          </w:p>
        </w:tc>
        <w:tc>
          <w:tcPr>
            <w:tcW w:w="918" w:type="dxa"/>
            <w:vAlign w:val="top"/>
          </w:tcPr>
          <w:p w14:paraId="1A16D507">
            <w:pPr>
              <w:pStyle w:val="6"/>
            </w:pPr>
          </w:p>
        </w:tc>
        <w:tc>
          <w:tcPr>
            <w:tcW w:w="1242" w:type="dxa"/>
            <w:vAlign w:val="top"/>
          </w:tcPr>
          <w:p w14:paraId="499D4EEE">
            <w:pPr>
              <w:pStyle w:val="6"/>
            </w:pPr>
          </w:p>
        </w:tc>
        <w:tc>
          <w:tcPr>
            <w:tcW w:w="1069" w:type="dxa"/>
            <w:vAlign w:val="top"/>
          </w:tcPr>
          <w:p w14:paraId="02D8B780">
            <w:pPr>
              <w:pStyle w:val="6"/>
            </w:pPr>
          </w:p>
        </w:tc>
        <w:tc>
          <w:tcPr>
            <w:tcW w:w="848" w:type="dxa"/>
            <w:vAlign w:val="top"/>
          </w:tcPr>
          <w:p w14:paraId="52BB1047">
            <w:pPr>
              <w:pStyle w:val="6"/>
            </w:pPr>
          </w:p>
        </w:tc>
      </w:tr>
      <w:tr w14:paraId="5080C1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70" w:type="dxa"/>
            <w:vAlign w:val="top"/>
          </w:tcPr>
          <w:p w14:paraId="6E96595E">
            <w:pPr>
              <w:spacing w:before="111" w:line="229" w:lineRule="auto"/>
              <w:ind w:left="169"/>
              <w:rPr>
                <w:rFonts w:ascii="宋体" w:hAnsi="宋体" w:eastAsia="宋体" w:cs="宋体"/>
                <w:sz w:val="15"/>
                <w:szCs w:val="15"/>
              </w:rPr>
            </w:pPr>
            <w:r>
              <w:rPr>
                <w:rFonts w:ascii="宋体" w:hAnsi="宋体" w:eastAsia="宋体" w:cs="宋体"/>
                <w:color w:val="212529"/>
                <w:spacing w:val="11"/>
                <w:sz w:val="15"/>
                <w:szCs w:val="15"/>
              </w:rPr>
              <w:t>党群活动中心房屋租赁费</w:t>
            </w:r>
          </w:p>
        </w:tc>
        <w:tc>
          <w:tcPr>
            <w:tcW w:w="1155" w:type="dxa"/>
            <w:vAlign w:val="top"/>
          </w:tcPr>
          <w:p w14:paraId="20DDABF3">
            <w:pPr>
              <w:spacing w:before="135" w:line="190" w:lineRule="auto"/>
              <w:ind w:left="724"/>
              <w:rPr>
                <w:rFonts w:ascii="宋体" w:hAnsi="宋体" w:eastAsia="宋体" w:cs="宋体"/>
                <w:sz w:val="15"/>
                <w:szCs w:val="15"/>
              </w:rPr>
            </w:pPr>
            <w:r>
              <w:rPr>
                <w:rFonts w:ascii="宋体" w:hAnsi="宋体" w:eastAsia="宋体" w:cs="宋体"/>
                <w:color w:val="212529"/>
                <w:spacing w:val="4"/>
                <w:sz w:val="15"/>
                <w:szCs w:val="15"/>
              </w:rPr>
              <w:t>88.66</w:t>
            </w:r>
          </w:p>
        </w:tc>
        <w:tc>
          <w:tcPr>
            <w:tcW w:w="1156" w:type="dxa"/>
            <w:vAlign w:val="top"/>
          </w:tcPr>
          <w:p w14:paraId="1B91B204">
            <w:pPr>
              <w:spacing w:before="135" w:line="190" w:lineRule="auto"/>
              <w:ind w:right="22"/>
              <w:jc w:val="right"/>
              <w:rPr>
                <w:rFonts w:ascii="宋体" w:hAnsi="宋体" w:eastAsia="宋体" w:cs="宋体"/>
                <w:sz w:val="15"/>
                <w:szCs w:val="15"/>
              </w:rPr>
            </w:pPr>
            <w:r>
              <w:rPr>
                <w:rFonts w:ascii="宋体" w:hAnsi="宋体" w:eastAsia="宋体" w:cs="宋体"/>
                <w:color w:val="212529"/>
                <w:spacing w:val="4"/>
                <w:sz w:val="15"/>
                <w:szCs w:val="15"/>
              </w:rPr>
              <w:t>88.66</w:t>
            </w:r>
          </w:p>
        </w:tc>
        <w:tc>
          <w:tcPr>
            <w:tcW w:w="918" w:type="dxa"/>
            <w:vAlign w:val="top"/>
          </w:tcPr>
          <w:p w14:paraId="18FD097E">
            <w:pPr>
              <w:pStyle w:val="6"/>
            </w:pPr>
          </w:p>
        </w:tc>
        <w:tc>
          <w:tcPr>
            <w:tcW w:w="1242" w:type="dxa"/>
            <w:vAlign w:val="top"/>
          </w:tcPr>
          <w:p w14:paraId="23F75443">
            <w:pPr>
              <w:pStyle w:val="6"/>
            </w:pPr>
          </w:p>
        </w:tc>
        <w:tc>
          <w:tcPr>
            <w:tcW w:w="1069" w:type="dxa"/>
            <w:vAlign w:val="top"/>
          </w:tcPr>
          <w:p w14:paraId="3801A827">
            <w:pPr>
              <w:pStyle w:val="6"/>
            </w:pPr>
          </w:p>
        </w:tc>
        <w:tc>
          <w:tcPr>
            <w:tcW w:w="848" w:type="dxa"/>
            <w:vAlign w:val="top"/>
          </w:tcPr>
          <w:p w14:paraId="24301648">
            <w:pPr>
              <w:pStyle w:val="6"/>
            </w:pPr>
          </w:p>
        </w:tc>
      </w:tr>
      <w:tr w14:paraId="7D33A2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770" w:type="dxa"/>
            <w:vAlign w:val="top"/>
          </w:tcPr>
          <w:p w14:paraId="3C58E1CD">
            <w:pPr>
              <w:spacing w:before="111" w:line="229" w:lineRule="auto"/>
              <w:ind w:left="171"/>
              <w:rPr>
                <w:rFonts w:ascii="宋体" w:hAnsi="宋体" w:eastAsia="宋体" w:cs="宋体"/>
                <w:sz w:val="15"/>
                <w:szCs w:val="15"/>
              </w:rPr>
            </w:pPr>
            <w:r>
              <w:rPr>
                <w:rFonts w:ascii="宋体" w:hAnsi="宋体" w:eastAsia="宋体" w:cs="宋体"/>
                <w:color w:val="212529"/>
                <w:spacing w:val="8"/>
                <w:sz w:val="15"/>
                <w:szCs w:val="15"/>
              </w:rPr>
              <w:t>2023年绩效工资</w:t>
            </w:r>
          </w:p>
        </w:tc>
        <w:tc>
          <w:tcPr>
            <w:tcW w:w="1155" w:type="dxa"/>
            <w:vAlign w:val="top"/>
          </w:tcPr>
          <w:p w14:paraId="4BB8EBDB">
            <w:pPr>
              <w:spacing w:before="135" w:line="191" w:lineRule="auto"/>
              <w:ind w:left="654"/>
              <w:rPr>
                <w:rFonts w:ascii="宋体" w:hAnsi="宋体" w:eastAsia="宋体" w:cs="宋体"/>
                <w:sz w:val="15"/>
                <w:szCs w:val="15"/>
              </w:rPr>
            </w:pPr>
            <w:r>
              <w:rPr>
                <w:rFonts w:ascii="宋体" w:hAnsi="宋体" w:eastAsia="宋体" w:cs="宋体"/>
                <w:color w:val="212529"/>
                <w:spacing w:val="2"/>
                <w:sz w:val="15"/>
                <w:szCs w:val="15"/>
              </w:rPr>
              <w:t>143.00</w:t>
            </w:r>
          </w:p>
        </w:tc>
        <w:tc>
          <w:tcPr>
            <w:tcW w:w="1156" w:type="dxa"/>
            <w:vAlign w:val="top"/>
          </w:tcPr>
          <w:p w14:paraId="316CDE01">
            <w:pPr>
              <w:spacing w:before="135" w:line="191" w:lineRule="auto"/>
              <w:ind w:right="22"/>
              <w:jc w:val="right"/>
              <w:rPr>
                <w:rFonts w:ascii="宋体" w:hAnsi="宋体" w:eastAsia="宋体" w:cs="宋体"/>
                <w:sz w:val="15"/>
                <w:szCs w:val="15"/>
              </w:rPr>
            </w:pPr>
            <w:r>
              <w:rPr>
                <w:rFonts w:ascii="宋体" w:hAnsi="宋体" w:eastAsia="宋体" w:cs="宋体"/>
                <w:color w:val="212529"/>
                <w:spacing w:val="2"/>
                <w:sz w:val="15"/>
                <w:szCs w:val="15"/>
              </w:rPr>
              <w:t>143.00</w:t>
            </w:r>
          </w:p>
        </w:tc>
        <w:tc>
          <w:tcPr>
            <w:tcW w:w="918" w:type="dxa"/>
            <w:vAlign w:val="top"/>
          </w:tcPr>
          <w:p w14:paraId="0077D668">
            <w:pPr>
              <w:pStyle w:val="6"/>
            </w:pPr>
          </w:p>
        </w:tc>
        <w:tc>
          <w:tcPr>
            <w:tcW w:w="1242" w:type="dxa"/>
            <w:vAlign w:val="top"/>
          </w:tcPr>
          <w:p w14:paraId="3B6F7CAE">
            <w:pPr>
              <w:pStyle w:val="6"/>
            </w:pPr>
          </w:p>
        </w:tc>
        <w:tc>
          <w:tcPr>
            <w:tcW w:w="1069" w:type="dxa"/>
            <w:vAlign w:val="top"/>
          </w:tcPr>
          <w:p w14:paraId="2080EA3A">
            <w:pPr>
              <w:pStyle w:val="6"/>
            </w:pPr>
          </w:p>
        </w:tc>
        <w:tc>
          <w:tcPr>
            <w:tcW w:w="848" w:type="dxa"/>
            <w:vAlign w:val="top"/>
          </w:tcPr>
          <w:p w14:paraId="57AD8077">
            <w:pPr>
              <w:pStyle w:val="6"/>
            </w:pPr>
          </w:p>
        </w:tc>
      </w:tr>
      <w:tr w14:paraId="3A8C62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70" w:type="dxa"/>
            <w:vAlign w:val="top"/>
          </w:tcPr>
          <w:p w14:paraId="478E1484">
            <w:pPr>
              <w:spacing w:before="26" w:line="211" w:lineRule="auto"/>
              <w:ind w:left="12" w:right="168" w:firstLine="157"/>
              <w:rPr>
                <w:rFonts w:ascii="宋体" w:hAnsi="宋体" w:eastAsia="宋体" w:cs="宋体"/>
                <w:sz w:val="15"/>
                <w:szCs w:val="15"/>
              </w:rPr>
            </w:pPr>
            <w:r>
              <w:rPr>
                <w:rFonts w:ascii="宋体" w:hAnsi="宋体" w:eastAsia="宋体" w:cs="宋体"/>
                <w:color w:val="212529"/>
                <w:spacing w:val="11"/>
                <w:sz w:val="15"/>
                <w:szCs w:val="15"/>
              </w:rPr>
              <w:t>绿化、安全员、非公党委、固投人</w:t>
            </w:r>
            <w:r>
              <w:rPr>
                <w:rFonts w:ascii="宋体" w:hAnsi="宋体" w:eastAsia="宋体" w:cs="宋体"/>
                <w:color w:val="212529"/>
                <w:spacing w:val="5"/>
                <w:sz w:val="15"/>
                <w:szCs w:val="15"/>
              </w:rPr>
              <w:t xml:space="preserve"> </w:t>
            </w:r>
            <w:r>
              <w:rPr>
                <w:rFonts w:ascii="宋体" w:hAnsi="宋体" w:eastAsia="宋体" w:cs="宋体"/>
                <w:color w:val="212529"/>
                <w:spacing w:val="10"/>
                <w:sz w:val="15"/>
                <w:szCs w:val="15"/>
              </w:rPr>
              <w:t>员及工作经费项目</w:t>
            </w:r>
          </w:p>
        </w:tc>
        <w:tc>
          <w:tcPr>
            <w:tcW w:w="1155" w:type="dxa"/>
            <w:vAlign w:val="top"/>
          </w:tcPr>
          <w:p w14:paraId="4E054ADD">
            <w:pPr>
              <w:spacing w:before="136" w:line="191" w:lineRule="auto"/>
              <w:ind w:left="727"/>
              <w:rPr>
                <w:rFonts w:ascii="宋体" w:hAnsi="宋体" w:eastAsia="宋体" w:cs="宋体"/>
                <w:sz w:val="15"/>
                <w:szCs w:val="15"/>
              </w:rPr>
            </w:pPr>
            <w:r>
              <w:rPr>
                <w:rFonts w:ascii="宋体" w:hAnsi="宋体" w:eastAsia="宋体" w:cs="宋体"/>
                <w:color w:val="212529"/>
                <w:spacing w:val="3"/>
                <w:sz w:val="15"/>
                <w:szCs w:val="15"/>
              </w:rPr>
              <w:t>70.81</w:t>
            </w:r>
          </w:p>
        </w:tc>
        <w:tc>
          <w:tcPr>
            <w:tcW w:w="1156" w:type="dxa"/>
            <w:vAlign w:val="top"/>
          </w:tcPr>
          <w:p w14:paraId="445D1EFB">
            <w:pPr>
              <w:spacing w:before="136" w:line="191" w:lineRule="auto"/>
              <w:ind w:right="22"/>
              <w:jc w:val="right"/>
              <w:rPr>
                <w:rFonts w:ascii="宋体" w:hAnsi="宋体" w:eastAsia="宋体" w:cs="宋体"/>
                <w:sz w:val="15"/>
                <w:szCs w:val="15"/>
              </w:rPr>
            </w:pPr>
            <w:r>
              <w:rPr>
                <w:rFonts w:ascii="宋体" w:hAnsi="宋体" w:eastAsia="宋体" w:cs="宋体"/>
                <w:color w:val="212529"/>
                <w:spacing w:val="3"/>
                <w:sz w:val="15"/>
                <w:szCs w:val="15"/>
              </w:rPr>
              <w:t>70.81</w:t>
            </w:r>
          </w:p>
        </w:tc>
        <w:tc>
          <w:tcPr>
            <w:tcW w:w="918" w:type="dxa"/>
            <w:vAlign w:val="top"/>
          </w:tcPr>
          <w:p w14:paraId="764279ED">
            <w:pPr>
              <w:pStyle w:val="6"/>
            </w:pPr>
          </w:p>
        </w:tc>
        <w:tc>
          <w:tcPr>
            <w:tcW w:w="1242" w:type="dxa"/>
            <w:vAlign w:val="top"/>
          </w:tcPr>
          <w:p w14:paraId="73320869">
            <w:pPr>
              <w:pStyle w:val="6"/>
            </w:pPr>
          </w:p>
        </w:tc>
        <w:tc>
          <w:tcPr>
            <w:tcW w:w="1069" w:type="dxa"/>
            <w:vAlign w:val="top"/>
          </w:tcPr>
          <w:p w14:paraId="3580AC20">
            <w:pPr>
              <w:pStyle w:val="6"/>
            </w:pPr>
          </w:p>
        </w:tc>
        <w:tc>
          <w:tcPr>
            <w:tcW w:w="848" w:type="dxa"/>
            <w:vAlign w:val="top"/>
          </w:tcPr>
          <w:p w14:paraId="39A87052">
            <w:pPr>
              <w:pStyle w:val="6"/>
            </w:pPr>
          </w:p>
        </w:tc>
      </w:tr>
      <w:tr w14:paraId="41E63F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70" w:type="dxa"/>
            <w:vAlign w:val="top"/>
          </w:tcPr>
          <w:p w14:paraId="00CE0E74">
            <w:pPr>
              <w:spacing w:before="112" w:line="230" w:lineRule="auto"/>
              <w:ind w:left="168"/>
              <w:rPr>
                <w:rFonts w:ascii="宋体" w:hAnsi="宋体" w:eastAsia="宋体" w:cs="宋体"/>
                <w:sz w:val="15"/>
                <w:szCs w:val="15"/>
              </w:rPr>
            </w:pPr>
            <w:r>
              <w:rPr>
                <w:rFonts w:ascii="宋体" w:hAnsi="宋体" w:eastAsia="宋体" w:cs="宋体"/>
                <w:color w:val="212529"/>
                <w:spacing w:val="10"/>
                <w:sz w:val="15"/>
                <w:szCs w:val="15"/>
              </w:rPr>
              <w:t>春节慰问品</w:t>
            </w:r>
          </w:p>
        </w:tc>
        <w:tc>
          <w:tcPr>
            <w:tcW w:w="1155" w:type="dxa"/>
            <w:vAlign w:val="top"/>
          </w:tcPr>
          <w:p w14:paraId="4A876F4E">
            <w:pPr>
              <w:spacing w:before="136" w:line="191" w:lineRule="auto"/>
              <w:ind w:left="735"/>
              <w:rPr>
                <w:rFonts w:ascii="宋体" w:hAnsi="宋体" w:eastAsia="宋体" w:cs="宋体"/>
                <w:sz w:val="15"/>
                <w:szCs w:val="15"/>
              </w:rPr>
            </w:pPr>
            <w:r>
              <w:rPr>
                <w:rFonts w:ascii="宋体" w:hAnsi="宋体" w:eastAsia="宋体" w:cs="宋体"/>
                <w:color w:val="212529"/>
                <w:spacing w:val="2"/>
                <w:sz w:val="15"/>
                <w:szCs w:val="15"/>
              </w:rPr>
              <w:t>16.00</w:t>
            </w:r>
          </w:p>
        </w:tc>
        <w:tc>
          <w:tcPr>
            <w:tcW w:w="1156" w:type="dxa"/>
            <w:vAlign w:val="top"/>
          </w:tcPr>
          <w:p w14:paraId="324A682B">
            <w:pPr>
              <w:spacing w:before="136" w:line="191" w:lineRule="auto"/>
              <w:ind w:right="22"/>
              <w:jc w:val="right"/>
              <w:rPr>
                <w:rFonts w:ascii="宋体" w:hAnsi="宋体" w:eastAsia="宋体" w:cs="宋体"/>
                <w:sz w:val="15"/>
                <w:szCs w:val="15"/>
              </w:rPr>
            </w:pPr>
            <w:r>
              <w:rPr>
                <w:rFonts w:ascii="宋体" w:hAnsi="宋体" w:eastAsia="宋体" w:cs="宋体"/>
                <w:color w:val="212529"/>
                <w:spacing w:val="2"/>
                <w:sz w:val="15"/>
                <w:szCs w:val="15"/>
              </w:rPr>
              <w:t>16.00</w:t>
            </w:r>
          </w:p>
        </w:tc>
        <w:tc>
          <w:tcPr>
            <w:tcW w:w="918" w:type="dxa"/>
            <w:vAlign w:val="top"/>
          </w:tcPr>
          <w:p w14:paraId="3F882ACB">
            <w:pPr>
              <w:pStyle w:val="6"/>
            </w:pPr>
          </w:p>
        </w:tc>
        <w:tc>
          <w:tcPr>
            <w:tcW w:w="1242" w:type="dxa"/>
            <w:vAlign w:val="top"/>
          </w:tcPr>
          <w:p w14:paraId="5CBF543F">
            <w:pPr>
              <w:pStyle w:val="6"/>
            </w:pPr>
          </w:p>
        </w:tc>
        <w:tc>
          <w:tcPr>
            <w:tcW w:w="1069" w:type="dxa"/>
            <w:vAlign w:val="top"/>
          </w:tcPr>
          <w:p w14:paraId="26E9D87A">
            <w:pPr>
              <w:pStyle w:val="6"/>
            </w:pPr>
          </w:p>
        </w:tc>
        <w:tc>
          <w:tcPr>
            <w:tcW w:w="848" w:type="dxa"/>
            <w:vAlign w:val="top"/>
          </w:tcPr>
          <w:p w14:paraId="18C1A1F9">
            <w:pPr>
              <w:pStyle w:val="6"/>
            </w:pPr>
          </w:p>
        </w:tc>
      </w:tr>
      <w:tr w14:paraId="539F52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70" w:type="dxa"/>
            <w:vAlign w:val="top"/>
          </w:tcPr>
          <w:p w14:paraId="2B13A690">
            <w:pPr>
              <w:spacing w:before="112" w:line="230" w:lineRule="auto"/>
              <w:ind w:left="169"/>
              <w:rPr>
                <w:rFonts w:ascii="宋体" w:hAnsi="宋体" w:eastAsia="宋体" w:cs="宋体"/>
                <w:sz w:val="15"/>
                <w:szCs w:val="15"/>
              </w:rPr>
            </w:pPr>
            <w:r>
              <w:rPr>
                <w:rFonts w:ascii="宋体" w:hAnsi="宋体" w:eastAsia="宋体" w:cs="宋体"/>
                <w:color w:val="212529"/>
                <w:spacing w:val="10"/>
                <w:sz w:val="15"/>
                <w:szCs w:val="15"/>
              </w:rPr>
              <w:t>两节彩灯安装</w:t>
            </w:r>
          </w:p>
        </w:tc>
        <w:tc>
          <w:tcPr>
            <w:tcW w:w="1155" w:type="dxa"/>
            <w:vAlign w:val="top"/>
          </w:tcPr>
          <w:p w14:paraId="19F6B3AF">
            <w:pPr>
              <w:spacing w:before="137" w:line="190" w:lineRule="auto"/>
              <w:ind w:left="725"/>
              <w:rPr>
                <w:rFonts w:ascii="宋体" w:hAnsi="宋体" w:eastAsia="宋体" w:cs="宋体"/>
                <w:sz w:val="15"/>
                <w:szCs w:val="15"/>
              </w:rPr>
            </w:pPr>
            <w:r>
              <w:rPr>
                <w:rFonts w:ascii="宋体" w:hAnsi="宋体" w:eastAsia="宋体" w:cs="宋体"/>
                <w:color w:val="212529"/>
                <w:spacing w:val="4"/>
                <w:sz w:val="15"/>
                <w:szCs w:val="15"/>
              </w:rPr>
              <w:t>25.00</w:t>
            </w:r>
          </w:p>
        </w:tc>
        <w:tc>
          <w:tcPr>
            <w:tcW w:w="1156" w:type="dxa"/>
            <w:vAlign w:val="top"/>
          </w:tcPr>
          <w:p w14:paraId="2FF0E46A">
            <w:pPr>
              <w:spacing w:before="137" w:line="190" w:lineRule="auto"/>
              <w:ind w:right="22"/>
              <w:jc w:val="right"/>
              <w:rPr>
                <w:rFonts w:ascii="宋体" w:hAnsi="宋体" w:eastAsia="宋体" w:cs="宋体"/>
                <w:sz w:val="15"/>
                <w:szCs w:val="15"/>
              </w:rPr>
            </w:pPr>
            <w:r>
              <w:rPr>
                <w:rFonts w:ascii="宋体" w:hAnsi="宋体" w:eastAsia="宋体" w:cs="宋体"/>
                <w:color w:val="212529"/>
                <w:spacing w:val="4"/>
                <w:sz w:val="15"/>
                <w:szCs w:val="15"/>
              </w:rPr>
              <w:t>25.00</w:t>
            </w:r>
          </w:p>
        </w:tc>
        <w:tc>
          <w:tcPr>
            <w:tcW w:w="918" w:type="dxa"/>
            <w:vAlign w:val="top"/>
          </w:tcPr>
          <w:p w14:paraId="3AD6CD60">
            <w:pPr>
              <w:pStyle w:val="6"/>
            </w:pPr>
          </w:p>
        </w:tc>
        <w:tc>
          <w:tcPr>
            <w:tcW w:w="1242" w:type="dxa"/>
            <w:vAlign w:val="top"/>
          </w:tcPr>
          <w:p w14:paraId="04028584">
            <w:pPr>
              <w:pStyle w:val="6"/>
            </w:pPr>
          </w:p>
        </w:tc>
        <w:tc>
          <w:tcPr>
            <w:tcW w:w="1069" w:type="dxa"/>
            <w:vAlign w:val="top"/>
          </w:tcPr>
          <w:p w14:paraId="6A86C904">
            <w:pPr>
              <w:pStyle w:val="6"/>
            </w:pPr>
          </w:p>
        </w:tc>
        <w:tc>
          <w:tcPr>
            <w:tcW w:w="848" w:type="dxa"/>
            <w:vAlign w:val="top"/>
          </w:tcPr>
          <w:p w14:paraId="080EBA31">
            <w:pPr>
              <w:pStyle w:val="6"/>
            </w:pPr>
          </w:p>
        </w:tc>
      </w:tr>
      <w:tr w14:paraId="65CFD1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770" w:type="dxa"/>
            <w:vAlign w:val="top"/>
          </w:tcPr>
          <w:p w14:paraId="049AAC6E">
            <w:pPr>
              <w:spacing w:before="113" w:line="230" w:lineRule="auto"/>
              <w:ind w:left="169"/>
              <w:rPr>
                <w:rFonts w:ascii="宋体" w:hAnsi="宋体" w:eastAsia="宋体" w:cs="宋体"/>
                <w:sz w:val="15"/>
                <w:szCs w:val="15"/>
              </w:rPr>
            </w:pPr>
            <w:r>
              <w:rPr>
                <w:rFonts w:ascii="宋体" w:hAnsi="宋体" w:eastAsia="宋体" w:cs="宋体"/>
                <w:color w:val="212529"/>
                <w:spacing w:val="10"/>
                <w:sz w:val="15"/>
                <w:szCs w:val="15"/>
              </w:rPr>
              <w:t>招商引资经费</w:t>
            </w:r>
          </w:p>
        </w:tc>
        <w:tc>
          <w:tcPr>
            <w:tcW w:w="1155" w:type="dxa"/>
            <w:vAlign w:val="top"/>
          </w:tcPr>
          <w:p w14:paraId="6138BD83">
            <w:pPr>
              <w:spacing w:before="138" w:line="190" w:lineRule="auto"/>
              <w:ind w:left="808"/>
              <w:rPr>
                <w:rFonts w:ascii="宋体" w:hAnsi="宋体" w:eastAsia="宋体" w:cs="宋体"/>
                <w:sz w:val="15"/>
                <w:szCs w:val="15"/>
              </w:rPr>
            </w:pPr>
            <w:r>
              <w:rPr>
                <w:rFonts w:ascii="宋体" w:hAnsi="宋体" w:eastAsia="宋体" w:cs="宋体"/>
                <w:color w:val="212529"/>
                <w:spacing w:val="3"/>
                <w:sz w:val="15"/>
                <w:szCs w:val="15"/>
              </w:rPr>
              <w:t>5.00</w:t>
            </w:r>
          </w:p>
        </w:tc>
        <w:tc>
          <w:tcPr>
            <w:tcW w:w="1156" w:type="dxa"/>
            <w:vAlign w:val="top"/>
          </w:tcPr>
          <w:p w14:paraId="08A505A5">
            <w:pPr>
              <w:spacing w:before="138" w:line="190" w:lineRule="auto"/>
              <w:ind w:right="22"/>
              <w:jc w:val="right"/>
              <w:rPr>
                <w:rFonts w:ascii="宋体" w:hAnsi="宋体" w:eastAsia="宋体" w:cs="宋体"/>
                <w:sz w:val="15"/>
                <w:szCs w:val="15"/>
              </w:rPr>
            </w:pPr>
            <w:r>
              <w:rPr>
                <w:rFonts w:ascii="宋体" w:hAnsi="宋体" w:eastAsia="宋体" w:cs="宋体"/>
                <w:color w:val="212529"/>
                <w:spacing w:val="3"/>
                <w:sz w:val="15"/>
                <w:szCs w:val="15"/>
              </w:rPr>
              <w:t>5.00</w:t>
            </w:r>
          </w:p>
        </w:tc>
        <w:tc>
          <w:tcPr>
            <w:tcW w:w="918" w:type="dxa"/>
            <w:vAlign w:val="top"/>
          </w:tcPr>
          <w:p w14:paraId="3391CCDD">
            <w:pPr>
              <w:pStyle w:val="6"/>
            </w:pPr>
          </w:p>
        </w:tc>
        <w:tc>
          <w:tcPr>
            <w:tcW w:w="1242" w:type="dxa"/>
            <w:vAlign w:val="top"/>
          </w:tcPr>
          <w:p w14:paraId="29ED4142">
            <w:pPr>
              <w:pStyle w:val="6"/>
            </w:pPr>
          </w:p>
        </w:tc>
        <w:tc>
          <w:tcPr>
            <w:tcW w:w="1069" w:type="dxa"/>
            <w:vAlign w:val="top"/>
          </w:tcPr>
          <w:p w14:paraId="31898C86">
            <w:pPr>
              <w:pStyle w:val="6"/>
            </w:pPr>
          </w:p>
        </w:tc>
        <w:tc>
          <w:tcPr>
            <w:tcW w:w="848" w:type="dxa"/>
            <w:vAlign w:val="top"/>
          </w:tcPr>
          <w:p w14:paraId="6C8A4EAB">
            <w:pPr>
              <w:pStyle w:val="6"/>
            </w:pPr>
          </w:p>
        </w:tc>
      </w:tr>
      <w:tr w14:paraId="444D87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70" w:type="dxa"/>
            <w:vAlign w:val="top"/>
          </w:tcPr>
          <w:p w14:paraId="436F1828">
            <w:pPr>
              <w:spacing w:before="114" w:line="230" w:lineRule="auto"/>
              <w:ind w:left="172"/>
              <w:rPr>
                <w:rFonts w:ascii="宋体" w:hAnsi="宋体" w:eastAsia="宋体" w:cs="宋体"/>
                <w:sz w:val="15"/>
                <w:szCs w:val="15"/>
              </w:rPr>
            </w:pPr>
            <w:r>
              <w:rPr>
                <w:rFonts w:ascii="宋体" w:hAnsi="宋体" w:eastAsia="宋体" w:cs="宋体"/>
                <w:color w:val="212529"/>
                <w:spacing w:val="9"/>
                <w:sz w:val="15"/>
                <w:szCs w:val="15"/>
              </w:rPr>
              <w:t>安全员工资</w:t>
            </w:r>
          </w:p>
        </w:tc>
        <w:tc>
          <w:tcPr>
            <w:tcW w:w="1155" w:type="dxa"/>
            <w:vAlign w:val="top"/>
          </w:tcPr>
          <w:p w14:paraId="32176A4D">
            <w:pPr>
              <w:spacing w:before="139" w:line="190" w:lineRule="auto"/>
              <w:ind w:left="808"/>
              <w:rPr>
                <w:rFonts w:ascii="宋体" w:hAnsi="宋体" w:eastAsia="宋体" w:cs="宋体"/>
                <w:sz w:val="15"/>
                <w:szCs w:val="15"/>
              </w:rPr>
            </w:pPr>
            <w:r>
              <w:rPr>
                <w:rFonts w:ascii="宋体" w:hAnsi="宋体" w:eastAsia="宋体" w:cs="宋体"/>
                <w:color w:val="212529"/>
                <w:spacing w:val="3"/>
                <w:sz w:val="15"/>
                <w:szCs w:val="15"/>
              </w:rPr>
              <w:t>3.60</w:t>
            </w:r>
          </w:p>
        </w:tc>
        <w:tc>
          <w:tcPr>
            <w:tcW w:w="1156" w:type="dxa"/>
            <w:vAlign w:val="top"/>
          </w:tcPr>
          <w:p w14:paraId="5D6329F4">
            <w:pPr>
              <w:spacing w:before="139" w:line="190" w:lineRule="auto"/>
              <w:ind w:right="22"/>
              <w:jc w:val="right"/>
              <w:rPr>
                <w:rFonts w:ascii="宋体" w:hAnsi="宋体" w:eastAsia="宋体" w:cs="宋体"/>
                <w:sz w:val="15"/>
                <w:szCs w:val="15"/>
              </w:rPr>
            </w:pPr>
            <w:r>
              <w:rPr>
                <w:rFonts w:ascii="宋体" w:hAnsi="宋体" w:eastAsia="宋体" w:cs="宋体"/>
                <w:color w:val="212529"/>
                <w:spacing w:val="3"/>
                <w:sz w:val="15"/>
                <w:szCs w:val="15"/>
              </w:rPr>
              <w:t>3.60</w:t>
            </w:r>
          </w:p>
        </w:tc>
        <w:tc>
          <w:tcPr>
            <w:tcW w:w="918" w:type="dxa"/>
            <w:vAlign w:val="top"/>
          </w:tcPr>
          <w:p w14:paraId="5ECEFCA4">
            <w:pPr>
              <w:pStyle w:val="6"/>
            </w:pPr>
          </w:p>
        </w:tc>
        <w:tc>
          <w:tcPr>
            <w:tcW w:w="1242" w:type="dxa"/>
            <w:vAlign w:val="top"/>
          </w:tcPr>
          <w:p w14:paraId="42E7F91D">
            <w:pPr>
              <w:pStyle w:val="6"/>
            </w:pPr>
          </w:p>
        </w:tc>
        <w:tc>
          <w:tcPr>
            <w:tcW w:w="1069" w:type="dxa"/>
            <w:vAlign w:val="top"/>
          </w:tcPr>
          <w:p w14:paraId="32CF19D7">
            <w:pPr>
              <w:pStyle w:val="6"/>
            </w:pPr>
          </w:p>
        </w:tc>
        <w:tc>
          <w:tcPr>
            <w:tcW w:w="848" w:type="dxa"/>
            <w:vAlign w:val="top"/>
          </w:tcPr>
          <w:p w14:paraId="04E78AD4">
            <w:pPr>
              <w:pStyle w:val="6"/>
            </w:pPr>
          </w:p>
        </w:tc>
      </w:tr>
      <w:tr w14:paraId="79F8F9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70" w:type="dxa"/>
            <w:vAlign w:val="top"/>
          </w:tcPr>
          <w:p w14:paraId="297374CF">
            <w:pPr>
              <w:spacing w:before="114" w:line="229" w:lineRule="auto"/>
              <w:ind w:left="171"/>
              <w:rPr>
                <w:rFonts w:ascii="宋体" w:hAnsi="宋体" w:eastAsia="宋体" w:cs="宋体"/>
                <w:sz w:val="15"/>
                <w:szCs w:val="15"/>
              </w:rPr>
            </w:pPr>
            <w:r>
              <w:rPr>
                <w:rFonts w:ascii="宋体" w:hAnsi="宋体" w:eastAsia="宋体" w:cs="宋体"/>
                <w:color w:val="212529"/>
                <w:spacing w:val="10"/>
                <w:sz w:val="15"/>
                <w:szCs w:val="15"/>
              </w:rPr>
              <w:t>漳泽园区办公经费</w:t>
            </w:r>
          </w:p>
        </w:tc>
        <w:tc>
          <w:tcPr>
            <w:tcW w:w="1155" w:type="dxa"/>
            <w:vAlign w:val="top"/>
          </w:tcPr>
          <w:p w14:paraId="4B467A23">
            <w:pPr>
              <w:spacing w:before="138" w:line="191" w:lineRule="auto"/>
              <w:ind w:left="735"/>
              <w:rPr>
                <w:rFonts w:ascii="宋体" w:hAnsi="宋体" w:eastAsia="宋体" w:cs="宋体"/>
                <w:sz w:val="15"/>
                <w:szCs w:val="15"/>
              </w:rPr>
            </w:pPr>
            <w:r>
              <w:rPr>
                <w:rFonts w:ascii="宋体" w:hAnsi="宋体" w:eastAsia="宋体" w:cs="宋体"/>
                <w:color w:val="212529"/>
                <w:spacing w:val="2"/>
                <w:sz w:val="15"/>
                <w:szCs w:val="15"/>
              </w:rPr>
              <w:t>10.00</w:t>
            </w:r>
          </w:p>
        </w:tc>
        <w:tc>
          <w:tcPr>
            <w:tcW w:w="1156" w:type="dxa"/>
            <w:vAlign w:val="top"/>
          </w:tcPr>
          <w:p w14:paraId="40E3DE55">
            <w:pPr>
              <w:spacing w:before="138" w:line="191" w:lineRule="auto"/>
              <w:ind w:right="22"/>
              <w:jc w:val="right"/>
              <w:rPr>
                <w:rFonts w:ascii="宋体" w:hAnsi="宋体" w:eastAsia="宋体" w:cs="宋体"/>
                <w:sz w:val="15"/>
                <w:szCs w:val="15"/>
              </w:rPr>
            </w:pPr>
            <w:r>
              <w:rPr>
                <w:rFonts w:ascii="宋体" w:hAnsi="宋体" w:eastAsia="宋体" w:cs="宋体"/>
                <w:color w:val="212529"/>
                <w:spacing w:val="2"/>
                <w:sz w:val="15"/>
                <w:szCs w:val="15"/>
              </w:rPr>
              <w:t>10.00</w:t>
            </w:r>
          </w:p>
        </w:tc>
        <w:tc>
          <w:tcPr>
            <w:tcW w:w="918" w:type="dxa"/>
            <w:vAlign w:val="top"/>
          </w:tcPr>
          <w:p w14:paraId="6F0AEA78">
            <w:pPr>
              <w:pStyle w:val="6"/>
            </w:pPr>
          </w:p>
        </w:tc>
        <w:tc>
          <w:tcPr>
            <w:tcW w:w="1242" w:type="dxa"/>
            <w:vAlign w:val="top"/>
          </w:tcPr>
          <w:p w14:paraId="24FD13A2">
            <w:pPr>
              <w:pStyle w:val="6"/>
            </w:pPr>
          </w:p>
        </w:tc>
        <w:tc>
          <w:tcPr>
            <w:tcW w:w="1069" w:type="dxa"/>
            <w:vAlign w:val="top"/>
          </w:tcPr>
          <w:p w14:paraId="03590105">
            <w:pPr>
              <w:pStyle w:val="6"/>
            </w:pPr>
          </w:p>
        </w:tc>
        <w:tc>
          <w:tcPr>
            <w:tcW w:w="848" w:type="dxa"/>
            <w:vAlign w:val="top"/>
          </w:tcPr>
          <w:p w14:paraId="337D586F">
            <w:pPr>
              <w:pStyle w:val="6"/>
            </w:pPr>
          </w:p>
        </w:tc>
      </w:tr>
      <w:tr w14:paraId="11773B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770" w:type="dxa"/>
            <w:vAlign w:val="top"/>
          </w:tcPr>
          <w:p w14:paraId="65CAB7F2">
            <w:pPr>
              <w:spacing w:before="115" w:line="229" w:lineRule="auto"/>
              <w:ind w:left="169"/>
              <w:rPr>
                <w:rFonts w:ascii="宋体" w:hAnsi="宋体" w:eastAsia="宋体" w:cs="宋体"/>
                <w:sz w:val="15"/>
                <w:szCs w:val="15"/>
              </w:rPr>
            </w:pPr>
            <w:r>
              <w:rPr>
                <w:rFonts w:ascii="宋体" w:hAnsi="宋体" w:eastAsia="宋体" w:cs="宋体"/>
                <w:color w:val="212529"/>
                <w:spacing w:val="11"/>
                <w:sz w:val="15"/>
                <w:szCs w:val="15"/>
              </w:rPr>
              <w:t>党群活动中心办公经费</w:t>
            </w:r>
          </w:p>
        </w:tc>
        <w:tc>
          <w:tcPr>
            <w:tcW w:w="1155" w:type="dxa"/>
            <w:vAlign w:val="top"/>
          </w:tcPr>
          <w:p w14:paraId="65898C45">
            <w:pPr>
              <w:spacing w:before="139" w:line="190" w:lineRule="auto"/>
              <w:ind w:left="808"/>
              <w:rPr>
                <w:rFonts w:ascii="宋体" w:hAnsi="宋体" w:eastAsia="宋体" w:cs="宋体"/>
                <w:sz w:val="15"/>
                <w:szCs w:val="15"/>
              </w:rPr>
            </w:pPr>
            <w:r>
              <w:rPr>
                <w:rFonts w:ascii="宋体" w:hAnsi="宋体" w:eastAsia="宋体" w:cs="宋体"/>
                <w:color w:val="212529"/>
                <w:spacing w:val="3"/>
                <w:sz w:val="15"/>
                <w:szCs w:val="15"/>
              </w:rPr>
              <w:t>3.00</w:t>
            </w:r>
          </w:p>
        </w:tc>
        <w:tc>
          <w:tcPr>
            <w:tcW w:w="1156" w:type="dxa"/>
            <w:vAlign w:val="top"/>
          </w:tcPr>
          <w:p w14:paraId="57B324C6">
            <w:pPr>
              <w:spacing w:before="139" w:line="190" w:lineRule="auto"/>
              <w:ind w:right="22"/>
              <w:jc w:val="right"/>
              <w:rPr>
                <w:rFonts w:ascii="宋体" w:hAnsi="宋体" w:eastAsia="宋体" w:cs="宋体"/>
                <w:sz w:val="15"/>
                <w:szCs w:val="15"/>
              </w:rPr>
            </w:pPr>
            <w:r>
              <w:rPr>
                <w:rFonts w:ascii="宋体" w:hAnsi="宋体" w:eastAsia="宋体" w:cs="宋体"/>
                <w:color w:val="212529"/>
                <w:spacing w:val="3"/>
                <w:sz w:val="15"/>
                <w:szCs w:val="15"/>
              </w:rPr>
              <w:t>3.00</w:t>
            </w:r>
          </w:p>
        </w:tc>
        <w:tc>
          <w:tcPr>
            <w:tcW w:w="918" w:type="dxa"/>
            <w:vAlign w:val="top"/>
          </w:tcPr>
          <w:p w14:paraId="5796ED52">
            <w:pPr>
              <w:pStyle w:val="6"/>
            </w:pPr>
          </w:p>
        </w:tc>
        <w:tc>
          <w:tcPr>
            <w:tcW w:w="1242" w:type="dxa"/>
            <w:vAlign w:val="top"/>
          </w:tcPr>
          <w:p w14:paraId="36464B32">
            <w:pPr>
              <w:pStyle w:val="6"/>
            </w:pPr>
          </w:p>
        </w:tc>
        <w:tc>
          <w:tcPr>
            <w:tcW w:w="1069" w:type="dxa"/>
            <w:vAlign w:val="top"/>
          </w:tcPr>
          <w:p w14:paraId="1939EB66">
            <w:pPr>
              <w:pStyle w:val="6"/>
            </w:pPr>
          </w:p>
        </w:tc>
        <w:tc>
          <w:tcPr>
            <w:tcW w:w="848" w:type="dxa"/>
            <w:vAlign w:val="top"/>
          </w:tcPr>
          <w:p w14:paraId="083A65EA">
            <w:pPr>
              <w:pStyle w:val="6"/>
            </w:pPr>
          </w:p>
        </w:tc>
      </w:tr>
      <w:tr w14:paraId="102F9F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70" w:type="dxa"/>
            <w:vAlign w:val="top"/>
          </w:tcPr>
          <w:p w14:paraId="0234E90B">
            <w:pPr>
              <w:spacing w:before="116" w:line="229" w:lineRule="auto"/>
              <w:ind w:left="169"/>
              <w:rPr>
                <w:rFonts w:ascii="宋体" w:hAnsi="宋体" w:eastAsia="宋体" w:cs="宋体"/>
                <w:sz w:val="15"/>
                <w:szCs w:val="15"/>
              </w:rPr>
            </w:pPr>
            <w:r>
              <w:rPr>
                <w:rFonts w:ascii="宋体" w:hAnsi="宋体" w:eastAsia="宋体" w:cs="宋体"/>
                <w:color w:val="212529"/>
                <w:spacing w:val="10"/>
                <w:sz w:val="15"/>
                <w:szCs w:val="15"/>
              </w:rPr>
              <w:t>党群活动中心水费</w:t>
            </w:r>
          </w:p>
        </w:tc>
        <w:tc>
          <w:tcPr>
            <w:tcW w:w="1155" w:type="dxa"/>
            <w:vAlign w:val="top"/>
          </w:tcPr>
          <w:p w14:paraId="2A360018">
            <w:pPr>
              <w:spacing w:before="140" w:line="191" w:lineRule="auto"/>
              <w:ind w:left="816"/>
              <w:rPr>
                <w:rFonts w:ascii="宋体" w:hAnsi="宋体" w:eastAsia="宋体" w:cs="宋体"/>
                <w:sz w:val="15"/>
                <w:szCs w:val="15"/>
              </w:rPr>
            </w:pPr>
            <w:r>
              <w:rPr>
                <w:rFonts w:ascii="宋体" w:hAnsi="宋体" w:eastAsia="宋体" w:cs="宋体"/>
                <w:color w:val="212529"/>
                <w:spacing w:val="1"/>
                <w:sz w:val="15"/>
                <w:szCs w:val="15"/>
              </w:rPr>
              <w:t>1.00</w:t>
            </w:r>
          </w:p>
        </w:tc>
        <w:tc>
          <w:tcPr>
            <w:tcW w:w="1156" w:type="dxa"/>
            <w:vAlign w:val="top"/>
          </w:tcPr>
          <w:p w14:paraId="58E812B0">
            <w:pPr>
              <w:spacing w:before="140" w:line="191" w:lineRule="auto"/>
              <w:ind w:right="22"/>
              <w:jc w:val="right"/>
              <w:rPr>
                <w:rFonts w:ascii="宋体" w:hAnsi="宋体" w:eastAsia="宋体" w:cs="宋体"/>
                <w:sz w:val="15"/>
                <w:szCs w:val="15"/>
              </w:rPr>
            </w:pPr>
            <w:r>
              <w:rPr>
                <w:rFonts w:ascii="宋体" w:hAnsi="宋体" w:eastAsia="宋体" w:cs="宋体"/>
                <w:color w:val="212529"/>
                <w:spacing w:val="1"/>
                <w:sz w:val="15"/>
                <w:szCs w:val="15"/>
              </w:rPr>
              <w:t>1.00</w:t>
            </w:r>
          </w:p>
        </w:tc>
        <w:tc>
          <w:tcPr>
            <w:tcW w:w="918" w:type="dxa"/>
            <w:vAlign w:val="top"/>
          </w:tcPr>
          <w:p w14:paraId="0ECA955F">
            <w:pPr>
              <w:pStyle w:val="6"/>
            </w:pPr>
          </w:p>
        </w:tc>
        <w:tc>
          <w:tcPr>
            <w:tcW w:w="1242" w:type="dxa"/>
            <w:vAlign w:val="top"/>
          </w:tcPr>
          <w:p w14:paraId="0E1448CB">
            <w:pPr>
              <w:pStyle w:val="6"/>
            </w:pPr>
          </w:p>
        </w:tc>
        <w:tc>
          <w:tcPr>
            <w:tcW w:w="1069" w:type="dxa"/>
            <w:vAlign w:val="top"/>
          </w:tcPr>
          <w:p w14:paraId="5C9994C4">
            <w:pPr>
              <w:pStyle w:val="6"/>
            </w:pPr>
          </w:p>
        </w:tc>
        <w:tc>
          <w:tcPr>
            <w:tcW w:w="848" w:type="dxa"/>
            <w:vAlign w:val="top"/>
          </w:tcPr>
          <w:p w14:paraId="6EA62FA3">
            <w:pPr>
              <w:pStyle w:val="6"/>
            </w:pPr>
          </w:p>
        </w:tc>
      </w:tr>
      <w:tr w14:paraId="541C04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70" w:type="dxa"/>
            <w:vAlign w:val="top"/>
          </w:tcPr>
          <w:p w14:paraId="56B7ADCB">
            <w:pPr>
              <w:spacing w:before="116" w:line="229" w:lineRule="auto"/>
              <w:ind w:left="169"/>
              <w:rPr>
                <w:rFonts w:ascii="宋体" w:hAnsi="宋体" w:eastAsia="宋体" w:cs="宋体"/>
                <w:sz w:val="15"/>
                <w:szCs w:val="15"/>
              </w:rPr>
            </w:pPr>
            <w:r>
              <w:rPr>
                <w:rFonts w:ascii="宋体" w:hAnsi="宋体" w:eastAsia="宋体" w:cs="宋体"/>
                <w:color w:val="212529"/>
                <w:spacing w:val="10"/>
                <w:sz w:val="15"/>
                <w:szCs w:val="15"/>
              </w:rPr>
              <w:t>党群活动中心电费</w:t>
            </w:r>
          </w:p>
        </w:tc>
        <w:tc>
          <w:tcPr>
            <w:tcW w:w="1155" w:type="dxa"/>
            <w:vAlign w:val="top"/>
          </w:tcPr>
          <w:p w14:paraId="70FD99B6">
            <w:pPr>
              <w:spacing w:before="141" w:line="190" w:lineRule="auto"/>
              <w:ind w:left="804"/>
              <w:rPr>
                <w:rFonts w:ascii="宋体" w:hAnsi="宋体" w:eastAsia="宋体" w:cs="宋体"/>
                <w:sz w:val="15"/>
                <w:szCs w:val="15"/>
              </w:rPr>
            </w:pPr>
            <w:r>
              <w:rPr>
                <w:rFonts w:ascii="宋体" w:hAnsi="宋体" w:eastAsia="宋体" w:cs="宋体"/>
                <w:color w:val="212529"/>
                <w:spacing w:val="4"/>
                <w:sz w:val="15"/>
                <w:szCs w:val="15"/>
              </w:rPr>
              <w:t>4.00</w:t>
            </w:r>
          </w:p>
        </w:tc>
        <w:tc>
          <w:tcPr>
            <w:tcW w:w="1156" w:type="dxa"/>
            <w:vAlign w:val="top"/>
          </w:tcPr>
          <w:p w14:paraId="060B7C28">
            <w:pPr>
              <w:spacing w:before="141" w:line="190" w:lineRule="auto"/>
              <w:ind w:right="22"/>
              <w:jc w:val="right"/>
              <w:rPr>
                <w:rFonts w:ascii="宋体" w:hAnsi="宋体" w:eastAsia="宋体" w:cs="宋体"/>
                <w:sz w:val="15"/>
                <w:szCs w:val="15"/>
              </w:rPr>
            </w:pPr>
            <w:r>
              <w:rPr>
                <w:rFonts w:ascii="宋体" w:hAnsi="宋体" w:eastAsia="宋体" w:cs="宋体"/>
                <w:color w:val="212529"/>
                <w:spacing w:val="4"/>
                <w:sz w:val="15"/>
                <w:szCs w:val="15"/>
              </w:rPr>
              <w:t>4.00</w:t>
            </w:r>
          </w:p>
        </w:tc>
        <w:tc>
          <w:tcPr>
            <w:tcW w:w="918" w:type="dxa"/>
            <w:vAlign w:val="top"/>
          </w:tcPr>
          <w:p w14:paraId="12739361">
            <w:pPr>
              <w:pStyle w:val="6"/>
            </w:pPr>
          </w:p>
        </w:tc>
        <w:tc>
          <w:tcPr>
            <w:tcW w:w="1242" w:type="dxa"/>
            <w:vAlign w:val="top"/>
          </w:tcPr>
          <w:p w14:paraId="70D0A2AE">
            <w:pPr>
              <w:pStyle w:val="6"/>
            </w:pPr>
          </w:p>
        </w:tc>
        <w:tc>
          <w:tcPr>
            <w:tcW w:w="1069" w:type="dxa"/>
            <w:vAlign w:val="top"/>
          </w:tcPr>
          <w:p w14:paraId="0DE17373">
            <w:pPr>
              <w:pStyle w:val="6"/>
            </w:pPr>
          </w:p>
        </w:tc>
        <w:tc>
          <w:tcPr>
            <w:tcW w:w="848" w:type="dxa"/>
            <w:vAlign w:val="top"/>
          </w:tcPr>
          <w:p w14:paraId="31904C0E">
            <w:pPr>
              <w:pStyle w:val="6"/>
            </w:pPr>
          </w:p>
        </w:tc>
      </w:tr>
      <w:tr w14:paraId="47A89D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70" w:type="dxa"/>
            <w:vAlign w:val="top"/>
          </w:tcPr>
          <w:p w14:paraId="50F97DF4">
            <w:pPr>
              <w:spacing w:before="116" w:line="229" w:lineRule="auto"/>
              <w:ind w:left="169"/>
              <w:rPr>
                <w:rFonts w:ascii="宋体" w:hAnsi="宋体" w:eastAsia="宋体" w:cs="宋体"/>
                <w:sz w:val="15"/>
                <w:szCs w:val="15"/>
              </w:rPr>
            </w:pPr>
            <w:r>
              <w:rPr>
                <w:rFonts w:ascii="宋体" w:hAnsi="宋体" w:eastAsia="宋体" w:cs="宋体"/>
                <w:color w:val="212529"/>
                <w:spacing w:val="10"/>
                <w:sz w:val="15"/>
                <w:szCs w:val="15"/>
              </w:rPr>
              <w:t>党群活动中心维修(护)费</w:t>
            </w:r>
          </w:p>
        </w:tc>
        <w:tc>
          <w:tcPr>
            <w:tcW w:w="1155" w:type="dxa"/>
            <w:vAlign w:val="top"/>
          </w:tcPr>
          <w:p w14:paraId="28B03829">
            <w:pPr>
              <w:spacing w:before="141" w:line="190" w:lineRule="auto"/>
              <w:ind w:left="808"/>
              <w:rPr>
                <w:rFonts w:ascii="宋体" w:hAnsi="宋体" w:eastAsia="宋体" w:cs="宋体"/>
                <w:sz w:val="15"/>
                <w:szCs w:val="15"/>
              </w:rPr>
            </w:pPr>
            <w:r>
              <w:rPr>
                <w:rFonts w:ascii="宋体" w:hAnsi="宋体" w:eastAsia="宋体" w:cs="宋体"/>
                <w:color w:val="212529"/>
                <w:spacing w:val="3"/>
                <w:sz w:val="15"/>
                <w:szCs w:val="15"/>
              </w:rPr>
              <w:t>3.00</w:t>
            </w:r>
          </w:p>
        </w:tc>
        <w:tc>
          <w:tcPr>
            <w:tcW w:w="1156" w:type="dxa"/>
            <w:vAlign w:val="top"/>
          </w:tcPr>
          <w:p w14:paraId="1B5C06F8">
            <w:pPr>
              <w:spacing w:before="141" w:line="190" w:lineRule="auto"/>
              <w:ind w:right="22"/>
              <w:jc w:val="right"/>
              <w:rPr>
                <w:rFonts w:ascii="宋体" w:hAnsi="宋体" w:eastAsia="宋体" w:cs="宋体"/>
                <w:sz w:val="15"/>
                <w:szCs w:val="15"/>
              </w:rPr>
            </w:pPr>
            <w:r>
              <w:rPr>
                <w:rFonts w:ascii="宋体" w:hAnsi="宋体" w:eastAsia="宋体" w:cs="宋体"/>
                <w:color w:val="212529"/>
                <w:spacing w:val="3"/>
                <w:sz w:val="15"/>
                <w:szCs w:val="15"/>
              </w:rPr>
              <w:t>3.00</w:t>
            </w:r>
          </w:p>
        </w:tc>
        <w:tc>
          <w:tcPr>
            <w:tcW w:w="918" w:type="dxa"/>
            <w:vAlign w:val="top"/>
          </w:tcPr>
          <w:p w14:paraId="60F0A53D">
            <w:pPr>
              <w:pStyle w:val="6"/>
            </w:pPr>
          </w:p>
        </w:tc>
        <w:tc>
          <w:tcPr>
            <w:tcW w:w="1242" w:type="dxa"/>
            <w:vAlign w:val="top"/>
          </w:tcPr>
          <w:p w14:paraId="1A007BC6">
            <w:pPr>
              <w:pStyle w:val="6"/>
            </w:pPr>
          </w:p>
        </w:tc>
        <w:tc>
          <w:tcPr>
            <w:tcW w:w="1069" w:type="dxa"/>
            <w:vAlign w:val="top"/>
          </w:tcPr>
          <w:p w14:paraId="3BF21BA4">
            <w:pPr>
              <w:pStyle w:val="6"/>
            </w:pPr>
          </w:p>
        </w:tc>
        <w:tc>
          <w:tcPr>
            <w:tcW w:w="848" w:type="dxa"/>
            <w:vAlign w:val="top"/>
          </w:tcPr>
          <w:p w14:paraId="3292440B">
            <w:pPr>
              <w:pStyle w:val="6"/>
            </w:pPr>
          </w:p>
        </w:tc>
      </w:tr>
      <w:tr w14:paraId="60C80F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70" w:type="dxa"/>
            <w:vAlign w:val="top"/>
          </w:tcPr>
          <w:p w14:paraId="086625FA">
            <w:pPr>
              <w:spacing w:before="116" w:line="229" w:lineRule="auto"/>
              <w:ind w:left="169"/>
              <w:rPr>
                <w:rFonts w:ascii="宋体" w:hAnsi="宋体" w:eastAsia="宋体" w:cs="宋体"/>
                <w:sz w:val="15"/>
                <w:szCs w:val="15"/>
              </w:rPr>
            </w:pPr>
            <w:r>
              <w:rPr>
                <w:rFonts w:ascii="宋体" w:hAnsi="宋体" w:eastAsia="宋体" w:cs="宋体"/>
                <w:color w:val="212529"/>
                <w:spacing w:val="11"/>
                <w:sz w:val="15"/>
                <w:szCs w:val="15"/>
              </w:rPr>
              <w:t>党群活动中心取暖费</w:t>
            </w:r>
          </w:p>
        </w:tc>
        <w:tc>
          <w:tcPr>
            <w:tcW w:w="1155" w:type="dxa"/>
            <w:vAlign w:val="top"/>
          </w:tcPr>
          <w:p w14:paraId="0A3EC67F">
            <w:pPr>
              <w:spacing w:before="140" w:line="191" w:lineRule="auto"/>
              <w:ind w:left="735"/>
              <w:rPr>
                <w:rFonts w:ascii="宋体" w:hAnsi="宋体" w:eastAsia="宋体" w:cs="宋体"/>
                <w:sz w:val="15"/>
                <w:szCs w:val="15"/>
              </w:rPr>
            </w:pPr>
            <w:r>
              <w:rPr>
                <w:rFonts w:ascii="宋体" w:hAnsi="宋体" w:eastAsia="宋体" w:cs="宋体"/>
                <w:color w:val="212529"/>
                <w:spacing w:val="2"/>
                <w:sz w:val="15"/>
                <w:szCs w:val="15"/>
              </w:rPr>
              <w:t>12.00</w:t>
            </w:r>
          </w:p>
        </w:tc>
        <w:tc>
          <w:tcPr>
            <w:tcW w:w="1156" w:type="dxa"/>
            <w:vAlign w:val="top"/>
          </w:tcPr>
          <w:p w14:paraId="316565DC">
            <w:pPr>
              <w:spacing w:before="140" w:line="191" w:lineRule="auto"/>
              <w:ind w:right="22"/>
              <w:jc w:val="right"/>
              <w:rPr>
                <w:rFonts w:ascii="宋体" w:hAnsi="宋体" w:eastAsia="宋体" w:cs="宋体"/>
                <w:sz w:val="15"/>
                <w:szCs w:val="15"/>
              </w:rPr>
            </w:pPr>
            <w:r>
              <w:rPr>
                <w:rFonts w:ascii="宋体" w:hAnsi="宋体" w:eastAsia="宋体" w:cs="宋体"/>
                <w:color w:val="212529"/>
                <w:spacing w:val="2"/>
                <w:sz w:val="15"/>
                <w:szCs w:val="15"/>
              </w:rPr>
              <w:t>12.00</w:t>
            </w:r>
          </w:p>
        </w:tc>
        <w:tc>
          <w:tcPr>
            <w:tcW w:w="918" w:type="dxa"/>
            <w:vAlign w:val="top"/>
          </w:tcPr>
          <w:p w14:paraId="7CBE3378">
            <w:pPr>
              <w:pStyle w:val="6"/>
            </w:pPr>
          </w:p>
        </w:tc>
        <w:tc>
          <w:tcPr>
            <w:tcW w:w="1242" w:type="dxa"/>
            <w:vAlign w:val="top"/>
          </w:tcPr>
          <w:p w14:paraId="379390A6">
            <w:pPr>
              <w:pStyle w:val="6"/>
            </w:pPr>
          </w:p>
        </w:tc>
        <w:tc>
          <w:tcPr>
            <w:tcW w:w="1069" w:type="dxa"/>
            <w:vAlign w:val="top"/>
          </w:tcPr>
          <w:p w14:paraId="255BAA10">
            <w:pPr>
              <w:pStyle w:val="6"/>
            </w:pPr>
          </w:p>
        </w:tc>
        <w:tc>
          <w:tcPr>
            <w:tcW w:w="848" w:type="dxa"/>
            <w:vAlign w:val="top"/>
          </w:tcPr>
          <w:p w14:paraId="3A2F4788">
            <w:pPr>
              <w:pStyle w:val="6"/>
            </w:pPr>
          </w:p>
        </w:tc>
      </w:tr>
      <w:tr w14:paraId="4EA8FC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70" w:type="dxa"/>
            <w:vAlign w:val="top"/>
          </w:tcPr>
          <w:p w14:paraId="582D9FDB">
            <w:pPr>
              <w:spacing w:before="31" w:line="208" w:lineRule="auto"/>
              <w:ind w:left="7" w:right="168" w:firstLine="162"/>
              <w:rPr>
                <w:rFonts w:ascii="宋体" w:hAnsi="宋体" w:eastAsia="宋体" w:cs="宋体"/>
                <w:sz w:val="15"/>
                <w:szCs w:val="15"/>
              </w:rPr>
            </w:pPr>
            <w:r>
              <w:rPr>
                <w:rFonts w:ascii="宋体" w:hAnsi="宋体" w:eastAsia="宋体" w:cs="宋体"/>
                <w:color w:val="212529"/>
                <w:spacing w:val="11"/>
                <w:sz w:val="15"/>
                <w:szCs w:val="15"/>
              </w:rPr>
              <w:t>绿化工人工资、绿化器材维修、绿</w:t>
            </w:r>
            <w:r>
              <w:rPr>
                <w:rFonts w:ascii="宋体" w:hAnsi="宋体" w:eastAsia="宋体" w:cs="宋体"/>
                <w:color w:val="212529"/>
                <w:spacing w:val="5"/>
                <w:sz w:val="15"/>
                <w:szCs w:val="15"/>
              </w:rPr>
              <w:t xml:space="preserve"> </w:t>
            </w:r>
            <w:r>
              <w:rPr>
                <w:rFonts w:ascii="宋体" w:hAnsi="宋体" w:eastAsia="宋体" w:cs="宋体"/>
                <w:color w:val="212529"/>
                <w:spacing w:val="10"/>
                <w:sz w:val="15"/>
                <w:szCs w:val="15"/>
              </w:rPr>
              <w:t>化器械用油</w:t>
            </w:r>
          </w:p>
        </w:tc>
        <w:tc>
          <w:tcPr>
            <w:tcW w:w="1155" w:type="dxa"/>
            <w:vAlign w:val="top"/>
          </w:tcPr>
          <w:p w14:paraId="15F7B12D">
            <w:pPr>
              <w:spacing w:before="141" w:line="190" w:lineRule="auto"/>
              <w:ind w:left="727"/>
              <w:rPr>
                <w:rFonts w:ascii="宋体" w:hAnsi="宋体" w:eastAsia="宋体" w:cs="宋体"/>
                <w:sz w:val="15"/>
                <w:szCs w:val="15"/>
              </w:rPr>
            </w:pPr>
            <w:r>
              <w:rPr>
                <w:rFonts w:ascii="宋体" w:hAnsi="宋体" w:eastAsia="宋体" w:cs="宋体"/>
                <w:color w:val="212529"/>
                <w:spacing w:val="3"/>
                <w:sz w:val="15"/>
                <w:szCs w:val="15"/>
              </w:rPr>
              <w:t>30.08</w:t>
            </w:r>
          </w:p>
        </w:tc>
        <w:tc>
          <w:tcPr>
            <w:tcW w:w="1156" w:type="dxa"/>
            <w:vAlign w:val="top"/>
          </w:tcPr>
          <w:p w14:paraId="53A117AE">
            <w:pPr>
              <w:spacing w:before="141" w:line="190" w:lineRule="auto"/>
              <w:ind w:right="22"/>
              <w:jc w:val="right"/>
              <w:rPr>
                <w:rFonts w:ascii="宋体" w:hAnsi="宋体" w:eastAsia="宋体" w:cs="宋体"/>
                <w:sz w:val="15"/>
                <w:szCs w:val="15"/>
              </w:rPr>
            </w:pPr>
            <w:r>
              <w:rPr>
                <w:rFonts w:ascii="宋体" w:hAnsi="宋体" w:eastAsia="宋体" w:cs="宋体"/>
                <w:color w:val="212529"/>
                <w:spacing w:val="3"/>
                <w:sz w:val="15"/>
                <w:szCs w:val="15"/>
              </w:rPr>
              <w:t>30.08</w:t>
            </w:r>
          </w:p>
        </w:tc>
        <w:tc>
          <w:tcPr>
            <w:tcW w:w="918" w:type="dxa"/>
            <w:vAlign w:val="top"/>
          </w:tcPr>
          <w:p w14:paraId="5E54B727">
            <w:pPr>
              <w:pStyle w:val="6"/>
            </w:pPr>
          </w:p>
        </w:tc>
        <w:tc>
          <w:tcPr>
            <w:tcW w:w="1242" w:type="dxa"/>
            <w:vAlign w:val="top"/>
          </w:tcPr>
          <w:p w14:paraId="491B8F2A">
            <w:pPr>
              <w:pStyle w:val="6"/>
            </w:pPr>
          </w:p>
        </w:tc>
        <w:tc>
          <w:tcPr>
            <w:tcW w:w="1069" w:type="dxa"/>
            <w:vAlign w:val="top"/>
          </w:tcPr>
          <w:p w14:paraId="09B62F72">
            <w:pPr>
              <w:pStyle w:val="6"/>
            </w:pPr>
          </w:p>
        </w:tc>
        <w:tc>
          <w:tcPr>
            <w:tcW w:w="848" w:type="dxa"/>
            <w:vAlign w:val="top"/>
          </w:tcPr>
          <w:p w14:paraId="6F39D58D">
            <w:pPr>
              <w:pStyle w:val="6"/>
            </w:pPr>
          </w:p>
        </w:tc>
      </w:tr>
      <w:tr w14:paraId="569262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70" w:type="dxa"/>
            <w:vAlign w:val="top"/>
          </w:tcPr>
          <w:p w14:paraId="0CE4AF38">
            <w:pPr>
              <w:spacing w:before="31" w:line="208" w:lineRule="auto"/>
              <w:ind w:left="7" w:right="168" w:firstLine="162"/>
              <w:rPr>
                <w:rFonts w:ascii="宋体" w:hAnsi="宋体" w:eastAsia="宋体" w:cs="宋体"/>
                <w:sz w:val="15"/>
                <w:szCs w:val="15"/>
              </w:rPr>
            </w:pPr>
            <w:r>
              <w:rPr>
                <w:rFonts w:ascii="宋体" w:hAnsi="宋体" w:eastAsia="宋体" w:cs="宋体"/>
                <w:color w:val="212529"/>
                <w:spacing w:val="11"/>
                <w:sz w:val="15"/>
                <w:szCs w:val="15"/>
              </w:rPr>
              <w:t>支部书记、党务工作者补助、非公</w:t>
            </w:r>
            <w:r>
              <w:rPr>
                <w:rFonts w:ascii="宋体" w:hAnsi="宋体" w:eastAsia="宋体" w:cs="宋体"/>
                <w:color w:val="212529"/>
                <w:spacing w:val="6"/>
                <w:sz w:val="15"/>
                <w:szCs w:val="15"/>
              </w:rPr>
              <w:t xml:space="preserve"> </w:t>
            </w:r>
            <w:r>
              <w:rPr>
                <w:rFonts w:ascii="宋体" w:hAnsi="宋体" w:eastAsia="宋体" w:cs="宋体"/>
                <w:color w:val="212529"/>
                <w:spacing w:val="10"/>
                <w:sz w:val="15"/>
                <w:szCs w:val="15"/>
              </w:rPr>
              <w:t>党委工作经费</w:t>
            </w:r>
          </w:p>
        </w:tc>
        <w:tc>
          <w:tcPr>
            <w:tcW w:w="1155" w:type="dxa"/>
            <w:vAlign w:val="top"/>
          </w:tcPr>
          <w:p w14:paraId="637DE688">
            <w:pPr>
              <w:spacing w:before="141" w:line="191" w:lineRule="auto"/>
              <w:ind w:left="735"/>
              <w:rPr>
                <w:rFonts w:ascii="宋体" w:hAnsi="宋体" w:eastAsia="宋体" w:cs="宋体"/>
                <w:sz w:val="15"/>
                <w:szCs w:val="15"/>
              </w:rPr>
            </w:pPr>
            <w:r>
              <w:rPr>
                <w:rFonts w:ascii="宋体" w:hAnsi="宋体" w:eastAsia="宋体" w:cs="宋体"/>
                <w:color w:val="212529"/>
                <w:spacing w:val="2"/>
                <w:sz w:val="15"/>
                <w:szCs w:val="15"/>
              </w:rPr>
              <w:t>19.34</w:t>
            </w:r>
          </w:p>
        </w:tc>
        <w:tc>
          <w:tcPr>
            <w:tcW w:w="1156" w:type="dxa"/>
            <w:vAlign w:val="top"/>
          </w:tcPr>
          <w:p w14:paraId="28F9BDE4">
            <w:pPr>
              <w:spacing w:before="141" w:line="191" w:lineRule="auto"/>
              <w:ind w:right="22"/>
              <w:jc w:val="right"/>
              <w:rPr>
                <w:rFonts w:ascii="宋体" w:hAnsi="宋体" w:eastAsia="宋体" w:cs="宋体"/>
                <w:sz w:val="15"/>
                <w:szCs w:val="15"/>
              </w:rPr>
            </w:pPr>
            <w:r>
              <w:rPr>
                <w:rFonts w:ascii="宋体" w:hAnsi="宋体" w:eastAsia="宋体" w:cs="宋体"/>
                <w:color w:val="212529"/>
                <w:spacing w:val="2"/>
                <w:sz w:val="15"/>
                <w:szCs w:val="15"/>
              </w:rPr>
              <w:t>19.34</w:t>
            </w:r>
          </w:p>
        </w:tc>
        <w:tc>
          <w:tcPr>
            <w:tcW w:w="918" w:type="dxa"/>
            <w:vAlign w:val="top"/>
          </w:tcPr>
          <w:p w14:paraId="1AF01606">
            <w:pPr>
              <w:pStyle w:val="6"/>
            </w:pPr>
          </w:p>
        </w:tc>
        <w:tc>
          <w:tcPr>
            <w:tcW w:w="1242" w:type="dxa"/>
            <w:vAlign w:val="top"/>
          </w:tcPr>
          <w:p w14:paraId="20CBA6BC">
            <w:pPr>
              <w:pStyle w:val="6"/>
            </w:pPr>
          </w:p>
        </w:tc>
        <w:tc>
          <w:tcPr>
            <w:tcW w:w="1069" w:type="dxa"/>
            <w:vAlign w:val="top"/>
          </w:tcPr>
          <w:p w14:paraId="231FDA67">
            <w:pPr>
              <w:pStyle w:val="6"/>
            </w:pPr>
          </w:p>
        </w:tc>
        <w:tc>
          <w:tcPr>
            <w:tcW w:w="848" w:type="dxa"/>
            <w:vAlign w:val="top"/>
          </w:tcPr>
          <w:p w14:paraId="66D362B4">
            <w:pPr>
              <w:pStyle w:val="6"/>
            </w:pPr>
          </w:p>
        </w:tc>
      </w:tr>
      <w:tr w14:paraId="7F3E6B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70" w:type="dxa"/>
            <w:vAlign w:val="top"/>
          </w:tcPr>
          <w:p w14:paraId="0C278078">
            <w:pPr>
              <w:spacing w:before="117" w:line="229" w:lineRule="auto"/>
              <w:ind w:left="169"/>
              <w:rPr>
                <w:rFonts w:ascii="宋体" w:hAnsi="宋体" w:eastAsia="宋体" w:cs="宋体"/>
                <w:sz w:val="15"/>
                <w:szCs w:val="15"/>
              </w:rPr>
            </w:pPr>
            <w:r>
              <w:rPr>
                <w:rFonts w:ascii="宋体" w:hAnsi="宋体" w:eastAsia="宋体" w:cs="宋体"/>
                <w:color w:val="212529"/>
                <w:spacing w:val="11"/>
                <w:sz w:val="15"/>
                <w:szCs w:val="15"/>
              </w:rPr>
              <w:t>产值、固投统计员工作补助</w:t>
            </w:r>
          </w:p>
        </w:tc>
        <w:tc>
          <w:tcPr>
            <w:tcW w:w="1155" w:type="dxa"/>
            <w:vAlign w:val="top"/>
          </w:tcPr>
          <w:p w14:paraId="35DE74CC">
            <w:pPr>
              <w:spacing w:before="142" w:line="190" w:lineRule="auto"/>
              <w:ind w:left="723"/>
              <w:rPr>
                <w:rFonts w:ascii="宋体" w:hAnsi="宋体" w:eastAsia="宋体" w:cs="宋体"/>
                <w:sz w:val="15"/>
                <w:szCs w:val="15"/>
              </w:rPr>
            </w:pPr>
            <w:r>
              <w:rPr>
                <w:rFonts w:ascii="宋体" w:hAnsi="宋体" w:eastAsia="宋体" w:cs="宋体"/>
                <w:color w:val="212529"/>
                <w:spacing w:val="4"/>
                <w:sz w:val="15"/>
                <w:szCs w:val="15"/>
              </w:rPr>
              <w:t>42.97</w:t>
            </w:r>
          </w:p>
        </w:tc>
        <w:tc>
          <w:tcPr>
            <w:tcW w:w="1156" w:type="dxa"/>
            <w:vAlign w:val="top"/>
          </w:tcPr>
          <w:p w14:paraId="548A32A2">
            <w:pPr>
              <w:spacing w:before="142" w:line="190" w:lineRule="auto"/>
              <w:ind w:right="22"/>
              <w:jc w:val="right"/>
              <w:rPr>
                <w:rFonts w:ascii="宋体" w:hAnsi="宋体" w:eastAsia="宋体" w:cs="宋体"/>
                <w:sz w:val="15"/>
                <w:szCs w:val="15"/>
              </w:rPr>
            </w:pPr>
            <w:r>
              <w:rPr>
                <w:rFonts w:ascii="宋体" w:hAnsi="宋体" w:eastAsia="宋体" w:cs="宋体"/>
                <w:color w:val="212529"/>
                <w:spacing w:val="4"/>
                <w:sz w:val="15"/>
                <w:szCs w:val="15"/>
              </w:rPr>
              <w:t>42.97</w:t>
            </w:r>
          </w:p>
        </w:tc>
        <w:tc>
          <w:tcPr>
            <w:tcW w:w="918" w:type="dxa"/>
            <w:vAlign w:val="top"/>
          </w:tcPr>
          <w:p w14:paraId="38D650F6">
            <w:pPr>
              <w:pStyle w:val="6"/>
            </w:pPr>
          </w:p>
        </w:tc>
        <w:tc>
          <w:tcPr>
            <w:tcW w:w="1242" w:type="dxa"/>
            <w:vAlign w:val="top"/>
          </w:tcPr>
          <w:p w14:paraId="6422026B">
            <w:pPr>
              <w:pStyle w:val="6"/>
            </w:pPr>
          </w:p>
        </w:tc>
        <w:tc>
          <w:tcPr>
            <w:tcW w:w="1069" w:type="dxa"/>
            <w:vAlign w:val="top"/>
          </w:tcPr>
          <w:p w14:paraId="70268F3A">
            <w:pPr>
              <w:pStyle w:val="6"/>
            </w:pPr>
          </w:p>
        </w:tc>
        <w:tc>
          <w:tcPr>
            <w:tcW w:w="848" w:type="dxa"/>
            <w:vAlign w:val="top"/>
          </w:tcPr>
          <w:p w14:paraId="457063AD">
            <w:pPr>
              <w:pStyle w:val="6"/>
            </w:pPr>
          </w:p>
        </w:tc>
      </w:tr>
      <w:tr w14:paraId="1E3D66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70" w:type="dxa"/>
            <w:vAlign w:val="top"/>
          </w:tcPr>
          <w:p w14:paraId="3B1B44A3">
            <w:pPr>
              <w:spacing w:before="117" w:line="229" w:lineRule="auto"/>
              <w:ind w:left="169"/>
              <w:rPr>
                <w:rFonts w:ascii="宋体" w:hAnsi="宋体" w:eastAsia="宋体" w:cs="宋体"/>
                <w:sz w:val="15"/>
                <w:szCs w:val="15"/>
              </w:rPr>
            </w:pPr>
            <w:r>
              <w:rPr>
                <w:rFonts w:ascii="宋体" w:hAnsi="宋体" w:eastAsia="宋体" w:cs="宋体"/>
                <w:color w:val="212529"/>
                <w:spacing w:val="11"/>
                <w:sz w:val="15"/>
                <w:szCs w:val="15"/>
              </w:rPr>
              <w:t>党群活动中心培训费</w:t>
            </w:r>
          </w:p>
        </w:tc>
        <w:tc>
          <w:tcPr>
            <w:tcW w:w="1155" w:type="dxa"/>
            <w:vAlign w:val="top"/>
          </w:tcPr>
          <w:p w14:paraId="249DAD2C">
            <w:pPr>
              <w:spacing w:before="141" w:line="191" w:lineRule="auto"/>
              <w:ind w:left="816"/>
              <w:rPr>
                <w:rFonts w:ascii="宋体" w:hAnsi="宋体" w:eastAsia="宋体" w:cs="宋体"/>
                <w:sz w:val="15"/>
                <w:szCs w:val="15"/>
              </w:rPr>
            </w:pPr>
            <w:r>
              <w:rPr>
                <w:rFonts w:ascii="宋体" w:hAnsi="宋体" w:eastAsia="宋体" w:cs="宋体"/>
                <w:color w:val="212529"/>
                <w:spacing w:val="1"/>
                <w:sz w:val="15"/>
                <w:szCs w:val="15"/>
              </w:rPr>
              <w:t>1.00</w:t>
            </w:r>
          </w:p>
        </w:tc>
        <w:tc>
          <w:tcPr>
            <w:tcW w:w="1156" w:type="dxa"/>
            <w:vAlign w:val="top"/>
          </w:tcPr>
          <w:p w14:paraId="278C4578">
            <w:pPr>
              <w:spacing w:before="141" w:line="191" w:lineRule="auto"/>
              <w:ind w:right="22"/>
              <w:jc w:val="right"/>
              <w:rPr>
                <w:rFonts w:ascii="宋体" w:hAnsi="宋体" w:eastAsia="宋体" w:cs="宋体"/>
                <w:sz w:val="15"/>
                <w:szCs w:val="15"/>
              </w:rPr>
            </w:pPr>
            <w:r>
              <w:rPr>
                <w:rFonts w:ascii="宋体" w:hAnsi="宋体" w:eastAsia="宋体" w:cs="宋体"/>
                <w:color w:val="212529"/>
                <w:spacing w:val="1"/>
                <w:sz w:val="15"/>
                <w:szCs w:val="15"/>
              </w:rPr>
              <w:t>1.00</w:t>
            </w:r>
          </w:p>
        </w:tc>
        <w:tc>
          <w:tcPr>
            <w:tcW w:w="918" w:type="dxa"/>
            <w:vAlign w:val="top"/>
          </w:tcPr>
          <w:p w14:paraId="50F97E99">
            <w:pPr>
              <w:pStyle w:val="6"/>
            </w:pPr>
          </w:p>
        </w:tc>
        <w:tc>
          <w:tcPr>
            <w:tcW w:w="1242" w:type="dxa"/>
            <w:vAlign w:val="top"/>
          </w:tcPr>
          <w:p w14:paraId="71450DEB">
            <w:pPr>
              <w:pStyle w:val="6"/>
            </w:pPr>
          </w:p>
        </w:tc>
        <w:tc>
          <w:tcPr>
            <w:tcW w:w="1069" w:type="dxa"/>
            <w:vAlign w:val="top"/>
          </w:tcPr>
          <w:p w14:paraId="495C0EAD">
            <w:pPr>
              <w:pStyle w:val="6"/>
            </w:pPr>
          </w:p>
        </w:tc>
        <w:tc>
          <w:tcPr>
            <w:tcW w:w="848" w:type="dxa"/>
            <w:vAlign w:val="top"/>
          </w:tcPr>
          <w:p w14:paraId="2B949A6C">
            <w:pPr>
              <w:pStyle w:val="6"/>
            </w:pPr>
          </w:p>
        </w:tc>
      </w:tr>
      <w:tr w14:paraId="2AF8C7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70" w:type="dxa"/>
            <w:vAlign w:val="top"/>
          </w:tcPr>
          <w:p w14:paraId="2F5421F4">
            <w:pPr>
              <w:spacing w:before="117" w:line="229" w:lineRule="auto"/>
              <w:ind w:left="172"/>
              <w:rPr>
                <w:rFonts w:ascii="宋体" w:hAnsi="宋体" w:eastAsia="宋体" w:cs="宋体"/>
                <w:sz w:val="15"/>
                <w:szCs w:val="15"/>
              </w:rPr>
            </w:pPr>
            <w:r>
              <w:rPr>
                <w:rFonts w:ascii="宋体" w:hAnsi="宋体" w:eastAsia="宋体" w:cs="宋体"/>
                <w:color w:val="212529"/>
                <w:spacing w:val="10"/>
                <w:sz w:val="15"/>
                <w:szCs w:val="15"/>
              </w:rPr>
              <w:t>办公设备购置</w:t>
            </w:r>
          </w:p>
        </w:tc>
        <w:tc>
          <w:tcPr>
            <w:tcW w:w="1155" w:type="dxa"/>
            <w:vAlign w:val="top"/>
          </w:tcPr>
          <w:p w14:paraId="6FB18A24">
            <w:pPr>
              <w:spacing w:before="142" w:line="190" w:lineRule="auto"/>
              <w:ind w:left="808"/>
              <w:rPr>
                <w:rFonts w:ascii="宋体" w:hAnsi="宋体" w:eastAsia="宋体" w:cs="宋体"/>
                <w:sz w:val="15"/>
                <w:szCs w:val="15"/>
              </w:rPr>
            </w:pPr>
            <w:r>
              <w:rPr>
                <w:rFonts w:ascii="宋体" w:hAnsi="宋体" w:eastAsia="宋体" w:cs="宋体"/>
                <w:color w:val="212529"/>
                <w:spacing w:val="3"/>
                <w:sz w:val="15"/>
                <w:szCs w:val="15"/>
              </w:rPr>
              <w:t>3.00</w:t>
            </w:r>
          </w:p>
        </w:tc>
        <w:tc>
          <w:tcPr>
            <w:tcW w:w="1156" w:type="dxa"/>
            <w:vAlign w:val="top"/>
          </w:tcPr>
          <w:p w14:paraId="57027B88">
            <w:pPr>
              <w:spacing w:before="142" w:line="190" w:lineRule="auto"/>
              <w:ind w:right="22"/>
              <w:jc w:val="right"/>
              <w:rPr>
                <w:rFonts w:ascii="宋体" w:hAnsi="宋体" w:eastAsia="宋体" w:cs="宋体"/>
                <w:sz w:val="15"/>
                <w:szCs w:val="15"/>
              </w:rPr>
            </w:pPr>
            <w:r>
              <w:rPr>
                <w:rFonts w:ascii="宋体" w:hAnsi="宋体" w:eastAsia="宋体" w:cs="宋体"/>
                <w:color w:val="212529"/>
                <w:spacing w:val="3"/>
                <w:sz w:val="15"/>
                <w:szCs w:val="15"/>
              </w:rPr>
              <w:t>3.00</w:t>
            </w:r>
          </w:p>
        </w:tc>
        <w:tc>
          <w:tcPr>
            <w:tcW w:w="918" w:type="dxa"/>
            <w:vAlign w:val="top"/>
          </w:tcPr>
          <w:p w14:paraId="44EAF812">
            <w:pPr>
              <w:pStyle w:val="6"/>
            </w:pPr>
          </w:p>
        </w:tc>
        <w:tc>
          <w:tcPr>
            <w:tcW w:w="1242" w:type="dxa"/>
            <w:vAlign w:val="top"/>
          </w:tcPr>
          <w:p w14:paraId="78CB2992">
            <w:pPr>
              <w:pStyle w:val="6"/>
            </w:pPr>
          </w:p>
        </w:tc>
        <w:tc>
          <w:tcPr>
            <w:tcW w:w="1069" w:type="dxa"/>
            <w:vAlign w:val="top"/>
          </w:tcPr>
          <w:p w14:paraId="760769AF">
            <w:pPr>
              <w:pStyle w:val="6"/>
            </w:pPr>
          </w:p>
        </w:tc>
        <w:tc>
          <w:tcPr>
            <w:tcW w:w="848" w:type="dxa"/>
            <w:vAlign w:val="top"/>
          </w:tcPr>
          <w:p w14:paraId="23314E3D">
            <w:pPr>
              <w:pStyle w:val="6"/>
            </w:pPr>
          </w:p>
        </w:tc>
      </w:tr>
      <w:tr w14:paraId="0F28EF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2770" w:type="dxa"/>
            <w:vAlign w:val="top"/>
          </w:tcPr>
          <w:p w14:paraId="18AA1AEB">
            <w:pPr>
              <w:spacing w:before="117" w:line="230" w:lineRule="auto"/>
              <w:ind w:left="182"/>
              <w:rPr>
                <w:rFonts w:ascii="宋体" w:hAnsi="宋体" w:eastAsia="宋体" w:cs="宋体"/>
                <w:sz w:val="15"/>
                <w:szCs w:val="15"/>
              </w:rPr>
            </w:pPr>
            <w:r>
              <w:rPr>
                <w:rFonts w:ascii="宋体" w:hAnsi="宋体" w:eastAsia="宋体" w:cs="宋体"/>
                <w:color w:val="212529"/>
                <w:spacing w:val="7"/>
                <w:sz w:val="15"/>
                <w:szCs w:val="15"/>
              </w:rPr>
              <w:t>园区建设费</w:t>
            </w:r>
          </w:p>
        </w:tc>
        <w:tc>
          <w:tcPr>
            <w:tcW w:w="1155" w:type="dxa"/>
            <w:vAlign w:val="top"/>
          </w:tcPr>
          <w:p w14:paraId="216791BF">
            <w:pPr>
              <w:spacing w:before="142" w:line="190" w:lineRule="auto"/>
              <w:ind w:left="723"/>
              <w:rPr>
                <w:rFonts w:ascii="宋体" w:hAnsi="宋体" w:eastAsia="宋体" w:cs="宋体"/>
                <w:sz w:val="15"/>
                <w:szCs w:val="15"/>
              </w:rPr>
            </w:pPr>
            <w:r>
              <w:rPr>
                <w:rFonts w:ascii="宋体" w:hAnsi="宋体" w:eastAsia="宋体" w:cs="宋体"/>
                <w:color w:val="212529"/>
                <w:spacing w:val="4"/>
                <w:sz w:val="15"/>
                <w:szCs w:val="15"/>
              </w:rPr>
              <w:t>40.37</w:t>
            </w:r>
          </w:p>
        </w:tc>
        <w:tc>
          <w:tcPr>
            <w:tcW w:w="1156" w:type="dxa"/>
            <w:vAlign w:val="top"/>
          </w:tcPr>
          <w:p w14:paraId="0059114C">
            <w:pPr>
              <w:spacing w:before="142" w:line="190" w:lineRule="auto"/>
              <w:ind w:right="22"/>
              <w:jc w:val="right"/>
              <w:rPr>
                <w:rFonts w:ascii="宋体" w:hAnsi="宋体" w:eastAsia="宋体" w:cs="宋体"/>
                <w:sz w:val="15"/>
                <w:szCs w:val="15"/>
              </w:rPr>
            </w:pPr>
            <w:r>
              <w:rPr>
                <w:rFonts w:ascii="宋体" w:hAnsi="宋体" w:eastAsia="宋体" w:cs="宋体"/>
                <w:color w:val="212529"/>
                <w:spacing w:val="4"/>
                <w:sz w:val="15"/>
                <w:szCs w:val="15"/>
              </w:rPr>
              <w:t>40.37</w:t>
            </w:r>
          </w:p>
        </w:tc>
        <w:tc>
          <w:tcPr>
            <w:tcW w:w="918" w:type="dxa"/>
            <w:vAlign w:val="top"/>
          </w:tcPr>
          <w:p w14:paraId="2C7AD4D8">
            <w:pPr>
              <w:pStyle w:val="6"/>
            </w:pPr>
          </w:p>
        </w:tc>
        <w:tc>
          <w:tcPr>
            <w:tcW w:w="1242" w:type="dxa"/>
            <w:vAlign w:val="top"/>
          </w:tcPr>
          <w:p w14:paraId="7F4A8D06">
            <w:pPr>
              <w:pStyle w:val="6"/>
            </w:pPr>
          </w:p>
        </w:tc>
        <w:tc>
          <w:tcPr>
            <w:tcW w:w="1069" w:type="dxa"/>
            <w:vAlign w:val="top"/>
          </w:tcPr>
          <w:p w14:paraId="542E431D">
            <w:pPr>
              <w:pStyle w:val="6"/>
            </w:pPr>
          </w:p>
        </w:tc>
        <w:tc>
          <w:tcPr>
            <w:tcW w:w="848" w:type="dxa"/>
            <w:vAlign w:val="top"/>
          </w:tcPr>
          <w:p w14:paraId="532BA517">
            <w:pPr>
              <w:pStyle w:val="6"/>
            </w:pPr>
          </w:p>
        </w:tc>
      </w:tr>
    </w:tbl>
    <w:p w14:paraId="32B6BCE3">
      <w:pPr>
        <w:pStyle w:val="2"/>
      </w:pPr>
    </w:p>
    <w:p w14:paraId="7E37B370">
      <w:pPr>
        <w:sectPr>
          <w:headerReference r:id="rId33" w:type="default"/>
          <w:footerReference r:id="rId34" w:type="default"/>
          <w:pgSz w:w="11900" w:h="16840"/>
          <w:pgMar w:top="611" w:right="0" w:bottom="312" w:left="0" w:header="357" w:footer="153" w:gutter="0"/>
          <w:cols w:space="720" w:num="1"/>
        </w:sectPr>
      </w:pPr>
    </w:p>
    <w:p w14:paraId="06725F09">
      <w:pPr>
        <w:spacing w:before="118"/>
      </w:pPr>
    </w:p>
    <w:p w14:paraId="3A06ABF4">
      <w:pPr>
        <w:spacing w:before="118"/>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828"/>
        <w:gridCol w:w="1296"/>
        <w:gridCol w:w="1415"/>
        <w:gridCol w:w="1372"/>
        <w:gridCol w:w="1247"/>
      </w:tblGrid>
      <w:tr w14:paraId="2D804F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3828" w:type="dxa"/>
            <w:tcBorders>
              <w:top w:val="single" w:color="FFFFFF" w:sz="4" w:space="0"/>
              <w:left w:val="single" w:color="FFFFFF" w:sz="2" w:space="0"/>
              <w:bottom w:val="single" w:color="FFFFFF" w:sz="4" w:space="0"/>
              <w:right w:val="single" w:color="FFFFFF" w:sz="2" w:space="0"/>
            </w:tcBorders>
            <w:vAlign w:val="top"/>
          </w:tcPr>
          <w:p w14:paraId="28D5CD1E">
            <w:pPr>
              <w:pStyle w:val="6"/>
            </w:pPr>
          </w:p>
        </w:tc>
        <w:tc>
          <w:tcPr>
            <w:tcW w:w="1296" w:type="dxa"/>
            <w:tcBorders>
              <w:top w:val="single" w:color="FFFFFF" w:sz="4" w:space="0"/>
              <w:left w:val="single" w:color="FFFFFF" w:sz="2" w:space="0"/>
              <w:bottom w:val="single" w:color="FFFFFF" w:sz="4" w:space="0"/>
              <w:right w:val="single" w:color="FFFFFF" w:sz="2" w:space="0"/>
            </w:tcBorders>
            <w:vAlign w:val="top"/>
          </w:tcPr>
          <w:p w14:paraId="281F22C7">
            <w:pPr>
              <w:pStyle w:val="6"/>
            </w:pPr>
          </w:p>
        </w:tc>
        <w:tc>
          <w:tcPr>
            <w:tcW w:w="1415" w:type="dxa"/>
            <w:tcBorders>
              <w:top w:val="single" w:color="FFFFFF" w:sz="4" w:space="0"/>
              <w:left w:val="single" w:color="FFFFFF" w:sz="2" w:space="0"/>
              <w:bottom w:val="single" w:color="FFFFFF" w:sz="4" w:space="0"/>
              <w:right w:val="single" w:color="FFFFFF" w:sz="2" w:space="0"/>
            </w:tcBorders>
            <w:vAlign w:val="top"/>
          </w:tcPr>
          <w:p w14:paraId="45D22DE3">
            <w:pPr>
              <w:pStyle w:val="6"/>
            </w:pPr>
          </w:p>
        </w:tc>
        <w:tc>
          <w:tcPr>
            <w:tcW w:w="1372" w:type="dxa"/>
            <w:tcBorders>
              <w:top w:val="single" w:color="FFFFFF" w:sz="4" w:space="0"/>
              <w:left w:val="single" w:color="FFFFFF" w:sz="2" w:space="0"/>
              <w:bottom w:val="single" w:color="FFFFFF" w:sz="4" w:space="0"/>
              <w:right w:val="single" w:color="FFFFFF" w:sz="2" w:space="0"/>
            </w:tcBorders>
            <w:vAlign w:val="top"/>
          </w:tcPr>
          <w:p w14:paraId="3A028823">
            <w:pPr>
              <w:pStyle w:val="6"/>
            </w:pPr>
          </w:p>
        </w:tc>
        <w:tc>
          <w:tcPr>
            <w:tcW w:w="1247" w:type="dxa"/>
            <w:tcBorders>
              <w:top w:val="single" w:color="FFFFFF" w:sz="4" w:space="0"/>
              <w:left w:val="single" w:color="FFFFFF" w:sz="2" w:space="0"/>
              <w:bottom w:val="single" w:color="FFFFFF" w:sz="4" w:space="0"/>
              <w:right w:val="single" w:color="FFFFFF" w:sz="2" w:space="0"/>
            </w:tcBorders>
            <w:vAlign w:val="top"/>
          </w:tcPr>
          <w:p w14:paraId="608BC70A">
            <w:pPr>
              <w:spacing w:before="127" w:line="234" w:lineRule="auto"/>
              <w:ind w:left="444"/>
              <w:rPr>
                <w:rFonts w:ascii="宋体" w:hAnsi="宋体" w:eastAsia="宋体" w:cs="宋体"/>
                <w:sz w:val="12"/>
                <w:szCs w:val="12"/>
              </w:rPr>
            </w:pPr>
            <w:r>
              <w:rPr>
                <w:rFonts w:ascii="宋体" w:hAnsi="宋体" w:eastAsia="宋体" w:cs="宋体"/>
                <w:color w:val="212529"/>
                <w:spacing w:val="7"/>
                <w:sz w:val="12"/>
                <w:szCs w:val="12"/>
              </w:rPr>
              <w:t>预算公开表13</w:t>
            </w:r>
          </w:p>
        </w:tc>
      </w:tr>
      <w:tr w14:paraId="385FF2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72111CDA">
            <w:pPr>
              <w:spacing w:before="80" w:line="201" w:lineRule="exact"/>
              <w:ind w:left="2959"/>
              <w:outlineLvl w:val="1"/>
              <w:rPr>
                <w:rFonts w:ascii="微软雅黑" w:hAnsi="微软雅黑" w:eastAsia="微软雅黑" w:cs="微软雅黑"/>
                <w:sz w:val="20"/>
                <w:szCs w:val="20"/>
              </w:rPr>
            </w:pPr>
            <w:bookmarkStart w:id="64" w:name="bookmark18"/>
            <w:bookmarkEnd w:id="64"/>
            <w:r>
              <w:rPr>
                <w:rFonts w:ascii="微软雅黑" w:hAnsi="微软雅黑" w:eastAsia="微软雅黑" w:cs="微软雅黑"/>
                <w:color w:val="212529"/>
                <w:position w:val="-1"/>
                <w:sz w:val="20"/>
                <w:szCs w:val="20"/>
              </w:rPr>
              <w:t>2025年项目支出预算表</w:t>
            </w:r>
            <w:r>
              <w:rPr>
                <w:rFonts w:ascii="微软雅黑" w:hAnsi="微软雅黑" w:eastAsia="微软雅黑" w:cs="微软雅黑"/>
                <w:color w:val="212529"/>
                <w:spacing w:val="48"/>
                <w:position w:val="-1"/>
                <w:sz w:val="20"/>
                <w:szCs w:val="20"/>
              </w:rPr>
              <w:t xml:space="preserve"> </w:t>
            </w:r>
            <w:r>
              <w:rPr>
                <w:rFonts w:ascii="微软雅黑" w:hAnsi="微软雅黑" w:eastAsia="微软雅黑" w:cs="微软雅黑"/>
                <w:color w:val="212529"/>
                <w:position w:val="-1"/>
                <w:sz w:val="20"/>
                <w:szCs w:val="20"/>
              </w:rPr>
              <w:t>(上年结转)</w:t>
            </w:r>
          </w:p>
        </w:tc>
      </w:tr>
      <w:tr w14:paraId="4523C4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911" w:type="dxa"/>
            <w:gridSpan w:val="4"/>
            <w:tcBorders>
              <w:top w:val="single" w:color="FFFFFF" w:sz="4" w:space="0"/>
              <w:left w:val="single" w:color="FFFFFF" w:sz="2" w:space="0"/>
              <w:right w:val="single" w:color="FFFFFF" w:sz="2" w:space="0"/>
            </w:tcBorders>
            <w:vAlign w:val="top"/>
          </w:tcPr>
          <w:p w14:paraId="2CFC423C">
            <w:pPr>
              <w:spacing w:before="124" w:line="234" w:lineRule="auto"/>
              <w:ind w:left="9"/>
              <w:rPr>
                <w:rFonts w:ascii="宋体" w:hAnsi="宋体" w:eastAsia="宋体" w:cs="宋体"/>
                <w:sz w:val="12"/>
                <w:szCs w:val="12"/>
              </w:rPr>
            </w:pPr>
            <w:r>
              <w:rPr>
                <w:rFonts w:ascii="宋体" w:hAnsi="宋体" w:eastAsia="宋体" w:cs="宋体"/>
                <w:color w:val="212529"/>
                <w:spacing w:val="9"/>
                <w:sz w:val="12"/>
                <w:szCs w:val="12"/>
              </w:rPr>
              <w:t>部门名称：长治高新区漳泽工业园事业服务中心</w:t>
            </w:r>
          </w:p>
        </w:tc>
        <w:tc>
          <w:tcPr>
            <w:tcW w:w="1247" w:type="dxa"/>
            <w:tcBorders>
              <w:top w:val="single" w:color="FFFFFF" w:sz="4" w:space="0"/>
              <w:left w:val="single" w:color="FFFFFF" w:sz="2" w:space="0"/>
              <w:right w:val="single" w:color="FFFFFF" w:sz="2" w:space="0"/>
            </w:tcBorders>
            <w:vAlign w:val="top"/>
          </w:tcPr>
          <w:p w14:paraId="1AA20E6C">
            <w:pPr>
              <w:spacing w:before="124" w:line="235" w:lineRule="auto"/>
              <w:ind w:left="574"/>
              <w:rPr>
                <w:rFonts w:ascii="宋体" w:hAnsi="宋体" w:eastAsia="宋体" w:cs="宋体"/>
                <w:sz w:val="12"/>
                <w:szCs w:val="12"/>
              </w:rPr>
            </w:pPr>
            <w:r>
              <w:rPr>
                <w:rFonts w:ascii="宋体" w:hAnsi="宋体" w:eastAsia="宋体" w:cs="宋体"/>
                <w:color w:val="212529"/>
                <w:spacing w:val="8"/>
                <w:sz w:val="12"/>
                <w:szCs w:val="12"/>
              </w:rPr>
              <w:t>单位：万元</w:t>
            </w:r>
          </w:p>
        </w:tc>
      </w:tr>
      <w:tr w14:paraId="6DA421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828" w:type="dxa"/>
            <w:vMerge w:val="restart"/>
            <w:tcBorders>
              <w:bottom w:val="nil"/>
            </w:tcBorders>
            <w:vAlign w:val="top"/>
          </w:tcPr>
          <w:p w14:paraId="7A574AA9">
            <w:pPr>
              <w:spacing w:before="305" w:line="156" w:lineRule="exact"/>
              <w:ind w:left="1577"/>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项目名称</w:t>
            </w:r>
          </w:p>
        </w:tc>
        <w:tc>
          <w:tcPr>
            <w:tcW w:w="1296" w:type="dxa"/>
            <w:vMerge w:val="restart"/>
            <w:tcBorders>
              <w:bottom w:val="nil"/>
            </w:tcBorders>
            <w:vAlign w:val="top"/>
          </w:tcPr>
          <w:p w14:paraId="6762B9E3">
            <w:pPr>
              <w:spacing w:before="305" w:line="154" w:lineRule="exact"/>
              <w:ind w:left="477"/>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4034" w:type="dxa"/>
            <w:gridSpan w:val="3"/>
            <w:vAlign w:val="top"/>
          </w:tcPr>
          <w:p w14:paraId="2E112414">
            <w:pPr>
              <w:spacing w:before="109" w:line="157" w:lineRule="exact"/>
              <w:ind w:left="1442"/>
              <w:rPr>
                <w:rFonts w:ascii="微软雅黑" w:hAnsi="微软雅黑" w:eastAsia="微软雅黑" w:cs="微软雅黑"/>
                <w:sz w:val="15"/>
                <w:szCs w:val="15"/>
              </w:rPr>
            </w:pPr>
            <w:r>
              <w:rPr>
                <w:rFonts w:ascii="微软雅黑" w:hAnsi="微软雅黑" w:eastAsia="微软雅黑" w:cs="微软雅黑"/>
                <w:color w:val="212529"/>
                <w:spacing w:val="2"/>
                <w:position w:val="-1"/>
                <w:sz w:val="15"/>
                <w:szCs w:val="15"/>
              </w:rPr>
              <w:t>2025年财政拨款</w:t>
            </w:r>
          </w:p>
        </w:tc>
      </w:tr>
      <w:tr w14:paraId="2956EE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828" w:type="dxa"/>
            <w:vMerge w:val="continue"/>
            <w:tcBorders>
              <w:top w:val="nil"/>
            </w:tcBorders>
            <w:vAlign w:val="top"/>
          </w:tcPr>
          <w:p w14:paraId="1CC76A78">
            <w:pPr>
              <w:pStyle w:val="6"/>
            </w:pPr>
          </w:p>
        </w:tc>
        <w:tc>
          <w:tcPr>
            <w:tcW w:w="1296" w:type="dxa"/>
            <w:vMerge w:val="continue"/>
            <w:tcBorders>
              <w:top w:val="nil"/>
            </w:tcBorders>
            <w:vAlign w:val="top"/>
          </w:tcPr>
          <w:p w14:paraId="2DC3C9CF">
            <w:pPr>
              <w:pStyle w:val="6"/>
            </w:pPr>
          </w:p>
        </w:tc>
        <w:tc>
          <w:tcPr>
            <w:tcW w:w="1415" w:type="dxa"/>
            <w:vAlign w:val="top"/>
          </w:tcPr>
          <w:p w14:paraId="3F674404">
            <w:pPr>
              <w:spacing w:before="110" w:line="158" w:lineRule="exact"/>
              <w:ind w:left="209"/>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1372" w:type="dxa"/>
            <w:vAlign w:val="top"/>
          </w:tcPr>
          <w:p w14:paraId="7F28143E">
            <w:pPr>
              <w:spacing w:before="25" w:line="159" w:lineRule="auto"/>
              <w:ind w:left="509" w:right="286" w:hanging="240"/>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政府性基金</w:t>
            </w:r>
            <w:r>
              <w:rPr>
                <w:rFonts w:ascii="微软雅黑" w:hAnsi="微软雅黑" w:eastAsia="微软雅黑" w:cs="微软雅黑"/>
                <w:color w:val="212529"/>
                <w:sz w:val="15"/>
                <w:szCs w:val="15"/>
              </w:rPr>
              <w:t xml:space="preserve"> </w:t>
            </w:r>
            <w:r>
              <w:rPr>
                <w:rFonts w:ascii="微软雅黑" w:hAnsi="微软雅黑" w:eastAsia="微软雅黑" w:cs="微软雅黑"/>
                <w:color w:val="212529"/>
                <w:spacing w:val="11"/>
                <w:sz w:val="15"/>
                <w:szCs w:val="15"/>
              </w:rPr>
              <w:t>预算</w:t>
            </w:r>
          </w:p>
        </w:tc>
        <w:tc>
          <w:tcPr>
            <w:tcW w:w="1247" w:type="dxa"/>
            <w:vAlign w:val="top"/>
          </w:tcPr>
          <w:p w14:paraId="7AA2ACAA">
            <w:pPr>
              <w:spacing w:before="25" w:line="159" w:lineRule="auto"/>
              <w:ind w:left="288" w:right="304" w:firstLine="16"/>
              <w:rPr>
                <w:rFonts w:ascii="微软雅黑" w:hAnsi="微软雅黑" w:eastAsia="微软雅黑" w:cs="微软雅黑"/>
                <w:sz w:val="15"/>
                <w:szCs w:val="15"/>
              </w:rPr>
            </w:pPr>
            <w:r>
              <w:rPr>
                <w:rFonts w:ascii="微软雅黑" w:hAnsi="微软雅黑" w:eastAsia="微软雅黑" w:cs="微软雅黑"/>
                <w:color w:val="212529"/>
                <w:spacing w:val="5"/>
                <w:sz w:val="15"/>
                <w:szCs w:val="15"/>
              </w:rPr>
              <w:t>国有资本</w:t>
            </w:r>
            <w:r>
              <w:rPr>
                <w:rFonts w:ascii="微软雅黑" w:hAnsi="微软雅黑" w:eastAsia="微软雅黑" w:cs="微软雅黑"/>
                <w:color w:val="212529"/>
                <w:spacing w:val="2"/>
                <w:sz w:val="15"/>
                <w:szCs w:val="15"/>
              </w:rPr>
              <w:t xml:space="preserve"> </w:t>
            </w:r>
            <w:r>
              <w:rPr>
                <w:rFonts w:ascii="微软雅黑" w:hAnsi="微软雅黑" w:eastAsia="微软雅黑" w:cs="微软雅黑"/>
                <w:color w:val="212529"/>
                <w:spacing w:val="10"/>
                <w:sz w:val="15"/>
                <w:szCs w:val="15"/>
              </w:rPr>
              <w:t>经营预算</w:t>
            </w:r>
          </w:p>
        </w:tc>
      </w:tr>
      <w:tr w14:paraId="6DB19F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828" w:type="dxa"/>
            <w:vAlign w:val="top"/>
          </w:tcPr>
          <w:p w14:paraId="081D9C0D">
            <w:pPr>
              <w:spacing w:before="138" w:line="191" w:lineRule="auto"/>
              <w:ind w:left="1875"/>
              <w:rPr>
                <w:rFonts w:ascii="宋体" w:hAnsi="宋体" w:eastAsia="宋体" w:cs="宋体"/>
                <w:sz w:val="15"/>
                <w:szCs w:val="15"/>
              </w:rPr>
            </w:pPr>
            <w:r>
              <w:rPr>
                <w:rFonts w:ascii="宋体" w:hAnsi="宋体" w:eastAsia="宋体" w:cs="宋体"/>
                <w:color w:val="212529"/>
                <w:sz w:val="15"/>
                <w:szCs w:val="15"/>
              </w:rPr>
              <w:t>1</w:t>
            </w:r>
          </w:p>
        </w:tc>
        <w:tc>
          <w:tcPr>
            <w:tcW w:w="1296" w:type="dxa"/>
            <w:vAlign w:val="top"/>
          </w:tcPr>
          <w:p w14:paraId="09CFBD4E">
            <w:pPr>
              <w:spacing w:before="139" w:line="190" w:lineRule="auto"/>
              <w:ind w:left="600"/>
              <w:rPr>
                <w:rFonts w:ascii="宋体" w:hAnsi="宋体" w:eastAsia="宋体" w:cs="宋体"/>
                <w:sz w:val="15"/>
                <w:szCs w:val="15"/>
              </w:rPr>
            </w:pPr>
            <w:r>
              <w:rPr>
                <w:rFonts w:ascii="宋体" w:hAnsi="宋体" w:eastAsia="宋体" w:cs="宋体"/>
                <w:color w:val="212529"/>
                <w:sz w:val="15"/>
                <w:szCs w:val="15"/>
              </w:rPr>
              <w:t>2</w:t>
            </w:r>
          </w:p>
        </w:tc>
        <w:tc>
          <w:tcPr>
            <w:tcW w:w="1415" w:type="dxa"/>
            <w:vAlign w:val="top"/>
          </w:tcPr>
          <w:p w14:paraId="64B4538C">
            <w:pPr>
              <w:spacing w:before="139" w:line="190" w:lineRule="auto"/>
              <w:ind w:left="661"/>
              <w:rPr>
                <w:rFonts w:ascii="宋体" w:hAnsi="宋体" w:eastAsia="宋体" w:cs="宋体"/>
                <w:sz w:val="15"/>
                <w:szCs w:val="15"/>
              </w:rPr>
            </w:pPr>
            <w:r>
              <w:rPr>
                <w:rFonts w:ascii="宋体" w:hAnsi="宋体" w:eastAsia="宋体" w:cs="宋体"/>
                <w:color w:val="212529"/>
                <w:sz w:val="15"/>
                <w:szCs w:val="15"/>
              </w:rPr>
              <w:t>3</w:t>
            </w:r>
          </w:p>
        </w:tc>
        <w:tc>
          <w:tcPr>
            <w:tcW w:w="1372" w:type="dxa"/>
            <w:vAlign w:val="top"/>
          </w:tcPr>
          <w:p w14:paraId="56D29CF9">
            <w:pPr>
              <w:spacing w:before="139" w:line="190" w:lineRule="auto"/>
              <w:ind w:left="635"/>
              <w:rPr>
                <w:rFonts w:ascii="宋体" w:hAnsi="宋体" w:eastAsia="宋体" w:cs="宋体"/>
                <w:sz w:val="15"/>
                <w:szCs w:val="15"/>
              </w:rPr>
            </w:pPr>
            <w:r>
              <w:rPr>
                <w:rFonts w:ascii="宋体" w:hAnsi="宋体" w:eastAsia="宋体" w:cs="宋体"/>
                <w:color w:val="212529"/>
                <w:sz w:val="15"/>
                <w:szCs w:val="15"/>
              </w:rPr>
              <w:t>4</w:t>
            </w:r>
          </w:p>
        </w:tc>
        <w:tc>
          <w:tcPr>
            <w:tcW w:w="1247" w:type="dxa"/>
            <w:vAlign w:val="top"/>
          </w:tcPr>
          <w:p w14:paraId="3D20A86D">
            <w:pPr>
              <w:spacing w:before="140" w:line="189" w:lineRule="auto"/>
              <w:ind w:left="576"/>
              <w:rPr>
                <w:rFonts w:ascii="宋体" w:hAnsi="宋体" w:eastAsia="宋体" w:cs="宋体"/>
                <w:sz w:val="15"/>
                <w:szCs w:val="15"/>
              </w:rPr>
            </w:pPr>
            <w:r>
              <w:rPr>
                <w:rFonts w:ascii="宋体" w:hAnsi="宋体" w:eastAsia="宋体" w:cs="宋体"/>
                <w:color w:val="212529"/>
                <w:sz w:val="15"/>
                <w:szCs w:val="15"/>
              </w:rPr>
              <w:t>5</w:t>
            </w:r>
          </w:p>
        </w:tc>
      </w:tr>
      <w:tr w14:paraId="22F75E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828" w:type="dxa"/>
            <w:vAlign w:val="top"/>
          </w:tcPr>
          <w:p w14:paraId="292CE056">
            <w:pPr>
              <w:pStyle w:val="6"/>
            </w:pPr>
          </w:p>
        </w:tc>
        <w:tc>
          <w:tcPr>
            <w:tcW w:w="1296" w:type="dxa"/>
            <w:vAlign w:val="top"/>
          </w:tcPr>
          <w:p w14:paraId="327A2615">
            <w:pPr>
              <w:pStyle w:val="6"/>
            </w:pPr>
          </w:p>
        </w:tc>
        <w:tc>
          <w:tcPr>
            <w:tcW w:w="1415" w:type="dxa"/>
            <w:vAlign w:val="top"/>
          </w:tcPr>
          <w:p w14:paraId="0ECF3CEE">
            <w:pPr>
              <w:pStyle w:val="6"/>
            </w:pPr>
          </w:p>
        </w:tc>
        <w:tc>
          <w:tcPr>
            <w:tcW w:w="1372" w:type="dxa"/>
            <w:vAlign w:val="top"/>
          </w:tcPr>
          <w:p w14:paraId="2CB069C0">
            <w:pPr>
              <w:pStyle w:val="6"/>
            </w:pPr>
          </w:p>
        </w:tc>
        <w:tc>
          <w:tcPr>
            <w:tcW w:w="1247" w:type="dxa"/>
            <w:vAlign w:val="top"/>
          </w:tcPr>
          <w:p w14:paraId="51517800">
            <w:pPr>
              <w:pStyle w:val="6"/>
            </w:pPr>
          </w:p>
        </w:tc>
      </w:tr>
      <w:tr w14:paraId="530983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3828" w:type="dxa"/>
            <w:tcBorders>
              <w:left w:val="single" w:color="FFFFFF" w:sz="4" w:space="0"/>
              <w:bottom w:val="single" w:color="FFFFFF" w:sz="4" w:space="0"/>
              <w:right w:val="single" w:color="000000" w:sz="2" w:space="0"/>
            </w:tcBorders>
            <w:vAlign w:val="top"/>
          </w:tcPr>
          <w:p w14:paraId="25521CB8">
            <w:pPr>
              <w:spacing w:before="114" w:line="157" w:lineRule="exact"/>
              <w:ind w:left="5"/>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注:</w:t>
            </w:r>
            <w:r>
              <w:rPr>
                <w:rFonts w:ascii="微软雅黑" w:hAnsi="微软雅黑" w:eastAsia="微软雅黑" w:cs="微软雅黑"/>
                <w:color w:val="212529"/>
                <w:spacing w:val="12"/>
                <w:w w:val="102"/>
                <w:sz w:val="15"/>
                <w:szCs w:val="15"/>
              </w:rPr>
              <w:t xml:space="preserve">  </w:t>
            </w:r>
            <w:r>
              <w:rPr>
                <w:rFonts w:ascii="微软雅黑" w:hAnsi="微软雅黑" w:eastAsia="微软雅黑" w:cs="微软雅黑"/>
                <w:color w:val="212529"/>
                <w:spacing w:val="11"/>
                <w:sz w:val="15"/>
                <w:szCs w:val="15"/>
              </w:rPr>
              <w:t>本表无数据</w:t>
            </w:r>
          </w:p>
        </w:tc>
        <w:tc>
          <w:tcPr>
            <w:tcW w:w="1296" w:type="dxa"/>
            <w:tcBorders>
              <w:left w:val="single" w:color="FFFFFF" w:sz="2" w:space="0"/>
              <w:bottom w:val="single" w:color="FFFFFF" w:sz="4" w:space="0"/>
              <w:right w:val="single" w:color="FFFFFF" w:sz="2" w:space="0"/>
            </w:tcBorders>
            <w:vAlign w:val="top"/>
          </w:tcPr>
          <w:p w14:paraId="200B0794">
            <w:pPr>
              <w:pStyle w:val="6"/>
            </w:pPr>
          </w:p>
        </w:tc>
        <w:tc>
          <w:tcPr>
            <w:tcW w:w="1415" w:type="dxa"/>
            <w:tcBorders>
              <w:left w:val="single" w:color="FFFFFF" w:sz="2" w:space="0"/>
              <w:bottom w:val="single" w:color="FFFFFF" w:sz="4" w:space="0"/>
              <w:right w:val="single" w:color="FFFFFF" w:sz="2" w:space="0"/>
            </w:tcBorders>
            <w:vAlign w:val="top"/>
          </w:tcPr>
          <w:p w14:paraId="4469D03B">
            <w:pPr>
              <w:pStyle w:val="6"/>
            </w:pPr>
          </w:p>
        </w:tc>
        <w:tc>
          <w:tcPr>
            <w:tcW w:w="1372" w:type="dxa"/>
            <w:tcBorders>
              <w:left w:val="single" w:color="FFFFFF" w:sz="2" w:space="0"/>
              <w:bottom w:val="single" w:color="FFFFFF" w:sz="4" w:space="0"/>
              <w:right w:val="single" w:color="FFFFFF" w:sz="2" w:space="0"/>
            </w:tcBorders>
            <w:vAlign w:val="top"/>
          </w:tcPr>
          <w:p w14:paraId="185B7105">
            <w:pPr>
              <w:pStyle w:val="6"/>
            </w:pPr>
          </w:p>
        </w:tc>
        <w:tc>
          <w:tcPr>
            <w:tcW w:w="1247" w:type="dxa"/>
            <w:tcBorders>
              <w:left w:val="single" w:color="FFFFFF" w:sz="2" w:space="0"/>
              <w:bottom w:val="single" w:color="FFFFFF" w:sz="4" w:space="0"/>
              <w:right w:val="single" w:color="FFFFFF" w:sz="2" w:space="0"/>
            </w:tcBorders>
            <w:vAlign w:val="top"/>
          </w:tcPr>
          <w:p w14:paraId="433EC447">
            <w:pPr>
              <w:pStyle w:val="6"/>
            </w:pPr>
          </w:p>
        </w:tc>
      </w:tr>
    </w:tbl>
    <w:p w14:paraId="5066FC9C">
      <w:pPr>
        <w:pStyle w:val="2"/>
      </w:pPr>
    </w:p>
    <w:p w14:paraId="79EFA984">
      <w:pPr>
        <w:sectPr>
          <w:headerReference r:id="rId35" w:type="default"/>
          <w:footerReference r:id="rId36" w:type="default"/>
          <w:pgSz w:w="11900" w:h="16840"/>
          <w:pgMar w:top="611" w:right="0" w:bottom="312" w:left="0" w:header="357" w:footer="153" w:gutter="0"/>
          <w:cols w:space="720" w:num="1"/>
        </w:sectPr>
      </w:pPr>
    </w:p>
    <w:p w14:paraId="3B29DC84">
      <w:pPr>
        <w:pStyle w:val="2"/>
        <w:spacing w:line="347" w:lineRule="auto"/>
      </w:pPr>
    </w:p>
    <w:p w14:paraId="13ABB414">
      <w:pPr>
        <w:pStyle w:val="2"/>
        <w:spacing w:line="348" w:lineRule="auto"/>
      </w:pPr>
    </w:p>
    <w:p w14:paraId="133AAB2C">
      <w:pPr>
        <w:spacing w:before="99" w:line="230" w:lineRule="exact"/>
        <w:ind w:left="4064"/>
        <w:outlineLvl w:val="0"/>
        <w:rPr>
          <w:rFonts w:ascii="微软雅黑" w:hAnsi="微软雅黑" w:eastAsia="微软雅黑" w:cs="微软雅黑"/>
          <w:sz w:val="23"/>
          <w:szCs w:val="23"/>
        </w:rPr>
      </w:pPr>
      <w:bookmarkStart w:id="65" w:name="bookmark19"/>
      <w:bookmarkEnd w:id="65"/>
      <w:r>
        <w:rPr>
          <w:rFonts w:ascii="微软雅黑" w:hAnsi="微软雅黑" w:eastAsia="微软雅黑" w:cs="微软雅黑"/>
          <w:spacing w:val="-5"/>
          <w:position w:val="-1"/>
          <w:sz w:val="23"/>
          <w:szCs w:val="23"/>
        </w:rPr>
        <w:t>第三部分</w:t>
      </w:r>
      <w:r>
        <w:rPr>
          <w:rFonts w:ascii="微软雅黑" w:hAnsi="微软雅黑" w:eastAsia="微软雅黑" w:cs="微软雅黑"/>
          <w:spacing w:val="56"/>
          <w:position w:val="-1"/>
          <w:sz w:val="23"/>
          <w:szCs w:val="23"/>
        </w:rPr>
        <w:t xml:space="preserve"> </w:t>
      </w:r>
      <w:r>
        <w:rPr>
          <w:rFonts w:ascii="微软雅黑" w:hAnsi="微软雅黑" w:eastAsia="微软雅黑" w:cs="微软雅黑"/>
          <w:spacing w:val="-5"/>
          <w:position w:val="-1"/>
          <w:sz w:val="23"/>
          <w:szCs w:val="23"/>
        </w:rPr>
        <w:t>2025年度部门预算情况说明</w:t>
      </w:r>
    </w:p>
    <w:p w14:paraId="602274C5">
      <w:pPr>
        <w:spacing w:before="299" w:line="229" w:lineRule="exact"/>
        <w:ind w:left="1261"/>
        <w:outlineLvl w:val="1"/>
        <w:rPr>
          <w:rFonts w:ascii="微软雅黑" w:hAnsi="微软雅黑" w:eastAsia="微软雅黑" w:cs="微软雅黑"/>
          <w:sz w:val="22"/>
          <w:szCs w:val="22"/>
        </w:rPr>
      </w:pPr>
      <w:bookmarkStart w:id="66" w:name="bookmark20"/>
      <w:bookmarkEnd w:id="66"/>
      <w:r>
        <w:rPr>
          <w:rFonts w:ascii="微软雅黑" w:hAnsi="微软雅黑" w:eastAsia="微软雅黑" w:cs="微软雅黑"/>
          <w:spacing w:val="7"/>
          <w:position w:val="-1"/>
          <w:sz w:val="22"/>
          <w:szCs w:val="22"/>
        </w:rPr>
        <w:t>一、</w:t>
      </w:r>
      <w:r>
        <w:rPr>
          <w:rFonts w:ascii="微软雅黑" w:hAnsi="微软雅黑" w:eastAsia="微软雅黑" w:cs="微软雅黑"/>
          <w:spacing w:val="-31"/>
          <w:position w:val="-1"/>
          <w:sz w:val="22"/>
          <w:szCs w:val="22"/>
        </w:rPr>
        <w:t xml:space="preserve"> </w:t>
      </w:r>
      <w:r>
        <w:rPr>
          <w:rFonts w:ascii="微软雅黑" w:hAnsi="微软雅黑" w:eastAsia="微软雅黑" w:cs="微软雅黑"/>
          <w:spacing w:val="7"/>
          <w:position w:val="-1"/>
          <w:sz w:val="22"/>
          <w:szCs w:val="22"/>
        </w:rPr>
        <w:t>部门预算收支数据变动情况及原因</w:t>
      </w:r>
    </w:p>
    <w:p w14:paraId="055C8165">
      <w:pPr>
        <w:spacing w:before="188" w:line="317" w:lineRule="auto"/>
        <w:ind w:left="1268" w:right="1223" w:firstLine="452"/>
        <w:rPr>
          <w:rFonts w:ascii="仿宋" w:hAnsi="仿宋" w:eastAsia="仿宋" w:cs="仿宋"/>
          <w:sz w:val="23"/>
          <w:szCs w:val="23"/>
        </w:rPr>
      </w:pPr>
      <w:r>
        <w:rPr>
          <w:rFonts w:ascii="仿宋" w:hAnsi="仿宋" w:eastAsia="仿宋" w:cs="仿宋"/>
          <w:spacing w:val="5"/>
          <w:sz w:val="23"/>
          <w:szCs w:val="23"/>
        </w:rPr>
        <w:t>2025年度长治高新区漳泽工业园事业服务中心预算收入总计1,066.87万元</w:t>
      </w:r>
      <w:r>
        <w:rPr>
          <w:rFonts w:ascii="仿宋" w:hAnsi="仿宋" w:eastAsia="仿宋" w:cs="仿宋"/>
          <w:spacing w:val="4"/>
          <w:sz w:val="23"/>
          <w:szCs w:val="23"/>
        </w:rPr>
        <w:t>，其中：本年</w:t>
      </w:r>
      <w:r>
        <w:rPr>
          <w:rFonts w:ascii="仿宋" w:hAnsi="仿宋" w:eastAsia="仿宋" w:cs="仿宋"/>
          <w:sz w:val="23"/>
          <w:szCs w:val="23"/>
        </w:rPr>
        <w:t xml:space="preserve"> </w:t>
      </w:r>
      <w:r>
        <w:rPr>
          <w:rFonts w:ascii="仿宋" w:hAnsi="仿宋" w:eastAsia="仿宋" w:cs="仿宋"/>
          <w:spacing w:val="3"/>
          <w:sz w:val="23"/>
          <w:szCs w:val="23"/>
        </w:rPr>
        <w:t>收入1,066.87万元，上年结转0万元，</w:t>
      </w:r>
      <w:r>
        <w:rPr>
          <w:rFonts w:ascii="仿宋" w:hAnsi="仿宋" w:eastAsia="仿宋" w:cs="仿宋"/>
          <w:spacing w:val="-61"/>
          <w:sz w:val="23"/>
          <w:szCs w:val="23"/>
        </w:rPr>
        <w:t xml:space="preserve"> </w:t>
      </w:r>
      <w:r>
        <w:rPr>
          <w:rFonts w:ascii="仿宋" w:hAnsi="仿宋" w:eastAsia="仿宋" w:cs="仿宋"/>
          <w:spacing w:val="3"/>
          <w:sz w:val="23"/>
          <w:szCs w:val="23"/>
        </w:rPr>
        <w:t>比上年减少1714.40万元，下降61.64%，主要原因是主</w:t>
      </w:r>
      <w:r>
        <w:rPr>
          <w:rFonts w:ascii="仿宋" w:hAnsi="仿宋" w:eastAsia="仿宋" w:cs="仿宋"/>
          <w:sz w:val="23"/>
          <w:szCs w:val="23"/>
        </w:rPr>
        <w:t xml:space="preserve"> </w:t>
      </w:r>
      <w:r>
        <w:rPr>
          <w:rFonts w:ascii="仿宋" w:hAnsi="仿宋" w:eastAsia="仿宋" w:cs="仿宋"/>
          <w:spacing w:val="5"/>
          <w:sz w:val="23"/>
          <w:szCs w:val="23"/>
        </w:rPr>
        <w:t>要原因是减少了支持中小企业发展和管理支出。；本年部门预算支出</w:t>
      </w:r>
      <w:r>
        <w:rPr>
          <w:rFonts w:ascii="仿宋" w:hAnsi="仿宋" w:eastAsia="仿宋" w:cs="仿宋"/>
          <w:spacing w:val="4"/>
          <w:sz w:val="23"/>
          <w:szCs w:val="23"/>
        </w:rPr>
        <w:t>总计1,066.87万元，其</w:t>
      </w:r>
      <w:r>
        <w:rPr>
          <w:rFonts w:ascii="仿宋" w:hAnsi="仿宋" w:eastAsia="仿宋" w:cs="仿宋"/>
          <w:sz w:val="23"/>
          <w:szCs w:val="23"/>
        </w:rPr>
        <w:t xml:space="preserve"> </w:t>
      </w:r>
      <w:r>
        <w:rPr>
          <w:rFonts w:ascii="仿宋" w:hAnsi="仿宋" w:eastAsia="仿宋" w:cs="仿宋"/>
          <w:spacing w:val="3"/>
          <w:sz w:val="23"/>
          <w:szCs w:val="23"/>
        </w:rPr>
        <w:t>中：本年预算安排1,066.87万元，上年结转0万元，</w:t>
      </w:r>
      <w:r>
        <w:rPr>
          <w:rFonts w:ascii="仿宋" w:hAnsi="仿宋" w:eastAsia="仿宋" w:cs="仿宋"/>
          <w:spacing w:val="-61"/>
          <w:sz w:val="23"/>
          <w:szCs w:val="23"/>
        </w:rPr>
        <w:t xml:space="preserve"> </w:t>
      </w:r>
      <w:r>
        <w:rPr>
          <w:rFonts w:ascii="仿宋" w:hAnsi="仿宋" w:eastAsia="仿宋" w:cs="仿宋"/>
          <w:spacing w:val="3"/>
          <w:sz w:val="23"/>
          <w:szCs w:val="23"/>
        </w:rPr>
        <w:t>比上年减少1714.40万元，下降61.64%，</w:t>
      </w:r>
      <w:r>
        <w:rPr>
          <w:rFonts w:ascii="仿宋" w:hAnsi="仿宋" w:eastAsia="仿宋" w:cs="仿宋"/>
          <w:sz w:val="23"/>
          <w:szCs w:val="23"/>
        </w:rPr>
        <w:t xml:space="preserve"> 主要原因是主要原因是减少了支持中小企业发展</w:t>
      </w:r>
      <w:r>
        <w:rPr>
          <w:rFonts w:ascii="仿宋" w:hAnsi="仿宋" w:eastAsia="仿宋" w:cs="仿宋"/>
          <w:spacing w:val="-1"/>
          <w:sz w:val="23"/>
          <w:szCs w:val="23"/>
        </w:rPr>
        <w:t>和管理支出。</w:t>
      </w:r>
    </w:p>
    <w:p w14:paraId="316B7CAD">
      <w:pPr>
        <w:spacing w:before="30" w:line="229" w:lineRule="exact"/>
        <w:ind w:left="1261"/>
        <w:outlineLvl w:val="1"/>
        <w:rPr>
          <w:rFonts w:ascii="微软雅黑" w:hAnsi="微软雅黑" w:eastAsia="微软雅黑" w:cs="微软雅黑"/>
          <w:sz w:val="22"/>
          <w:szCs w:val="22"/>
        </w:rPr>
      </w:pPr>
      <w:bookmarkStart w:id="67" w:name="bookmark21"/>
      <w:bookmarkEnd w:id="67"/>
      <w:r>
        <w:rPr>
          <w:rFonts w:ascii="微软雅黑" w:hAnsi="微软雅黑" w:eastAsia="微软雅黑" w:cs="微软雅黑"/>
          <w:spacing w:val="8"/>
          <w:position w:val="-1"/>
          <w:sz w:val="22"/>
          <w:szCs w:val="22"/>
        </w:rPr>
        <w:t>二、收入预算情况说明</w:t>
      </w:r>
    </w:p>
    <w:p w14:paraId="6FC8EE06">
      <w:pPr>
        <w:spacing w:before="183" w:line="316" w:lineRule="auto"/>
        <w:ind w:left="1267" w:right="1223" w:firstLine="453"/>
        <w:rPr>
          <w:rFonts w:ascii="仿宋" w:hAnsi="仿宋" w:eastAsia="仿宋" w:cs="仿宋"/>
          <w:sz w:val="23"/>
          <w:szCs w:val="23"/>
        </w:rPr>
      </w:pPr>
      <w:r>
        <w:rPr>
          <w:rFonts w:ascii="仿宋" w:hAnsi="仿宋" w:eastAsia="仿宋" w:cs="仿宋"/>
          <w:spacing w:val="5"/>
          <w:sz w:val="23"/>
          <w:szCs w:val="23"/>
        </w:rPr>
        <w:t>2025年度长治高新区漳泽工业园事业服务中心预算收入1,066.87万元，主</w:t>
      </w:r>
      <w:r>
        <w:rPr>
          <w:rFonts w:ascii="仿宋" w:hAnsi="仿宋" w:eastAsia="仿宋" w:cs="仿宋"/>
          <w:spacing w:val="4"/>
          <w:sz w:val="23"/>
          <w:szCs w:val="23"/>
        </w:rPr>
        <w:t>要包括一般公</w:t>
      </w:r>
      <w:r>
        <w:rPr>
          <w:rFonts w:ascii="仿宋" w:hAnsi="仿宋" w:eastAsia="仿宋" w:cs="仿宋"/>
          <w:sz w:val="23"/>
          <w:szCs w:val="23"/>
        </w:rPr>
        <w:t xml:space="preserve"> </w:t>
      </w:r>
      <w:r>
        <w:rPr>
          <w:rFonts w:ascii="仿宋" w:hAnsi="仿宋" w:eastAsia="仿宋" w:cs="仿宋"/>
          <w:spacing w:val="2"/>
          <w:sz w:val="23"/>
          <w:szCs w:val="23"/>
        </w:rPr>
        <w:t>共预算拨款收入789.73万元，</w:t>
      </w:r>
      <w:r>
        <w:rPr>
          <w:rFonts w:ascii="仿宋" w:hAnsi="仿宋" w:eastAsia="仿宋" w:cs="仿宋"/>
          <w:spacing w:val="-53"/>
          <w:sz w:val="23"/>
          <w:szCs w:val="23"/>
        </w:rPr>
        <w:t xml:space="preserve"> </w:t>
      </w:r>
      <w:r>
        <w:rPr>
          <w:rFonts w:ascii="仿宋" w:hAnsi="仿宋" w:eastAsia="仿宋" w:cs="仿宋"/>
          <w:spacing w:val="2"/>
          <w:sz w:val="23"/>
          <w:szCs w:val="23"/>
        </w:rPr>
        <w:t>占74.02%；政府性基金预</w:t>
      </w:r>
      <w:r>
        <w:rPr>
          <w:rFonts w:ascii="仿宋" w:hAnsi="仿宋" w:eastAsia="仿宋" w:cs="仿宋"/>
          <w:spacing w:val="1"/>
          <w:sz w:val="23"/>
          <w:szCs w:val="23"/>
        </w:rPr>
        <w:t>算拨款收入277.14万元，</w:t>
      </w:r>
      <w:r>
        <w:rPr>
          <w:rFonts w:ascii="仿宋" w:hAnsi="仿宋" w:eastAsia="仿宋" w:cs="仿宋"/>
          <w:spacing w:val="-52"/>
          <w:sz w:val="23"/>
          <w:szCs w:val="23"/>
        </w:rPr>
        <w:t xml:space="preserve"> </w:t>
      </w:r>
      <w:r>
        <w:rPr>
          <w:rFonts w:ascii="仿宋" w:hAnsi="仿宋" w:eastAsia="仿宋" w:cs="仿宋"/>
          <w:spacing w:val="1"/>
          <w:sz w:val="23"/>
          <w:szCs w:val="23"/>
        </w:rPr>
        <w:t>占25.98%；</w:t>
      </w:r>
      <w:r>
        <w:rPr>
          <w:rFonts w:ascii="仿宋" w:hAnsi="仿宋" w:eastAsia="仿宋" w:cs="仿宋"/>
          <w:sz w:val="23"/>
          <w:szCs w:val="23"/>
        </w:rPr>
        <w:t xml:space="preserve"> 国有资本经营预算拨款收入0万元，</w:t>
      </w:r>
      <w:r>
        <w:rPr>
          <w:rFonts w:ascii="仿宋" w:hAnsi="仿宋" w:eastAsia="仿宋" w:cs="仿宋"/>
          <w:spacing w:val="-57"/>
          <w:sz w:val="23"/>
          <w:szCs w:val="23"/>
        </w:rPr>
        <w:t xml:space="preserve"> </w:t>
      </w:r>
      <w:r>
        <w:rPr>
          <w:rFonts w:ascii="仿宋" w:hAnsi="仿宋" w:eastAsia="仿宋" w:cs="仿宋"/>
          <w:sz w:val="23"/>
          <w:szCs w:val="23"/>
        </w:rPr>
        <w:t>占0%；财</w:t>
      </w:r>
      <w:r>
        <w:rPr>
          <w:rFonts w:ascii="仿宋" w:hAnsi="仿宋" w:eastAsia="仿宋" w:cs="仿宋"/>
          <w:spacing w:val="-1"/>
          <w:sz w:val="23"/>
          <w:szCs w:val="23"/>
        </w:rPr>
        <w:t>政专户管理资金收入0万元，</w:t>
      </w:r>
      <w:r>
        <w:rPr>
          <w:rFonts w:ascii="仿宋" w:hAnsi="仿宋" w:eastAsia="仿宋" w:cs="仿宋"/>
          <w:spacing w:val="-58"/>
          <w:sz w:val="23"/>
          <w:szCs w:val="23"/>
        </w:rPr>
        <w:t xml:space="preserve"> </w:t>
      </w:r>
      <w:r>
        <w:rPr>
          <w:rFonts w:ascii="仿宋" w:hAnsi="仿宋" w:eastAsia="仿宋" w:cs="仿宋"/>
          <w:spacing w:val="-1"/>
          <w:sz w:val="23"/>
          <w:szCs w:val="23"/>
        </w:rPr>
        <w:t>占0%；单位资金0万</w:t>
      </w:r>
      <w:r>
        <w:rPr>
          <w:rFonts w:ascii="仿宋" w:hAnsi="仿宋" w:eastAsia="仿宋" w:cs="仿宋"/>
          <w:sz w:val="23"/>
          <w:szCs w:val="23"/>
        </w:rPr>
        <w:t xml:space="preserve"> </w:t>
      </w:r>
      <w:r>
        <w:rPr>
          <w:rFonts w:ascii="仿宋" w:hAnsi="仿宋" w:eastAsia="仿宋" w:cs="仿宋"/>
          <w:spacing w:val="-7"/>
          <w:sz w:val="23"/>
          <w:szCs w:val="23"/>
        </w:rPr>
        <w:t>元，</w:t>
      </w:r>
      <w:r>
        <w:rPr>
          <w:rFonts w:ascii="仿宋" w:hAnsi="仿宋" w:eastAsia="仿宋" w:cs="仿宋"/>
          <w:spacing w:val="-56"/>
          <w:sz w:val="23"/>
          <w:szCs w:val="23"/>
        </w:rPr>
        <w:t xml:space="preserve"> </w:t>
      </w:r>
      <w:r>
        <w:rPr>
          <w:rFonts w:ascii="仿宋" w:hAnsi="仿宋" w:eastAsia="仿宋" w:cs="仿宋"/>
          <w:spacing w:val="-7"/>
          <w:sz w:val="23"/>
          <w:szCs w:val="23"/>
        </w:rPr>
        <w:t>占0%；上年结转0万元，</w:t>
      </w:r>
      <w:r>
        <w:rPr>
          <w:rFonts w:ascii="仿宋" w:hAnsi="仿宋" w:eastAsia="仿宋" w:cs="仿宋"/>
          <w:spacing w:val="-60"/>
          <w:sz w:val="23"/>
          <w:szCs w:val="23"/>
        </w:rPr>
        <w:t xml:space="preserve"> </w:t>
      </w:r>
      <w:r>
        <w:rPr>
          <w:rFonts w:ascii="仿宋" w:hAnsi="仿宋" w:eastAsia="仿宋" w:cs="仿宋"/>
          <w:spacing w:val="-7"/>
          <w:sz w:val="23"/>
          <w:szCs w:val="23"/>
        </w:rPr>
        <w:t>占0%。</w:t>
      </w:r>
    </w:p>
    <w:p w14:paraId="085DC5DF">
      <w:pPr>
        <w:pStyle w:val="2"/>
        <w:spacing w:line="351" w:lineRule="auto"/>
      </w:pPr>
    </w:p>
    <w:p w14:paraId="4926B117">
      <w:pPr>
        <w:spacing w:before="1" w:line="2575" w:lineRule="exact"/>
        <w:ind w:firstLine="3605"/>
      </w:pPr>
      <w:r>
        <w:rPr>
          <w:position w:val="-51"/>
        </w:rPr>
        <w:drawing>
          <wp:inline distT="0" distB="0" distL="0" distR="0">
            <wp:extent cx="2929255" cy="163449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74"/>
                    <a:stretch>
                      <a:fillRect/>
                    </a:stretch>
                  </pic:blipFill>
                  <pic:spPr>
                    <a:xfrm>
                      <a:off x="0" y="0"/>
                      <a:ext cx="2929852" cy="1634997"/>
                    </a:xfrm>
                    <a:prstGeom prst="rect">
                      <a:avLst/>
                    </a:prstGeom>
                  </pic:spPr>
                </pic:pic>
              </a:graphicData>
            </a:graphic>
          </wp:inline>
        </w:drawing>
      </w:r>
    </w:p>
    <w:p w14:paraId="72E9EF9F">
      <w:pPr>
        <w:pStyle w:val="2"/>
        <w:spacing w:line="299" w:lineRule="auto"/>
      </w:pPr>
    </w:p>
    <w:p w14:paraId="621C481E">
      <w:pPr>
        <w:pStyle w:val="2"/>
        <w:spacing w:line="299" w:lineRule="auto"/>
      </w:pPr>
    </w:p>
    <w:p w14:paraId="5471718A">
      <w:pPr>
        <w:pStyle w:val="2"/>
        <w:spacing w:line="299" w:lineRule="auto"/>
      </w:pPr>
    </w:p>
    <w:p w14:paraId="1B1F57CB">
      <w:pPr>
        <w:spacing w:before="94" w:line="230" w:lineRule="exact"/>
        <w:ind w:left="1262"/>
        <w:outlineLvl w:val="1"/>
        <w:rPr>
          <w:rFonts w:ascii="微软雅黑" w:hAnsi="微软雅黑" w:eastAsia="微软雅黑" w:cs="微软雅黑"/>
          <w:sz w:val="22"/>
          <w:szCs w:val="22"/>
        </w:rPr>
      </w:pPr>
      <w:bookmarkStart w:id="68" w:name="bookmark22"/>
      <w:bookmarkEnd w:id="68"/>
      <w:r>
        <w:rPr>
          <w:rFonts w:ascii="微软雅黑" w:hAnsi="微软雅黑" w:eastAsia="微软雅黑" w:cs="微软雅黑"/>
          <w:spacing w:val="7"/>
          <w:position w:val="-1"/>
          <w:sz w:val="22"/>
          <w:szCs w:val="22"/>
        </w:rPr>
        <w:t>三、支出预算情况说明</w:t>
      </w:r>
    </w:p>
    <w:p w14:paraId="55802E5A">
      <w:pPr>
        <w:spacing w:before="174" w:line="315" w:lineRule="auto"/>
        <w:ind w:left="1259" w:right="1223" w:firstLine="461"/>
        <w:rPr>
          <w:rFonts w:ascii="仿宋" w:hAnsi="仿宋" w:eastAsia="仿宋" w:cs="仿宋"/>
          <w:sz w:val="23"/>
          <w:szCs w:val="23"/>
        </w:rPr>
      </w:pPr>
      <w:r>
        <w:rPr>
          <w:rFonts w:ascii="仿宋" w:hAnsi="仿宋" w:eastAsia="仿宋" w:cs="仿宋"/>
          <w:spacing w:val="8"/>
          <w:sz w:val="23"/>
          <w:szCs w:val="23"/>
        </w:rPr>
        <w:t>2025年度长治高新区漳泽工业园事业服务中心支出预算10</w:t>
      </w:r>
      <w:r>
        <w:rPr>
          <w:rFonts w:ascii="仿宋" w:hAnsi="仿宋" w:eastAsia="仿宋" w:cs="仿宋"/>
          <w:spacing w:val="7"/>
          <w:sz w:val="23"/>
          <w:szCs w:val="23"/>
        </w:rPr>
        <w:t>66.87万元，其中：基本支出</w:t>
      </w:r>
      <w:r>
        <w:rPr>
          <w:rFonts w:ascii="仿宋" w:hAnsi="仿宋" w:eastAsia="仿宋" w:cs="仿宋"/>
          <w:sz w:val="23"/>
          <w:szCs w:val="23"/>
        </w:rPr>
        <w:t xml:space="preserve"> </w:t>
      </w:r>
      <w:r>
        <w:rPr>
          <w:rFonts w:ascii="仿宋" w:hAnsi="仿宋" w:eastAsia="仿宋" w:cs="仿宋"/>
          <w:spacing w:val="-3"/>
          <w:sz w:val="23"/>
          <w:szCs w:val="23"/>
        </w:rPr>
        <w:t>246.73万元，</w:t>
      </w:r>
      <w:r>
        <w:rPr>
          <w:rFonts w:ascii="仿宋" w:hAnsi="仿宋" w:eastAsia="仿宋" w:cs="仿宋"/>
          <w:spacing w:val="-54"/>
          <w:sz w:val="23"/>
          <w:szCs w:val="23"/>
        </w:rPr>
        <w:t xml:space="preserve"> </w:t>
      </w:r>
      <w:r>
        <w:rPr>
          <w:rFonts w:ascii="仿宋" w:hAnsi="仿宋" w:eastAsia="仿宋" w:cs="仿宋"/>
          <w:spacing w:val="-3"/>
          <w:sz w:val="23"/>
          <w:szCs w:val="23"/>
        </w:rPr>
        <w:t>占23.13%；项目支出820.14万元，</w:t>
      </w:r>
      <w:r>
        <w:rPr>
          <w:rFonts w:ascii="仿宋" w:hAnsi="仿宋" w:eastAsia="仿宋" w:cs="仿宋"/>
          <w:spacing w:val="-60"/>
          <w:sz w:val="23"/>
          <w:szCs w:val="23"/>
        </w:rPr>
        <w:t xml:space="preserve"> </w:t>
      </w:r>
      <w:r>
        <w:rPr>
          <w:rFonts w:ascii="仿宋" w:hAnsi="仿宋" w:eastAsia="仿宋" w:cs="仿宋"/>
          <w:spacing w:val="-3"/>
          <w:sz w:val="23"/>
          <w:szCs w:val="23"/>
        </w:rPr>
        <w:t>占76.87%。</w:t>
      </w:r>
    </w:p>
    <w:p w14:paraId="715B42C2">
      <w:pPr>
        <w:spacing w:before="22" w:line="230" w:lineRule="exact"/>
        <w:ind w:left="1271"/>
        <w:outlineLvl w:val="1"/>
        <w:rPr>
          <w:rFonts w:ascii="微软雅黑" w:hAnsi="微软雅黑" w:eastAsia="微软雅黑" w:cs="微软雅黑"/>
          <w:sz w:val="22"/>
          <w:szCs w:val="22"/>
        </w:rPr>
      </w:pPr>
      <w:bookmarkStart w:id="69" w:name="bookmark23"/>
      <w:bookmarkEnd w:id="69"/>
      <w:r>
        <w:rPr>
          <w:rFonts w:ascii="微软雅黑" w:hAnsi="微软雅黑" w:eastAsia="微软雅黑" w:cs="微软雅黑"/>
          <w:spacing w:val="8"/>
          <w:position w:val="-1"/>
          <w:sz w:val="22"/>
          <w:szCs w:val="22"/>
        </w:rPr>
        <w:t>四、财政拨款收支预算总体情况说明</w:t>
      </w:r>
    </w:p>
    <w:p w14:paraId="47970607">
      <w:pPr>
        <w:spacing w:before="176" w:line="314" w:lineRule="auto"/>
        <w:ind w:left="1270" w:right="1223" w:firstLine="450"/>
        <w:jc w:val="both"/>
        <w:rPr>
          <w:rFonts w:ascii="仿宋" w:hAnsi="仿宋" w:eastAsia="仿宋" w:cs="仿宋"/>
          <w:sz w:val="23"/>
          <w:szCs w:val="23"/>
        </w:rPr>
      </w:pPr>
      <w:r>
        <w:rPr>
          <w:rFonts w:ascii="仿宋" w:hAnsi="仿宋" w:eastAsia="仿宋" w:cs="仿宋"/>
          <w:spacing w:val="2"/>
          <w:sz w:val="23"/>
          <w:szCs w:val="23"/>
        </w:rPr>
        <w:t>2025年度长治高新区漳泽工业园事业服务中心财政拨款收支总预算0万元。其中：一般公</w:t>
      </w:r>
      <w:r>
        <w:rPr>
          <w:rFonts w:ascii="仿宋" w:hAnsi="仿宋" w:eastAsia="仿宋" w:cs="仿宋"/>
          <w:spacing w:val="17"/>
          <w:sz w:val="23"/>
          <w:szCs w:val="23"/>
        </w:rPr>
        <w:t xml:space="preserve"> </w:t>
      </w:r>
      <w:r>
        <w:rPr>
          <w:rFonts w:ascii="仿宋" w:hAnsi="仿宋" w:eastAsia="仿宋" w:cs="仿宋"/>
          <w:spacing w:val="2"/>
          <w:sz w:val="23"/>
          <w:szCs w:val="23"/>
        </w:rPr>
        <w:t>共预算拨款789.73万元，政府性基金预算拨款277.14万元，国有资本经营预算拨款0</w:t>
      </w:r>
      <w:r>
        <w:rPr>
          <w:rFonts w:ascii="仿宋" w:hAnsi="仿宋" w:eastAsia="仿宋" w:cs="仿宋"/>
          <w:spacing w:val="1"/>
          <w:sz w:val="23"/>
          <w:szCs w:val="23"/>
        </w:rPr>
        <w:t>万元。其</w:t>
      </w:r>
      <w:r>
        <w:rPr>
          <w:rFonts w:ascii="仿宋" w:hAnsi="仿宋" w:eastAsia="仿宋" w:cs="仿宋"/>
          <w:sz w:val="23"/>
          <w:szCs w:val="23"/>
        </w:rPr>
        <w:t xml:space="preserve"> 中：当年拨款收入1,066.87万元，上年结转收入0万元。支出</w:t>
      </w:r>
      <w:r>
        <w:rPr>
          <w:rFonts w:ascii="仿宋" w:hAnsi="仿宋" w:eastAsia="仿宋" w:cs="仿宋"/>
          <w:spacing w:val="-1"/>
          <w:sz w:val="23"/>
          <w:szCs w:val="23"/>
        </w:rPr>
        <w:t>包括：无。</w:t>
      </w:r>
    </w:p>
    <w:p w14:paraId="3A92AC4F">
      <w:pPr>
        <w:spacing w:before="32" w:line="229" w:lineRule="exact"/>
        <w:ind w:left="1264"/>
        <w:outlineLvl w:val="1"/>
        <w:rPr>
          <w:rFonts w:ascii="微软雅黑" w:hAnsi="微软雅黑" w:eastAsia="微软雅黑" w:cs="微软雅黑"/>
          <w:sz w:val="22"/>
          <w:szCs w:val="22"/>
        </w:rPr>
      </w:pPr>
      <w:bookmarkStart w:id="70" w:name="bookmark24"/>
      <w:bookmarkEnd w:id="70"/>
      <w:r>
        <w:rPr>
          <w:rFonts w:ascii="微软雅黑" w:hAnsi="微软雅黑" w:eastAsia="微软雅黑" w:cs="微软雅黑"/>
          <w:spacing w:val="8"/>
          <w:position w:val="-1"/>
          <w:sz w:val="22"/>
          <w:szCs w:val="22"/>
        </w:rPr>
        <w:t>五、一般公共预算支出情况说明</w:t>
      </w:r>
    </w:p>
    <w:p w14:paraId="77EDEB16">
      <w:pPr>
        <w:spacing w:before="186" w:line="222" w:lineRule="auto"/>
        <w:ind w:left="1725"/>
        <w:rPr>
          <w:rFonts w:ascii="仿宋" w:hAnsi="仿宋" w:eastAsia="仿宋" w:cs="仿宋"/>
          <w:sz w:val="23"/>
          <w:szCs w:val="23"/>
        </w:rPr>
      </w:pPr>
      <w:r>
        <w:rPr>
          <w:rFonts w:ascii="仿宋" w:hAnsi="仿宋" w:eastAsia="仿宋" w:cs="仿宋"/>
          <w:spacing w:val="-1"/>
          <w:sz w:val="23"/>
          <w:szCs w:val="23"/>
        </w:rPr>
        <w:t>（一）一般公共预算当年支出规模变化情况</w:t>
      </w:r>
    </w:p>
    <w:p w14:paraId="79A2C318">
      <w:pPr>
        <w:spacing w:before="124" w:line="306" w:lineRule="auto"/>
        <w:ind w:left="1265" w:right="1223" w:firstLine="454"/>
        <w:rPr>
          <w:rFonts w:ascii="仿宋" w:hAnsi="仿宋" w:eastAsia="仿宋" w:cs="仿宋"/>
          <w:sz w:val="23"/>
          <w:szCs w:val="23"/>
        </w:rPr>
      </w:pPr>
      <w:r>
        <w:rPr>
          <w:rFonts w:ascii="仿宋" w:hAnsi="仿宋" w:eastAsia="仿宋" w:cs="仿宋"/>
          <w:spacing w:val="2"/>
          <w:sz w:val="23"/>
          <w:szCs w:val="23"/>
        </w:rPr>
        <w:t>2025年度长治高新区漳泽工业园事业服务中心一般公共预算当年支出789.73万元,比上年</w:t>
      </w:r>
      <w:r>
        <w:rPr>
          <w:rFonts w:ascii="仿宋" w:hAnsi="仿宋" w:eastAsia="仿宋" w:cs="仿宋"/>
          <w:spacing w:val="11"/>
          <w:sz w:val="23"/>
          <w:szCs w:val="23"/>
        </w:rPr>
        <w:t xml:space="preserve"> </w:t>
      </w:r>
      <w:r>
        <w:rPr>
          <w:rFonts w:ascii="仿宋" w:hAnsi="仿宋" w:eastAsia="仿宋" w:cs="仿宋"/>
          <w:spacing w:val="-1"/>
          <w:sz w:val="23"/>
          <w:szCs w:val="23"/>
        </w:rPr>
        <w:t>减少1806.78万元，下降69.58%。</w:t>
      </w:r>
    </w:p>
    <w:p w14:paraId="5104D83B">
      <w:pPr>
        <w:spacing w:before="48" w:line="222" w:lineRule="auto"/>
        <w:ind w:left="1725"/>
        <w:rPr>
          <w:rFonts w:ascii="仿宋" w:hAnsi="仿宋" w:eastAsia="仿宋" w:cs="仿宋"/>
          <w:sz w:val="23"/>
          <w:szCs w:val="23"/>
        </w:rPr>
      </w:pPr>
      <w:r>
        <w:rPr>
          <w:rFonts w:ascii="仿宋" w:hAnsi="仿宋" w:eastAsia="仿宋" w:cs="仿宋"/>
          <w:spacing w:val="-1"/>
          <w:sz w:val="23"/>
          <w:szCs w:val="23"/>
        </w:rPr>
        <w:t>（二）一般公共预算当年支出结构情况</w:t>
      </w:r>
    </w:p>
    <w:p w14:paraId="7FC0E74E">
      <w:pPr>
        <w:spacing w:before="124" w:line="306" w:lineRule="auto"/>
        <w:ind w:left="1268" w:right="1223" w:firstLine="452"/>
        <w:rPr>
          <w:rFonts w:ascii="仿宋" w:hAnsi="仿宋" w:eastAsia="仿宋" w:cs="仿宋"/>
          <w:sz w:val="23"/>
          <w:szCs w:val="23"/>
        </w:rPr>
      </w:pPr>
      <w:r>
        <w:rPr>
          <w:rFonts w:ascii="仿宋" w:hAnsi="仿宋" w:eastAsia="仿宋" w:cs="仿宋"/>
          <w:spacing w:val="2"/>
          <w:sz w:val="23"/>
          <w:szCs w:val="23"/>
        </w:rPr>
        <w:t>2025年度长治高新区漳泽工业园事业服务中心一般公共预算当年支出789.73万元,主要用</w:t>
      </w:r>
      <w:r>
        <w:rPr>
          <w:rFonts w:ascii="仿宋" w:hAnsi="仿宋" w:eastAsia="仿宋" w:cs="仿宋"/>
          <w:spacing w:val="11"/>
          <w:sz w:val="23"/>
          <w:szCs w:val="23"/>
        </w:rPr>
        <w:t xml:space="preserve"> </w:t>
      </w:r>
      <w:r>
        <w:rPr>
          <w:rFonts w:ascii="仿宋" w:hAnsi="仿宋" w:eastAsia="仿宋" w:cs="仿宋"/>
          <w:spacing w:val="-2"/>
          <w:sz w:val="23"/>
          <w:szCs w:val="23"/>
        </w:rPr>
        <w:t>于以下方面：一般公共服务支出789.73万元，</w:t>
      </w:r>
      <w:r>
        <w:rPr>
          <w:rFonts w:ascii="仿宋" w:hAnsi="仿宋" w:eastAsia="仿宋" w:cs="仿宋"/>
          <w:spacing w:val="-55"/>
          <w:sz w:val="23"/>
          <w:szCs w:val="23"/>
        </w:rPr>
        <w:t xml:space="preserve"> </w:t>
      </w:r>
      <w:r>
        <w:rPr>
          <w:rFonts w:ascii="仿宋" w:hAnsi="仿宋" w:eastAsia="仿宋" w:cs="仿宋"/>
          <w:spacing w:val="-2"/>
          <w:sz w:val="23"/>
          <w:szCs w:val="23"/>
        </w:rPr>
        <w:t>占100.00%等。</w:t>
      </w:r>
    </w:p>
    <w:p w14:paraId="0493AECA">
      <w:pPr>
        <w:spacing w:line="306" w:lineRule="auto"/>
        <w:rPr>
          <w:rFonts w:ascii="仿宋" w:hAnsi="仿宋" w:eastAsia="仿宋" w:cs="仿宋"/>
          <w:sz w:val="23"/>
          <w:szCs w:val="23"/>
        </w:rPr>
        <w:sectPr>
          <w:headerReference r:id="rId37" w:type="default"/>
          <w:footerReference r:id="rId38" w:type="default"/>
          <w:pgSz w:w="11900" w:h="16840"/>
          <w:pgMar w:top="611" w:right="0" w:bottom="312" w:left="0" w:header="357" w:footer="153" w:gutter="0"/>
          <w:cols w:space="720" w:num="1"/>
        </w:sectPr>
      </w:pPr>
    </w:p>
    <w:p w14:paraId="7FD24668">
      <w:pPr>
        <w:pStyle w:val="2"/>
        <w:spacing w:line="254" w:lineRule="auto"/>
      </w:pPr>
    </w:p>
    <w:p w14:paraId="5AB2EDA6">
      <w:pPr>
        <w:pStyle w:val="2"/>
        <w:spacing w:line="255" w:lineRule="auto"/>
      </w:pPr>
    </w:p>
    <w:p w14:paraId="44526751">
      <w:pPr>
        <w:pStyle w:val="2"/>
        <w:spacing w:line="255" w:lineRule="auto"/>
      </w:pPr>
    </w:p>
    <w:p w14:paraId="20A84026">
      <w:pPr>
        <w:spacing w:line="2547" w:lineRule="exact"/>
        <w:ind w:firstLine="4764"/>
      </w:pPr>
      <w:r>
        <w:rPr>
          <w:position w:val="-50"/>
        </w:rPr>
        <w:drawing>
          <wp:inline distT="0" distB="0" distL="0" distR="0">
            <wp:extent cx="1623060" cy="161734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75"/>
                    <a:stretch>
                      <a:fillRect/>
                    </a:stretch>
                  </pic:blipFill>
                  <pic:spPr>
                    <a:xfrm>
                      <a:off x="0" y="0"/>
                      <a:ext cx="1623468" cy="1617346"/>
                    </a:xfrm>
                    <a:prstGeom prst="rect">
                      <a:avLst/>
                    </a:prstGeom>
                  </pic:spPr>
                </pic:pic>
              </a:graphicData>
            </a:graphic>
          </wp:inline>
        </w:drawing>
      </w:r>
    </w:p>
    <w:p w14:paraId="6B7A8167">
      <w:pPr>
        <w:pStyle w:val="2"/>
        <w:spacing w:line="249" w:lineRule="auto"/>
      </w:pPr>
    </w:p>
    <w:p w14:paraId="0766FE3A">
      <w:pPr>
        <w:pStyle w:val="2"/>
        <w:spacing w:line="249" w:lineRule="auto"/>
      </w:pPr>
    </w:p>
    <w:p w14:paraId="5C3BF1E5">
      <w:pPr>
        <w:spacing w:before="95" w:line="230" w:lineRule="exact"/>
        <w:ind w:left="1262"/>
        <w:outlineLvl w:val="1"/>
        <w:rPr>
          <w:rFonts w:ascii="微软雅黑" w:hAnsi="微软雅黑" w:eastAsia="微软雅黑" w:cs="微软雅黑"/>
          <w:sz w:val="22"/>
          <w:szCs w:val="22"/>
        </w:rPr>
      </w:pPr>
      <w:bookmarkStart w:id="71" w:name="bookmark25"/>
      <w:bookmarkEnd w:id="71"/>
      <w:r>
        <w:rPr>
          <w:rFonts w:ascii="微软雅黑" w:hAnsi="微软雅黑" w:eastAsia="微软雅黑" w:cs="微软雅黑"/>
          <w:spacing w:val="8"/>
          <w:position w:val="-1"/>
          <w:sz w:val="22"/>
          <w:szCs w:val="22"/>
        </w:rPr>
        <w:t>六、一般公共预算基本支出情况说明</w:t>
      </w:r>
    </w:p>
    <w:p w14:paraId="416F90FD">
      <w:pPr>
        <w:spacing w:before="174" w:line="315" w:lineRule="auto"/>
        <w:ind w:left="1265" w:right="1271" w:firstLine="454"/>
        <w:rPr>
          <w:rFonts w:ascii="仿宋" w:hAnsi="仿宋" w:eastAsia="仿宋" w:cs="仿宋"/>
          <w:sz w:val="23"/>
          <w:szCs w:val="23"/>
        </w:rPr>
      </w:pPr>
      <w:r>
        <w:rPr>
          <w:rFonts w:ascii="仿宋" w:hAnsi="仿宋" w:eastAsia="仿宋" w:cs="仿宋"/>
          <w:spacing w:val="4"/>
          <w:sz w:val="23"/>
          <w:szCs w:val="23"/>
        </w:rPr>
        <w:t>2025年度长治高新区漳泽工业园事业服务中心一般公共预算安排基本支出246</w:t>
      </w:r>
      <w:r>
        <w:rPr>
          <w:rFonts w:ascii="仿宋" w:hAnsi="仿宋" w:eastAsia="仿宋" w:cs="仿宋"/>
          <w:spacing w:val="3"/>
          <w:sz w:val="23"/>
          <w:szCs w:val="23"/>
        </w:rPr>
        <w:t>.73万元，</w:t>
      </w:r>
      <w:r>
        <w:rPr>
          <w:rFonts w:ascii="仿宋" w:hAnsi="仿宋" w:eastAsia="仿宋" w:cs="仿宋"/>
          <w:sz w:val="23"/>
          <w:szCs w:val="23"/>
        </w:rPr>
        <w:t xml:space="preserve"> </w:t>
      </w:r>
      <w:r>
        <w:rPr>
          <w:rFonts w:ascii="仿宋" w:hAnsi="仿宋" w:eastAsia="仿宋" w:cs="仿宋"/>
          <w:spacing w:val="-6"/>
          <w:sz w:val="23"/>
          <w:szCs w:val="23"/>
        </w:rPr>
        <w:t>其中：</w:t>
      </w:r>
    </w:p>
    <w:p w14:paraId="354B66F3">
      <w:pPr>
        <w:spacing w:before="26" w:line="315" w:lineRule="auto"/>
        <w:ind w:left="1267" w:right="1223" w:firstLine="461"/>
        <w:rPr>
          <w:rFonts w:ascii="仿宋" w:hAnsi="仿宋" w:eastAsia="仿宋" w:cs="仿宋"/>
          <w:sz w:val="23"/>
          <w:szCs w:val="23"/>
        </w:rPr>
      </w:pPr>
      <w:r>
        <w:rPr>
          <w:rFonts w:ascii="仿宋" w:hAnsi="仿宋" w:eastAsia="仿宋" w:cs="仿宋"/>
          <w:spacing w:val="5"/>
          <w:sz w:val="23"/>
          <w:szCs w:val="23"/>
        </w:rPr>
        <w:t>人员经费230.71万元，主要包括：其他工资福利支出、其他社会保障缴费、公务员医疗</w:t>
      </w:r>
      <w:r>
        <w:rPr>
          <w:rFonts w:ascii="仿宋" w:hAnsi="仿宋" w:eastAsia="仿宋" w:cs="仿宋"/>
          <w:spacing w:val="2"/>
          <w:sz w:val="23"/>
          <w:szCs w:val="23"/>
        </w:rPr>
        <w:t xml:space="preserve"> </w:t>
      </w:r>
      <w:r>
        <w:rPr>
          <w:rFonts w:ascii="仿宋" w:hAnsi="仿宋" w:eastAsia="仿宋" w:cs="仿宋"/>
          <w:spacing w:val="5"/>
          <w:sz w:val="23"/>
          <w:szCs w:val="23"/>
        </w:rPr>
        <w:t>补助缴费、绩效工资、基本工资、退休费、住房公积金、机关事业单位基本养老保险缴费、</w:t>
      </w:r>
      <w:r>
        <w:rPr>
          <w:rFonts w:ascii="仿宋" w:hAnsi="仿宋" w:eastAsia="仿宋" w:cs="仿宋"/>
          <w:spacing w:val="8"/>
          <w:sz w:val="23"/>
          <w:szCs w:val="23"/>
        </w:rPr>
        <w:t xml:space="preserve"> </w:t>
      </w:r>
      <w:r>
        <w:rPr>
          <w:rFonts w:ascii="仿宋" w:hAnsi="仿宋" w:eastAsia="仿宋" w:cs="仿宋"/>
          <w:sz w:val="23"/>
          <w:szCs w:val="23"/>
        </w:rPr>
        <w:t>奖励金、职工基本医疗保险缴费、职业年金缴费、津贴</w:t>
      </w:r>
      <w:r>
        <w:rPr>
          <w:rFonts w:ascii="仿宋" w:hAnsi="仿宋" w:eastAsia="仿宋" w:cs="仿宋"/>
          <w:spacing w:val="-1"/>
          <w:sz w:val="23"/>
          <w:szCs w:val="23"/>
        </w:rPr>
        <w:t>补贴等；</w:t>
      </w:r>
    </w:p>
    <w:p w14:paraId="247448F7">
      <w:pPr>
        <w:spacing w:before="31" w:line="316" w:lineRule="auto"/>
        <w:ind w:left="1264" w:right="1222" w:firstLine="465"/>
        <w:rPr>
          <w:rFonts w:ascii="仿宋" w:hAnsi="仿宋" w:eastAsia="仿宋" w:cs="仿宋"/>
          <w:sz w:val="23"/>
          <w:szCs w:val="23"/>
        </w:rPr>
      </w:pPr>
      <w:r>
        <w:rPr>
          <w:rFonts w:ascii="仿宋" w:hAnsi="仿宋" w:eastAsia="仿宋" w:cs="仿宋"/>
          <w:spacing w:val="2"/>
          <w:sz w:val="23"/>
          <w:szCs w:val="23"/>
        </w:rPr>
        <w:t>公用经费16.02万元，主要包括：办公费、邮电费、其他对个人和家庭的补助、印刷费、</w:t>
      </w:r>
      <w:r>
        <w:rPr>
          <w:rFonts w:ascii="仿宋" w:hAnsi="仿宋" w:eastAsia="仿宋" w:cs="仿宋"/>
          <w:spacing w:val="9"/>
          <w:sz w:val="23"/>
          <w:szCs w:val="23"/>
        </w:rPr>
        <w:t xml:space="preserve"> </w:t>
      </w:r>
      <w:r>
        <w:rPr>
          <w:rFonts w:ascii="仿宋" w:hAnsi="仿宋" w:eastAsia="仿宋" w:cs="仿宋"/>
          <w:spacing w:val="11"/>
          <w:sz w:val="23"/>
          <w:szCs w:val="23"/>
        </w:rPr>
        <w:t>电费、公务用车运行维护费、办公设备购置、其他交通费用、其他商品和服务支出、维修</w:t>
      </w:r>
      <w:r>
        <w:rPr>
          <w:rFonts w:ascii="仿宋" w:hAnsi="仿宋" w:eastAsia="仿宋" w:cs="仿宋"/>
          <w:spacing w:val="12"/>
          <w:sz w:val="23"/>
          <w:szCs w:val="23"/>
        </w:rPr>
        <w:t xml:space="preserve"> </w:t>
      </w:r>
      <w:r>
        <w:rPr>
          <w:rFonts w:ascii="仿宋" w:hAnsi="仿宋" w:eastAsia="仿宋" w:cs="仿宋"/>
          <w:spacing w:val="-1"/>
          <w:sz w:val="23"/>
          <w:szCs w:val="23"/>
        </w:rPr>
        <w:t>（护）费、委托业务费、差旅费等。</w:t>
      </w:r>
    </w:p>
    <w:p w14:paraId="6DDE41C4">
      <w:pPr>
        <w:spacing w:before="28" w:line="229" w:lineRule="exact"/>
        <w:ind w:left="1255"/>
        <w:outlineLvl w:val="1"/>
        <w:rPr>
          <w:rFonts w:ascii="微软雅黑" w:hAnsi="微软雅黑" w:eastAsia="微软雅黑" w:cs="微软雅黑"/>
          <w:sz w:val="22"/>
          <w:szCs w:val="22"/>
        </w:rPr>
      </w:pPr>
      <w:bookmarkStart w:id="72" w:name="bookmark26"/>
      <w:bookmarkEnd w:id="72"/>
      <w:r>
        <w:rPr>
          <w:rFonts w:ascii="微软雅黑" w:hAnsi="微软雅黑" w:eastAsia="微软雅黑" w:cs="微软雅黑"/>
          <w:spacing w:val="16"/>
          <w:position w:val="-1"/>
          <w:sz w:val="22"/>
          <w:szCs w:val="22"/>
        </w:rPr>
        <w:t>七、</w:t>
      </w:r>
      <w:r>
        <w:rPr>
          <w:rFonts w:ascii="微软雅黑" w:hAnsi="微软雅黑" w:eastAsia="微软雅黑" w:cs="微软雅黑"/>
          <w:spacing w:val="5"/>
          <w:position w:val="-1"/>
          <w:sz w:val="22"/>
          <w:szCs w:val="22"/>
        </w:rPr>
        <w:t xml:space="preserve">  </w:t>
      </w:r>
      <w:r>
        <w:rPr>
          <w:rFonts w:ascii="微软雅黑" w:hAnsi="微软雅黑" w:eastAsia="微软雅黑" w:cs="微软雅黑"/>
          <w:spacing w:val="16"/>
          <w:position w:val="-1"/>
          <w:sz w:val="22"/>
          <w:szCs w:val="22"/>
        </w:rPr>
        <w:t>"三公"经费增减变动原因说明</w:t>
      </w:r>
    </w:p>
    <w:p w14:paraId="32844BDF">
      <w:pPr>
        <w:spacing w:before="173" w:line="316" w:lineRule="auto"/>
        <w:ind w:left="1265" w:right="1223" w:firstLine="454"/>
        <w:jc w:val="both"/>
        <w:rPr>
          <w:rFonts w:ascii="仿宋" w:hAnsi="仿宋" w:eastAsia="仿宋" w:cs="仿宋"/>
          <w:sz w:val="23"/>
          <w:szCs w:val="23"/>
        </w:rPr>
      </w:pPr>
      <w:r>
        <w:rPr>
          <w:rFonts w:ascii="仿宋" w:hAnsi="仿宋" w:eastAsia="仿宋" w:cs="仿宋"/>
          <w:spacing w:val="4"/>
          <w:sz w:val="23"/>
          <w:szCs w:val="23"/>
        </w:rPr>
        <w:t>2025年长治高新区漳泽工业园事业服务中心财政拨</w:t>
      </w:r>
      <w:r>
        <w:rPr>
          <w:rFonts w:ascii="仿宋" w:hAnsi="仿宋" w:eastAsia="仿宋" w:cs="仿宋"/>
          <w:spacing w:val="3"/>
          <w:sz w:val="23"/>
          <w:szCs w:val="23"/>
        </w:rPr>
        <w:t>款安排的“</w:t>
      </w:r>
      <w:r>
        <w:rPr>
          <w:rFonts w:ascii="仿宋" w:hAnsi="仿宋" w:eastAsia="仿宋" w:cs="仿宋"/>
          <w:spacing w:val="-87"/>
          <w:sz w:val="23"/>
          <w:szCs w:val="23"/>
        </w:rPr>
        <w:t xml:space="preserve"> </w:t>
      </w:r>
      <w:r>
        <w:rPr>
          <w:rFonts w:ascii="仿宋" w:hAnsi="仿宋" w:eastAsia="仿宋" w:cs="仿宋"/>
          <w:spacing w:val="3"/>
          <w:sz w:val="23"/>
          <w:szCs w:val="23"/>
        </w:rPr>
        <w:t>三公</w:t>
      </w:r>
      <w:r>
        <w:rPr>
          <w:rFonts w:ascii="仿宋" w:hAnsi="仿宋" w:eastAsia="仿宋" w:cs="仿宋"/>
          <w:spacing w:val="-79"/>
          <w:sz w:val="23"/>
          <w:szCs w:val="23"/>
        </w:rPr>
        <w:t xml:space="preserve"> </w:t>
      </w:r>
      <w:r>
        <w:rPr>
          <w:rFonts w:ascii="仿宋" w:hAnsi="仿宋" w:eastAsia="仿宋" w:cs="仿宋"/>
          <w:spacing w:val="3"/>
          <w:sz w:val="23"/>
          <w:szCs w:val="23"/>
        </w:rPr>
        <w:t>”经费预算1.00万元</w:t>
      </w:r>
      <w:r>
        <w:rPr>
          <w:rFonts w:ascii="仿宋" w:hAnsi="仿宋" w:eastAsia="仿宋" w:cs="仿宋"/>
          <w:sz w:val="23"/>
          <w:szCs w:val="23"/>
        </w:rPr>
        <w:t xml:space="preserve"> </w:t>
      </w:r>
      <w:r>
        <w:rPr>
          <w:rFonts w:ascii="仿宋" w:hAnsi="仿宋" w:eastAsia="仿宋" w:cs="仿宋"/>
          <w:spacing w:val="4"/>
          <w:sz w:val="23"/>
          <w:szCs w:val="23"/>
        </w:rPr>
        <w:t>与2024年预算数相同。其中：</w:t>
      </w:r>
      <w:r>
        <w:rPr>
          <w:rFonts w:ascii="仿宋" w:hAnsi="仿宋" w:eastAsia="仿宋" w:cs="仿宋"/>
          <w:spacing w:val="-65"/>
          <w:sz w:val="23"/>
          <w:szCs w:val="23"/>
        </w:rPr>
        <w:t xml:space="preserve"> </w:t>
      </w:r>
      <w:r>
        <w:rPr>
          <w:rFonts w:ascii="仿宋" w:hAnsi="仿宋" w:eastAsia="仿宋" w:cs="仿宋"/>
          <w:spacing w:val="4"/>
          <w:sz w:val="23"/>
          <w:szCs w:val="23"/>
        </w:rPr>
        <w:t>因公出国（境）费0万元，与上年</w:t>
      </w:r>
      <w:r>
        <w:rPr>
          <w:rFonts w:ascii="仿宋" w:hAnsi="仿宋" w:eastAsia="仿宋" w:cs="仿宋"/>
          <w:spacing w:val="3"/>
          <w:sz w:val="23"/>
          <w:szCs w:val="23"/>
        </w:rPr>
        <w:t>预算数相同；公务接待费0万</w:t>
      </w:r>
      <w:r>
        <w:rPr>
          <w:rFonts w:ascii="仿宋" w:hAnsi="仿宋" w:eastAsia="仿宋" w:cs="仿宋"/>
          <w:sz w:val="23"/>
          <w:szCs w:val="23"/>
        </w:rPr>
        <w:t xml:space="preserve"> </w:t>
      </w:r>
      <w:r>
        <w:rPr>
          <w:rFonts w:ascii="仿宋" w:hAnsi="仿宋" w:eastAsia="仿宋" w:cs="仿宋"/>
          <w:spacing w:val="5"/>
          <w:sz w:val="23"/>
          <w:szCs w:val="23"/>
        </w:rPr>
        <w:t>元，与上年预算数相同；公务用车购置及运行费1.00万元，与上年预算数相同。公务用车运</w:t>
      </w:r>
      <w:r>
        <w:rPr>
          <w:rFonts w:ascii="仿宋" w:hAnsi="仿宋" w:eastAsia="仿宋" w:cs="仿宋"/>
          <w:sz w:val="23"/>
          <w:szCs w:val="23"/>
        </w:rPr>
        <w:t xml:space="preserve"> 行维护费1.00万元，与上年预算数相同；公务用车购置费0万元，与上年预算数相同。</w:t>
      </w:r>
    </w:p>
    <w:p w14:paraId="6999CBA0">
      <w:pPr>
        <w:pStyle w:val="2"/>
        <w:spacing w:line="280" w:lineRule="auto"/>
      </w:pPr>
    </w:p>
    <w:p w14:paraId="653F1B48">
      <w:pPr>
        <w:spacing w:line="2620" w:lineRule="exact"/>
        <w:ind w:firstLine="2127"/>
      </w:pPr>
      <w:r>
        <w:rPr>
          <w:position w:val="-52"/>
        </w:rPr>
        <w:drawing>
          <wp:inline distT="0" distB="0" distL="0" distR="0">
            <wp:extent cx="4692650" cy="166306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76"/>
                    <a:stretch>
                      <a:fillRect/>
                    </a:stretch>
                  </pic:blipFill>
                  <pic:spPr>
                    <a:xfrm>
                      <a:off x="0" y="0"/>
                      <a:ext cx="4692838" cy="1663178"/>
                    </a:xfrm>
                    <a:prstGeom prst="rect">
                      <a:avLst/>
                    </a:prstGeom>
                  </pic:spPr>
                </pic:pic>
              </a:graphicData>
            </a:graphic>
          </wp:inline>
        </w:drawing>
      </w:r>
    </w:p>
    <w:p w14:paraId="5245DE73">
      <w:pPr>
        <w:pStyle w:val="2"/>
        <w:spacing w:line="413" w:lineRule="auto"/>
      </w:pPr>
    </w:p>
    <w:p w14:paraId="32D4CA90">
      <w:pPr>
        <w:spacing w:before="99" w:line="230" w:lineRule="exact"/>
        <w:ind w:left="1253"/>
        <w:outlineLvl w:val="1"/>
        <w:rPr>
          <w:rFonts w:ascii="微软雅黑" w:hAnsi="微软雅黑" w:eastAsia="微软雅黑" w:cs="微软雅黑"/>
          <w:sz w:val="23"/>
          <w:szCs w:val="23"/>
        </w:rPr>
      </w:pPr>
      <w:bookmarkStart w:id="73" w:name="bookmark27"/>
      <w:bookmarkEnd w:id="73"/>
      <w:r>
        <w:rPr>
          <w:rFonts w:ascii="微软雅黑" w:hAnsi="微软雅黑" w:eastAsia="微软雅黑" w:cs="微软雅黑"/>
          <w:spacing w:val="-1"/>
          <w:position w:val="-1"/>
          <w:sz w:val="23"/>
          <w:szCs w:val="23"/>
        </w:rPr>
        <w:t>八、机关运行经费增减变动原因说明</w:t>
      </w:r>
    </w:p>
    <w:p w14:paraId="103FDF0F">
      <w:pPr>
        <w:spacing w:before="175" w:line="221" w:lineRule="auto"/>
        <w:ind w:left="1726"/>
        <w:rPr>
          <w:rFonts w:ascii="仿宋" w:hAnsi="仿宋" w:eastAsia="仿宋" w:cs="仿宋"/>
          <w:sz w:val="23"/>
          <w:szCs w:val="23"/>
        </w:rPr>
      </w:pPr>
      <w:r>
        <w:rPr>
          <w:rFonts w:ascii="仿宋" w:hAnsi="仿宋" w:eastAsia="仿宋" w:cs="仿宋"/>
          <w:spacing w:val="-1"/>
          <w:sz w:val="23"/>
          <w:szCs w:val="23"/>
        </w:rPr>
        <w:t>本部门无机关运行经费。</w:t>
      </w:r>
    </w:p>
    <w:p w14:paraId="78253F8D">
      <w:pPr>
        <w:spacing w:before="122" w:line="225" w:lineRule="exact"/>
        <w:ind w:left="1258"/>
        <w:outlineLvl w:val="1"/>
        <w:rPr>
          <w:rFonts w:ascii="微软雅黑" w:hAnsi="微软雅黑" w:eastAsia="微软雅黑" w:cs="微软雅黑"/>
          <w:sz w:val="22"/>
          <w:szCs w:val="22"/>
        </w:rPr>
      </w:pPr>
      <w:bookmarkStart w:id="74" w:name="bookmark28"/>
      <w:bookmarkEnd w:id="74"/>
      <w:r>
        <w:rPr>
          <w:rFonts w:ascii="微软雅黑" w:hAnsi="微软雅黑" w:eastAsia="微软雅黑" w:cs="微软雅黑"/>
          <w:spacing w:val="9"/>
          <w:position w:val="-1"/>
          <w:sz w:val="22"/>
          <w:szCs w:val="22"/>
        </w:rPr>
        <w:t>九、政府采购情况</w:t>
      </w:r>
    </w:p>
    <w:p w14:paraId="3F1B16A4">
      <w:pPr>
        <w:spacing w:before="187" w:line="306" w:lineRule="auto"/>
        <w:ind w:left="1263" w:right="1223" w:firstLine="456"/>
        <w:rPr>
          <w:rFonts w:ascii="仿宋" w:hAnsi="仿宋" w:eastAsia="仿宋" w:cs="仿宋"/>
          <w:sz w:val="23"/>
          <w:szCs w:val="23"/>
        </w:rPr>
      </w:pPr>
      <w:r>
        <w:rPr>
          <w:rFonts w:ascii="仿宋" w:hAnsi="仿宋" w:eastAsia="仿宋" w:cs="仿宋"/>
          <w:spacing w:val="5"/>
          <w:sz w:val="23"/>
          <w:szCs w:val="23"/>
        </w:rPr>
        <w:t>2025年长治高新区漳泽工业园事业服务中心政府采购预算总额3.50万元。其中：政府采</w:t>
      </w:r>
      <w:r>
        <w:rPr>
          <w:rFonts w:ascii="仿宋" w:hAnsi="仿宋" w:eastAsia="仿宋" w:cs="仿宋"/>
          <w:spacing w:val="4"/>
          <w:sz w:val="23"/>
          <w:szCs w:val="23"/>
        </w:rPr>
        <w:t xml:space="preserve"> </w:t>
      </w:r>
      <w:r>
        <w:rPr>
          <w:rFonts w:ascii="仿宋" w:hAnsi="仿宋" w:eastAsia="仿宋" w:cs="仿宋"/>
          <w:sz w:val="23"/>
          <w:szCs w:val="23"/>
        </w:rPr>
        <w:t>购货物预算1.30万元、政府采购工程预算0万元、政府采购服务预算2.20万元。</w:t>
      </w:r>
    </w:p>
    <w:p w14:paraId="1BA24337">
      <w:pPr>
        <w:spacing w:before="34" w:line="230" w:lineRule="exact"/>
        <w:ind w:left="1260"/>
        <w:outlineLvl w:val="1"/>
        <w:rPr>
          <w:rFonts w:ascii="微软雅黑" w:hAnsi="微软雅黑" w:eastAsia="微软雅黑" w:cs="微软雅黑"/>
          <w:sz w:val="22"/>
          <w:szCs w:val="22"/>
        </w:rPr>
      </w:pPr>
      <w:bookmarkStart w:id="75" w:name="bookmark29"/>
      <w:bookmarkEnd w:id="75"/>
      <w:r>
        <w:rPr>
          <w:rFonts w:ascii="微软雅黑" w:hAnsi="微软雅黑" w:eastAsia="微软雅黑" w:cs="微软雅黑"/>
          <w:spacing w:val="9"/>
          <w:position w:val="-1"/>
          <w:sz w:val="22"/>
          <w:szCs w:val="22"/>
        </w:rPr>
        <w:t>十、绩效管理情况</w:t>
      </w:r>
    </w:p>
    <w:p w14:paraId="55CFB33B">
      <w:pPr>
        <w:spacing w:line="230" w:lineRule="exact"/>
        <w:rPr>
          <w:rFonts w:ascii="微软雅黑" w:hAnsi="微软雅黑" w:eastAsia="微软雅黑" w:cs="微软雅黑"/>
          <w:sz w:val="22"/>
          <w:szCs w:val="22"/>
        </w:rPr>
        <w:sectPr>
          <w:headerReference r:id="rId39" w:type="default"/>
          <w:footerReference r:id="rId40" w:type="default"/>
          <w:pgSz w:w="11900" w:h="16840"/>
          <w:pgMar w:top="611" w:right="0" w:bottom="312" w:left="0" w:header="357" w:footer="153" w:gutter="0"/>
          <w:cols w:space="720" w:num="1"/>
        </w:sectPr>
      </w:pPr>
    </w:p>
    <w:p w14:paraId="0426AFD6">
      <w:pPr>
        <w:pStyle w:val="2"/>
        <w:spacing w:line="297" w:lineRule="auto"/>
      </w:pPr>
    </w:p>
    <w:p w14:paraId="10FDF4F4">
      <w:pPr>
        <w:pStyle w:val="2"/>
        <w:spacing w:line="297" w:lineRule="auto"/>
      </w:pPr>
    </w:p>
    <w:p w14:paraId="46312E47">
      <w:pPr>
        <w:spacing w:before="75" w:line="223" w:lineRule="auto"/>
        <w:ind w:left="1735"/>
        <w:rPr>
          <w:rFonts w:ascii="仿宋" w:hAnsi="仿宋" w:eastAsia="仿宋" w:cs="仿宋"/>
          <w:sz w:val="23"/>
          <w:szCs w:val="23"/>
        </w:rPr>
      </w:pPr>
      <w:r>
        <w:rPr>
          <w:rFonts w:ascii="仿宋" w:hAnsi="仿宋" w:eastAsia="仿宋" w:cs="仿宋"/>
          <w:spacing w:val="-3"/>
          <w:sz w:val="23"/>
          <w:szCs w:val="23"/>
        </w:rPr>
        <w:t>1、整体绩效目标</w:t>
      </w:r>
    </w:p>
    <w:p w14:paraId="00D7A0A3">
      <w:pPr>
        <w:spacing w:before="122" w:line="221" w:lineRule="auto"/>
        <w:ind w:left="1259"/>
        <w:rPr>
          <w:rFonts w:ascii="仿宋" w:hAnsi="仿宋" w:eastAsia="仿宋" w:cs="仿宋"/>
          <w:sz w:val="23"/>
          <w:szCs w:val="23"/>
        </w:rPr>
      </w:pPr>
      <w:r>
        <w:rPr>
          <w:rFonts w:ascii="仿宋" w:hAnsi="仿宋" w:eastAsia="仿宋" w:cs="仿宋"/>
          <w:sz w:val="23"/>
          <w:szCs w:val="23"/>
        </w:rPr>
        <w:t>2025年编报单位整体绩效目标，涉及资金1066.87万元。</w:t>
      </w:r>
    </w:p>
    <w:p w14:paraId="675D4C92">
      <w:pPr>
        <w:spacing w:before="134" w:line="221" w:lineRule="auto"/>
        <w:ind w:left="1263"/>
        <w:rPr>
          <w:rFonts w:ascii="仿宋" w:hAnsi="仿宋" w:eastAsia="仿宋" w:cs="仿宋"/>
          <w:sz w:val="23"/>
          <w:szCs w:val="23"/>
        </w:rPr>
      </w:pPr>
      <w:r>
        <w:rPr>
          <w:rFonts w:ascii="仿宋" w:hAnsi="仿宋" w:eastAsia="仿宋" w:cs="仿宋"/>
          <w:sz w:val="23"/>
          <w:szCs w:val="23"/>
        </w:rPr>
        <w:t>长治高新区漳泽工业园事业服务中心整体目标表公开情况见附件。</w:t>
      </w:r>
    </w:p>
    <w:p w14:paraId="05014C61">
      <w:pPr>
        <w:spacing w:before="124" w:line="223" w:lineRule="auto"/>
        <w:ind w:left="1720"/>
        <w:rPr>
          <w:rFonts w:ascii="仿宋" w:hAnsi="仿宋" w:eastAsia="仿宋" w:cs="仿宋"/>
          <w:sz w:val="23"/>
          <w:szCs w:val="23"/>
        </w:rPr>
      </w:pPr>
      <w:r>
        <w:rPr>
          <w:rFonts w:ascii="仿宋" w:hAnsi="仿宋" w:eastAsia="仿宋" w:cs="仿宋"/>
          <w:spacing w:val="-1"/>
          <w:sz w:val="23"/>
          <w:szCs w:val="23"/>
        </w:rPr>
        <w:t>2、项目绩效目标</w:t>
      </w:r>
    </w:p>
    <w:p w14:paraId="1D6367E7">
      <w:pPr>
        <w:spacing w:before="121" w:line="316" w:lineRule="auto"/>
        <w:ind w:left="1263" w:right="1223" w:firstLine="457"/>
        <w:rPr>
          <w:rFonts w:ascii="仿宋" w:hAnsi="仿宋" w:eastAsia="仿宋" w:cs="仿宋"/>
          <w:sz w:val="23"/>
          <w:szCs w:val="23"/>
        </w:rPr>
      </w:pPr>
      <w:r>
        <w:rPr>
          <w:rFonts w:ascii="仿宋" w:hAnsi="仿宋" w:eastAsia="仿宋" w:cs="仿宋"/>
          <w:spacing w:val="5"/>
          <w:sz w:val="23"/>
          <w:szCs w:val="23"/>
        </w:rPr>
        <w:t>2025年长治高新区漳泽工业园事业服务中心纳入绩效目标管理的二级项目22个，共计金</w:t>
      </w:r>
      <w:r>
        <w:rPr>
          <w:rFonts w:ascii="仿宋" w:hAnsi="仿宋" w:eastAsia="仿宋" w:cs="仿宋"/>
          <w:spacing w:val="9"/>
          <w:sz w:val="23"/>
          <w:szCs w:val="23"/>
        </w:rPr>
        <w:t xml:space="preserve"> </w:t>
      </w:r>
      <w:r>
        <w:rPr>
          <w:rFonts w:ascii="仿宋" w:hAnsi="仿宋" w:eastAsia="仿宋" w:cs="仿宋"/>
          <w:spacing w:val="2"/>
          <w:sz w:val="23"/>
          <w:szCs w:val="23"/>
        </w:rPr>
        <w:t>额820.14万元。其中：其他运转类项目19个，涉及金额543.00万元；特定目标类项目2个，涉</w:t>
      </w:r>
      <w:r>
        <w:rPr>
          <w:rFonts w:ascii="仿宋" w:hAnsi="仿宋" w:eastAsia="仿宋" w:cs="仿宋"/>
          <w:spacing w:val="1"/>
          <w:sz w:val="23"/>
          <w:szCs w:val="23"/>
        </w:rPr>
        <w:t xml:space="preserve"> </w:t>
      </w:r>
      <w:r>
        <w:rPr>
          <w:rFonts w:ascii="仿宋" w:hAnsi="仿宋" w:eastAsia="仿宋" w:cs="仿宋"/>
          <w:spacing w:val="3"/>
          <w:sz w:val="23"/>
          <w:szCs w:val="23"/>
        </w:rPr>
        <w:t>及金额277.14万元。公开项目绩效目标22个，涉及项目金额820.14万元，</w:t>
      </w:r>
      <w:r>
        <w:rPr>
          <w:rFonts w:ascii="仿宋" w:hAnsi="仿宋" w:eastAsia="仿宋" w:cs="仿宋"/>
          <w:spacing w:val="-44"/>
          <w:sz w:val="23"/>
          <w:szCs w:val="23"/>
        </w:rPr>
        <w:t xml:space="preserve"> </w:t>
      </w:r>
      <w:r>
        <w:rPr>
          <w:rFonts w:ascii="仿宋" w:hAnsi="仿宋" w:eastAsia="仿宋" w:cs="仿宋"/>
          <w:spacing w:val="3"/>
          <w:sz w:val="23"/>
          <w:szCs w:val="23"/>
        </w:rPr>
        <w:t>占部门（单位）项</w:t>
      </w:r>
      <w:r>
        <w:rPr>
          <w:rFonts w:ascii="仿宋" w:hAnsi="仿宋" w:eastAsia="仿宋" w:cs="仿宋"/>
          <w:sz w:val="23"/>
          <w:szCs w:val="23"/>
        </w:rPr>
        <w:t xml:space="preserve"> </w:t>
      </w:r>
      <w:r>
        <w:rPr>
          <w:rFonts w:ascii="仿宋" w:hAnsi="仿宋" w:eastAsia="仿宋" w:cs="仿宋"/>
          <w:spacing w:val="5"/>
          <w:sz w:val="23"/>
          <w:szCs w:val="23"/>
        </w:rPr>
        <w:t>目支出总额的100%。其中：其他运转类项目19个，涉及项</w:t>
      </w:r>
      <w:r>
        <w:rPr>
          <w:rFonts w:ascii="仿宋" w:hAnsi="仿宋" w:eastAsia="仿宋" w:cs="仿宋"/>
          <w:spacing w:val="4"/>
          <w:sz w:val="23"/>
          <w:szCs w:val="23"/>
        </w:rPr>
        <w:t>目金额543.00万元；特定目标类项</w:t>
      </w:r>
    </w:p>
    <w:p w14:paraId="20D18610">
      <w:pPr>
        <w:spacing w:before="49" w:line="306" w:lineRule="auto"/>
        <w:ind w:left="1264" w:right="6977" w:firstLine="40"/>
        <w:rPr>
          <w:rFonts w:ascii="仿宋" w:hAnsi="仿宋" w:eastAsia="仿宋" w:cs="仿宋"/>
          <w:sz w:val="23"/>
          <w:szCs w:val="23"/>
        </w:rPr>
      </w:pPr>
      <w:r>
        <w:rPr>
          <w:rFonts w:ascii="仿宋" w:hAnsi="仿宋" w:eastAsia="仿宋" w:cs="仿宋"/>
          <w:spacing w:val="-1"/>
          <w:sz w:val="23"/>
          <w:szCs w:val="23"/>
        </w:rPr>
        <w:t>目2个，涉及项目金额277.14万元。</w:t>
      </w:r>
      <w:r>
        <w:rPr>
          <w:rFonts w:ascii="仿宋" w:hAnsi="仿宋" w:eastAsia="仿宋" w:cs="仿宋"/>
          <w:spacing w:val="3"/>
          <w:sz w:val="23"/>
          <w:szCs w:val="23"/>
        </w:rPr>
        <w:t xml:space="preserve"> </w:t>
      </w:r>
      <w:r>
        <w:rPr>
          <w:rFonts w:ascii="仿宋" w:hAnsi="仿宋" w:eastAsia="仿宋" w:cs="仿宋"/>
          <w:spacing w:val="-2"/>
          <w:sz w:val="23"/>
          <w:szCs w:val="23"/>
        </w:rPr>
        <w:t>（项目绩效目标表公开情况见附件）</w:t>
      </w:r>
    </w:p>
    <w:p w14:paraId="1AD21697">
      <w:pPr>
        <w:spacing w:line="306" w:lineRule="auto"/>
        <w:rPr>
          <w:rFonts w:ascii="仿宋" w:hAnsi="仿宋" w:eastAsia="仿宋" w:cs="仿宋"/>
          <w:sz w:val="23"/>
          <w:szCs w:val="23"/>
        </w:rPr>
        <w:sectPr>
          <w:headerReference r:id="rId41" w:type="default"/>
          <w:footerReference r:id="rId42" w:type="default"/>
          <w:pgSz w:w="11900" w:h="16840"/>
          <w:pgMar w:top="611" w:right="0" w:bottom="312" w:left="0" w:header="357" w:footer="153" w:gutter="0"/>
          <w:cols w:space="720" w:num="1"/>
        </w:sectPr>
      </w:pPr>
    </w:p>
    <w:p w14:paraId="6BB8BA5B">
      <w:pPr>
        <w:pStyle w:val="2"/>
        <w:spacing w:line="293" w:lineRule="auto"/>
      </w:pPr>
    </w:p>
    <w:p w14:paraId="558B10C7">
      <w:pPr>
        <w:pStyle w:val="2"/>
        <w:spacing w:line="293" w:lineRule="auto"/>
      </w:pPr>
    </w:p>
    <w:p w14:paraId="41444AC2">
      <w:pPr>
        <w:spacing w:line="11233" w:lineRule="exact"/>
        <w:ind w:firstLine="1994"/>
      </w:pPr>
      <w:r>
        <w:pict>
          <v:shape id="_x0000_s1026" o:spid="_x0000_s1026" o:spt="136" type="#_x0000_t136" style="position:absolute;left:0pt;margin-left:86.9pt;margin-top:472pt;height:18.85pt;width:119.4pt;rotation:21626880f;z-index:25165926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27" o:spid="_x0000_s1027" o:spt="136" type="#_x0000_t136" style="position:absolute;left:0pt;margin-left:-13.05pt;margin-top:228pt;height:18.85pt;width:119.4pt;rotation:21626880f;z-index:25166028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28" o:spid="_x0000_s1028" o:spt="136" type="#_x0000_t136" style="position:absolute;left:0pt;margin-left:391.9pt;margin-top:228pt;height:18.85pt;width:119.4pt;rotation:21626880f;z-index:25166131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24"/>
        </w:rPr>
        <w:drawing>
          <wp:inline distT="0" distB="0" distL="0" distR="0">
            <wp:extent cx="5038725" cy="713295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77"/>
                    <a:stretch>
                      <a:fillRect/>
                    </a:stretch>
                  </pic:blipFill>
                  <pic:spPr>
                    <a:xfrm>
                      <a:off x="0" y="0"/>
                      <a:ext cx="5039127" cy="7133043"/>
                    </a:xfrm>
                    <a:prstGeom prst="rect">
                      <a:avLst/>
                    </a:prstGeom>
                  </pic:spPr>
                </pic:pic>
              </a:graphicData>
            </a:graphic>
          </wp:inline>
        </w:drawing>
      </w:r>
    </w:p>
    <w:p w14:paraId="17DFA9FD">
      <w:pPr>
        <w:spacing w:line="11233" w:lineRule="exact"/>
        <w:sectPr>
          <w:headerReference r:id="rId43" w:type="default"/>
          <w:footerReference r:id="rId44" w:type="default"/>
          <w:pgSz w:w="11900" w:h="16840"/>
          <w:pgMar w:top="611" w:right="0" w:bottom="312" w:left="0" w:header="357" w:footer="153" w:gutter="0"/>
          <w:cols w:space="720" w:num="1"/>
        </w:sectPr>
      </w:pPr>
    </w:p>
    <w:p w14:paraId="79D3F702">
      <w:pPr>
        <w:pStyle w:val="2"/>
        <w:spacing w:line="293" w:lineRule="auto"/>
      </w:pPr>
    </w:p>
    <w:p w14:paraId="1F6008C1">
      <w:pPr>
        <w:pStyle w:val="2"/>
        <w:spacing w:line="293" w:lineRule="auto"/>
      </w:pPr>
    </w:p>
    <w:p w14:paraId="7FE6DCF0">
      <w:pPr>
        <w:spacing w:line="10520" w:lineRule="exact"/>
        <w:ind w:firstLine="1994"/>
      </w:pPr>
      <w:r>
        <w:pict>
          <v:shape id="_x0000_s1029" o:spid="_x0000_s1029" o:spt="136" type="#_x0000_t136" style="position:absolute;left:0pt;margin-left:391.9pt;margin-top:228pt;height:18.85pt;width:119.4pt;rotation:21626880f;z-index:25166233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0" o:spid="_x0000_s1030" o:spt="136" type="#_x0000_t136" style="position:absolute;left:0pt;margin-left:86.9pt;margin-top:472pt;height:18.85pt;width:119.4pt;rotation:21626880f;z-index:2516633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1" o:spid="_x0000_s1031" o:spt="136" type="#_x0000_t136" style="position:absolute;left:0pt;margin-left:-13.05pt;margin-top:228pt;height:18.85pt;width:119.4pt;rotation:21626880f;z-index:25166438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10"/>
        </w:rPr>
        <w:drawing>
          <wp:inline distT="0" distB="0" distL="0" distR="0">
            <wp:extent cx="5038725" cy="667956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78"/>
                    <a:stretch>
                      <a:fillRect/>
                    </a:stretch>
                  </pic:blipFill>
                  <pic:spPr>
                    <a:xfrm>
                      <a:off x="0" y="0"/>
                      <a:ext cx="5039127" cy="6679934"/>
                    </a:xfrm>
                    <a:prstGeom prst="rect">
                      <a:avLst/>
                    </a:prstGeom>
                  </pic:spPr>
                </pic:pic>
              </a:graphicData>
            </a:graphic>
          </wp:inline>
        </w:drawing>
      </w:r>
    </w:p>
    <w:p w14:paraId="35CB19ED">
      <w:pPr>
        <w:spacing w:line="10520" w:lineRule="exact"/>
        <w:sectPr>
          <w:footerReference r:id="rId45" w:type="default"/>
          <w:pgSz w:w="11900" w:h="16840"/>
          <w:pgMar w:top="611" w:right="0" w:bottom="312" w:left="0" w:header="357" w:footer="153" w:gutter="0"/>
          <w:cols w:space="720" w:num="1"/>
        </w:sectPr>
      </w:pPr>
    </w:p>
    <w:p w14:paraId="0CD5CC58">
      <w:pPr>
        <w:pStyle w:val="2"/>
        <w:spacing w:line="293" w:lineRule="auto"/>
      </w:pPr>
    </w:p>
    <w:p w14:paraId="0967A46C">
      <w:pPr>
        <w:pStyle w:val="2"/>
        <w:spacing w:line="293" w:lineRule="auto"/>
      </w:pPr>
    </w:p>
    <w:p w14:paraId="42D15ED4">
      <w:pPr>
        <w:spacing w:line="10271" w:lineRule="exact"/>
        <w:ind w:firstLine="1994"/>
      </w:pPr>
      <w:r>
        <w:pict>
          <v:shape id="_x0000_s1032" o:spid="_x0000_s1032" o:spt="136" type="#_x0000_t136" style="position:absolute;left:0pt;margin-left:-13.05pt;margin-top:228pt;height:18.85pt;width:119.4pt;rotation:21626880f;z-index:2516654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3" o:spid="_x0000_s1033" o:spt="136" type="#_x0000_t136" style="position:absolute;left:0pt;margin-left:86.9pt;margin-top:472pt;height:18.85pt;width:119.4pt;rotation:21626880f;z-index:25166643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4" o:spid="_x0000_s1034" o:spt="136" type="#_x0000_t136" style="position:absolute;left:0pt;margin-left:391.9pt;margin-top:228pt;height:18.85pt;width:119.4pt;rotation:21626880f;z-index:25166745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05"/>
        </w:rPr>
        <w:drawing>
          <wp:inline distT="0" distB="0" distL="0" distR="0">
            <wp:extent cx="5038725" cy="652145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79"/>
                    <a:stretch>
                      <a:fillRect/>
                    </a:stretch>
                  </pic:blipFill>
                  <pic:spPr>
                    <a:xfrm>
                      <a:off x="0" y="0"/>
                      <a:ext cx="5039127" cy="6522032"/>
                    </a:xfrm>
                    <a:prstGeom prst="rect">
                      <a:avLst/>
                    </a:prstGeom>
                  </pic:spPr>
                </pic:pic>
              </a:graphicData>
            </a:graphic>
          </wp:inline>
        </w:drawing>
      </w:r>
    </w:p>
    <w:p w14:paraId="5145D91D">
      <w:pPr>
        <w:spacing w:line="10271" w:lineRule="exact"/>
        <w:sectPr>
          <w:footerReference r:id="rId46" w:type="default"/>
          <w:pgSz w:w="11900" w:h="16840"/>
          <w:pgMar w:top="611" w:right="0" w:bottom="312" w:left="0" w:header="357" w:footer="153" w:gutter="0"/>
          <w:cols w:space="720" w:num="1"/>
        </w:sectPr>
      </w:pPr>
    </w:p>
    <w:p w14:paraId="274E124A">
      <w:pPr>
        <w:pStyle w:val="2"/>
        <w:spacing w:line="293" w:lineRule="auto"/>
      </w:pPr>
    </w:p>
    <w:p w14:paraId="19C992B7">
      <w:pPr>
        <w:pStyle w:val="2"/>
        <w:spacing w:line="293" w:lineRule="auto"/>
      </w:pPr>
    </w:p>
    <w:p w14:paraId="275941FF">
      <w:pPr>
        <w:spacing w:line="11190" w:lineRule="exact"/>
        <w:ind w:firstLine="2308"/>
      </w:pPr>
      <w:r>
        <w:pict>
          <v:shape id="_x0000_s1035" o:spid="_x0000_s1035" o:spt="136" type="#_x0000_t136" style="position:absolute;left:0pt;margin-left:86.9pt;margin-top:472pt;height:18.85pt;width:119.4pt;rotation:21626880f;z-index:25166848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6" o:spid="_x0000_s1036" o:spt="136" type="#_x0000_t136" style="position:absolute;left:0pt;margin-left:391.9pt;margin-top:228pt;height:18.85pt;width:119.4pt;rotation:21626880f;z-index:25166950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23"/>
        </w:rPr>
        <w:drawing>
          <wp:inline distT="0" distB="0" distL="0" distR="0">
            <wp:extent cx="4640580" cy="710501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80"/>
                    <a:stretch>
                      <a:fillRect/>
                    </a:stretch>
                  </pic:blipFill>
                  <pic:spPr>
                    <a:xfrm>
                      <a:off x="0" y="0"/>
                      <a:ext cx="4640940" cy="7105582"/>
                    </a:xfrm>
                    <a:prstGeom prst="rect">
                      <a:avLst/>
                    </a:prstGeom>
                  </pic:spPr>
                </pic:pic>
              </a:graphicData>
            </a:graphic>
          </wp:inline>
        </w:drawing>
      </w:r>
    </w:p>
    <w:p w14:paraId="552985AF">
      <w:pPr>
        <w:spacing w:line="11190" w:lineRule="exact"/>
        <w:sectPr>
          <w:headerReference r:id="rId47" w:type="default"/>
          <w:footerReference r:id="rId48" w:type="default"/>
          <w:pgSz w:w="11900" w:h="16840"/>
          <w:pgMar w:top="611" w:right="0" w:bottom="312" w:left="0" w:header="357" w:footer="153" w:gutter="0"/>
          <w:cols w:space="720" w:num="1"/>
        </w:sectPr>
      </w:pPr>
    </w:p>
    <w:p w14:paraId="19BB1AD2">
      <w:pPr>
        <w:pStyle w:val="2"/>
        <w:spacing w:line="293" w:lineRule="auto"/>
      </w:pPr>
    </w:p>
    <w:p w14:paraId="451C9F8F">
      <w:pPr>
        <w:pStyle w:val="2"/>
        <w:spacing w:line="293" w:lineRule="auto"/>
      </w:pPr>
    </w:p>
    <w:p w14:paraId="037C7527">
      <w:pPr>
        <w:spacing w:line="11925" w:lineRule="exact"/>
        <w:ind w:firstLine="2308"/>
      </w:pPr>
      <w:r>
        <w:pict>
          <v:shape id="_x0000_s1037" o:spid="_x0000_s1037" o:spt="136" type="#_x0000_t136" style="position:absolute;left:0pt;margin-left:391.9pt;margin-top:228pt;height:18.85pt;width:119.4pt;rotation:21626880f;z-index:25167052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8" o:spid="_x0000_s1038" o:spt="136" type="#_x0000_t136" style="position:absolute;left:0pt;margin-left:86.9pt;margin-top:472pt;height:18.85pt;width:119.4pt;rotation:21626880f;z-index:25167155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38"/>
        </w:rPr>
        <w:drawing>
          <wp:inline distT="0" distB="0" distL="0" distR="0">
            <wp:extent cx="4640580" cy="757237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81"/>
                    <a:stretch>
                      <a:fillRect/>
                    </a:stretch>
                  </pic:blipFill>
                  <pic:spPr>
                    <a:xfrm>
                      <a:off x="0" y="0"/>
                      <a:ext cx="4640940" cy="7572423"/>
                    </a:xfrm>
                    <a:prstGeom prst="rect">
                      <a:avLst/>
                    </a:prstGeom>
                  </pic:spPr>
                </pic:pic>
              </a:graphicData>
            </a:graphic>
          </wp:inline>
        </w:drawing>
      </w:r>
    </w:p>
    <w:p w14:paraId="18D7ACF6">
      <w:pPr>
        <w:spacing w:line="11925" w:lineRule="exact"/>
        <w:sectPr>
          <w:footerReference r:id="rId49" w:type="default"/>
          <w:pgSz w:w="11900" w:h="16840"/>
          <w:pgMar w:top="611" w:right="0" w:bottom="312" w:left="0" w:header="357" w:footer="153" w:gutter="0"/>
          <w:cols w:space="720" w:num="1"/>
        </w:sectPr>
      </w:pPr>
    </w:p>
    <w:p w14:paraId="2B3BBF09">
      <w:pPr>
        <w:pStyle w:val="2"/>
        <w:spacing w:line="293" w:lineRule="auto"/>
      </w:pPr>
    </w:p>
    <w:p w14:paraId="0299F813">
      <w:pPr>
        <w:pStyle w:val="2"/>
        <w:spacing w:line="293" w:lineRule="auto"/>
      </w:pPr>
    </w:p>
    <w:p w14:paraId="01051E4A">
      <w:pPr>
        <w:spacing w:line="11439" w:lineRule="exact"/>
        <w:ind w:firstLine="2102"/>
      </w:pPr>
      <w:r>
        <w:pict>
          <v:shape id="_x0000_s1039" o:spid="_x0000_s1039" o:spt="136" type="#_x0000_t136" style="position:absolute;left:0pt;margin-left:86.9pt;margin-top:472pt;height:18.85pt;width:119.4pt;rotation:21626880f;z-index:2516725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0" o:spid="_x0000_s1040" o:spt="136" type="#_x0000_t136" style="position:absolute;left:0pt;margin-left:391.9pt;margin-top:228pt;height:18.85pt;width:119.4pt;rotation:21626880f;z-index:25167360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28"/>
        </w:rPr>
        <w:drawing>
          <wp:inline distT="0" distB="0" distL="0" distR="0">
            <wp:extent cx="4901565" cy="726313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82"/>
                    <a:stretch>
                      <a:fillRect/>
                    </a:stretch>
                  </pic:blipFill>
                  <pic:spPr>
                    <a:xfrm>
                      <a:off x="0" y="0"/>
                      <a:ext cx="4901822" cy="7263484"/>
                    </a:xfrm>
                    <a:prstGeom prst="rect">
                      <a:avLst/>
                    </a:prstGeom>
                  </pic:spPr>
                </pic:pic>
              </a:graphicData>
            </a:graphic>
          </wp:inline>
        </w:drawing>
      </w:r>
    </w:p>
    <w:p w14:paraId="1D64D5E6">
      <w:pPr>
        <w:spacing w:line="11439" w:lineRule="exact"/>
        <w:sectPr>
          <w:footerReference r:id="rId50" w:type="default"/>
          <w:pgSz w:w="11900" w:h="16840"/>
          <w:pgMar w:top="611" w:right="0" w:bottom="312" w:left="0" w:header="357" w:footer="153" w:gutter="0"/>
          <w:cols w:space="720" w:num="1"/>
        </w:sectPr>
      </w:pPr>
    </w:p>
    <w:p w14:paraId="0B5975FE">
      <w:pPr>
        <w:pStyle w:val="2"/>
        <w:spacing w:line="293" w:lineRule="auto"/>
      </w:pPr>
    </w:p>
    <w:p w14:paraId="7EE285B4">
      <w:pPr>
        <w:pStyle w:val="2"/>
        <w:spacing w:line="293" w:lineRule="auto"/>
      </w:pPr>
    </w:p>
    <w:p w14:paraId="055075F1">
      <w:pPr>
        <w:spacing w:line="10995" w:lineRule="exact"/>
        <w:ind w:firstLine="1994"/>
      </w:pPr>
      <w:r>
        <w:pict>
          <v:shape id="_x0000_s1041" o:spid="_x0000_s1041" o:spt="136" type="#_x0000_t136" style="position:absolute;left:0pt;margin-left:86.9pt;margin-top:472pt;height:18.85pt;width:119.4pt;rotation:21626880f;z-index:25167462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2" o:spid="_x0000_s1042" o:spt="136" type="#_x0000_t136" style="position:absolute;left:0pt;margin-left:-13.05pt;margin-top:228pt;height:18.85pt;width:119.4pt;rotation:21626880f;z-index:25167564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3" o:spid="_x0000_s1043" o:spt="136" type="#_x0000_t136" style="position:absolute;left:0pt;margin-left:391.9pt;margin-top:228pt;height:18.85pt;width:119.4pt;rotation:21626880f;z-index:25167667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19"/>
        </w:rPr>
        <w:drawing>
          <wp:inline distT="0" distB="0" distL="0" distR="0">
            <wp:extent cx="5038725" cy="698182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83"/>
                    <a:stretch>
                      <a:fillRect/>
                    </a:stretch>
                  </pic:blipFill>
                  <pic:spPr>
                    <a:xfrm>
                      <a:off x="0" y="0"/>
                      <a:ext cx="5039127" cy="6982007"/>
                    </a:xfrm>
                    <a:prstGeom prst="rect">
                      <a:avLst/>
                    </a:prstGeom>
                  </pic:spPr>
                </pic:pic>
              </a:graphicData>
            </a:graphic>
          </wp:inline>
        </w:drawing>
      </w:r>
    </w:p>
    <w:p w14:paraId="26097077">
      <w:pPr>
        <w:spacing w:line="10995" w:lineRule="exact"/>
        <w:sectPr>
          <w:headerReference r:id="rId51" w:type="default"/>
          <w:footerReference r:id="rId52" w:type="default"/>
          <w:pgSz w:w="11900" w:h="16840"/>
          <w:pgMar w:top="611" w:right="0" w:bottom="312" w:left="0" w:header="357" w:footer="153" w:gutter="0"/>
          <w:cols w:space="720" w:num="1"/>
        </w:sectPr>
      </w:pPr>
    </w:p>
    <w:p w14:paraId="59046DD9">
      <w:pPr>
        <w:pStyle w:val="2"/>
        <w:spacing w:line="293" w:lineRule="auto"/>
      </w:pPr>
    </w:p>
    <w:p w14:paraId="11598ED3">
      <w:pPr>
        <w:pStyle w:val="2"/>
        <w:spacing w:line="293" w:lineRule="auto"/>
      </w:pPr>
    </w:p>
    <w:p w14:paraId="77E8CA44">
      <w:pPr>
        <w:spacing w:line="11676" w:lineRule="exact"/>
        <w:ind w:firstLine="2308"/>
      </w:pPr>
      <w:r>
        <w:pict>
          <v:shape id="_x0000_s1044" o:spid="_x0000_s1044" o:spt="136" type="#_x0000_t136" style="position:absolute;left:0pt;margin-left:391.9pt;margin-top:228pt;height:18.85pt;width:119.4pt;rotation:21626880f;z-index:25167769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5" o:spid="_x0000_s1045" o:spt="136" type="#_x0000_t136" style="position:absolute;left:0pt;margin-left:86.9pt;margin-top:472pt;height:18.85pt;width:119.4pt;rotation:21626880f;z-index:25167872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33"/>
        </w:rPr>
        <w:drawing>
          <wp:inline distT="0" distB="0" distL="0" distR="0">
            <wp:extent cx="4640580" cy="7414260"/>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84"/>
                    <a:stretch>
                      <a:fillRect/>
                    </a:stretch>
                  </pic:blipFill>
                  <pic:spPr>
                    <a:xfrm>
                      <a:off x="0" y="0"/>
                      <a:ext cx="4640940" cy="7414521"/>
                    </a:xfrm>
                    <a:prstGeom prst="rect">
                      <a:avLst/>
                    </a:prstGeom>
                  </pic:spPr>
                </pic:pic>
              </a:graphicData>
            </a:graphic>
          </wp:inline>
        </w:drawing>
      </w:r>
    </w:p>
    <w:p w14:paraId="1449C2CC">
      <w:pPr>
        <w:spacing w:line="11676" w:lineRule="exact"/>
        <w:sectPr>
          <w:headerReference r:id="rId53" w:type="default"/>
          <w:footerReference r:id="rId54" w:type="default"/>
          <w:pgSz w:w="11900" w:h="16840"/>
          <w:pgMar w:top="611" w:right="0" w:bottom="312" w:left="0" w:header="357" w:footer="153" w:gutter="0"/>
          <w:cols w:space="720" w:num="1"/>
        </w:sectPr>
      </w:pPr>
    </w:p>
    <w:p w14:paraId="776E50F0">
      <w:pPr>
        <w:pStyle w:val="2"/>
        <w:spacing w:line="293" w:lineRule="auto"/>
      </w:pPr>
    </w:p>
    <w:p w14:paraId="38A1A765">
      <w:pPr>
        <w:pStyle w:val="2"/>
        <w:spacing w:line="293" w:lineRule="auto"/>
      </w:pPr>
    </w:p>
    <w:p w14:paraId="23C11235">
      <w:pPr>
        <w:spacing w:line="11190" w:lineRule="exact"/>
        <w:ind w:firstLine="2308"/>
      </w:pPr>
      <w:r>
        <w:pict>
          <v:shape id="_x0000_s1046" o:spid="_x0000_s1046" o:spt="136" type="#_x0000_t136" style="position:absolute;left:0pt;margin-left:391.9pt;margin-top:228pt;height:18.85pt;width:119.4pt;rotation:21626880f;z-index:25167974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7" o:spid="_x0000_s1047" o:spt="136" type="#_x0000_t136" style="position:absolute;left:0pt;margin-left:86.9pt;margin-top:472pt;height:18.85pt;width:119.4pt;rotation:21626880f;z-index:25168076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23"/>
        </w:rPr>
        <w:drawing>
          <wp:inline distT="0" distB="0" distL="0" distR="0">
            <wp:extent cx="4640580" cy="7105015"/>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85"/>
                    <a:stretch>
                      <a:fillRect/>
                    </a:stretch>
                  </pic:blipFill>
                  <pic:spPr>
                    <a:xfrm>
                      <a:off x="0" y="0"/>
                      <a:ext cx="4640940" cy="7105582"/>
                    </a:xfrm>
                    <a:prstGeom prst="rect">
                      <a:avLst/>
                    </a:prstGeom>
                  </pic:spPr>
                </pic:pic>
              </a:graphicData>
            </a:graphic>
          </wp:inline>
        </w:drawing>
      </w:r>
    </w:p>
    <w:p w14:paraId="53DC6467">
      <w:pPr>
        <w:spacing w:line="11190" w:lineRule="exact"/>
        <w:sectPr>
          <w:footerReference r:id="rId55" w:type="default"/>
          <w:pgSz w:w="11900" w:h="16840"/>
          <w:pgMar w:top="611" w:right="0" w:bottom="312" w:left="0" w:header="357" w:footer="153" w:gutter="0"/>
          <w:cols w:space="720" w:num="1"/>
        </w:sectPr>
      </w:pPr>
    </w:p>
    <w:p w14:paraId="379600DB">
      <w:pPr>
        <w:pStyle w:val="2"/>
        <w:spacing w:line="293" w:lineRule="auto"/>
      </w:pPr>
    </w:p>
    <w:p w14:paraId="3818B306">
      <w:pPr>
        <w:pStyle w:val="2"/>
        <w:spacing w:line="293" w:lineRule="auto"/>
      </w:pPr>
    </w:p>
    <w:p w14:paraId="3657B04C">
      <w:pPr>
        <w:spacing w:line="11471" w:lineRule="exact"/>
        <w:ind w:firstLine="1994"/>
      </w:pPr>
      <w:r>
        <w:pict>
          <v:shape id="_x0000_s1048" o:spid="_x0000_s1048" o:spt="136" type="#_x0000_t136" style="position:absolute;left:0pt;margin-left:391.9pt;margin-top:228pt;height:18.85pt;width:119.4pt;rotation:21626880f;z-index:2516817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9" o:spid="_x0000_s1049" o:spt="136" type="#_x0000_t136" style="position:absolute;left:0pt;margin-left:86.9pt;margin-top:472pt;height:18.85pt;width:119.4pt;rotation:21626880f;z-index:25168281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0" o:spid="_x0000_s1050" o:spt="136" type="#_x0000_t136" style="position:absolute;left:0pt;margin-left:-13.05pt;margin-top:228pt;height:18.85pt;width:119.4pt;rotation:21626880f;z-index:2516838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29"/>
        </w:rPr>
        <w:drawing>
          <wp:inline distT="0" distB="0" distL="0" distR="0">
            <wp:extent cx="5038725" cy="7283450"/>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86"/>
                    <a:stretch>
                      <a:fillRect/>
                    </a:stretch>
                  </pic:blipFill>
                  <pic:spPr>
                    <a:xfrm>
                      <a:off x="0" y="0"/>
                      <a:ext cx="5039127" cy="7284080"/>
                    </a:xfrm>
                    <a:prstGeom prst="rect">
                      <a:avLst/>
                    </a:prstGeom>
                  </pic:spPr>
                </pic:pic>
              </a:graphicData>
            </a:graphic>
          </wp:inline>
        </w:drawing>
      </w:r>
    </w:p>
    <w:p w14:paraId="0EDD612D">
      <w:pPr>
        <w:spacing w:line="11471" w:lineRule="exact"/>
        <w:sectPr>
          <w:headerReference r:id="rId56" w:type="default"/>
          <w:footerReference r:id="rId57" w:type="default"/>
          <w:pgSz w:w="11900" w:h="16840"/>
          <w:pgMar w:top="611" w:right="0" w:bottom="312" w:left="0" w:header="357" w:footer="153" w:gutter="0"/>
          <w:cols w:space="720" w:num="1"/>
        </w:sectPr>
      </w:pPr>
    </w:p>
    <w:p w14:paraId="01588B55">
      <w:pPr>
        <w:pStyle w:val="2"/>
        <w:spacing w:line="293" w:lineRule="auto"/>
      </w:pPr>
    </w:p>
    <w:p w14:paraId="73A3467B">
      <w:pPr>
        <w:pStyle w:val="2"/>
        <w:spacing w:line="293" w:lineRule="auto"/>
      </w:pPr>
    </w:p>
    <w:p w14:paraId="6419351E">
      <w:pPr>
        <w:spacing w:line="10941" w:lineRule="exact"/>
        <w:ind w:firstLine="2308"/>
      </w:pPr>
      <w:r>
        <w:pict>
          <v:shape id="_x0000_s1051" o:spid="_x0000_s1051" o:spt="136" type="#_x0000_t136" style="position:absolute;left:0pt;margin-left:391.9pt;margin-top:228pt;height:18.85pt;width:119.4pt;rotation:21626880f;z-index:25168486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2" o:spid="_x0000_s1052" o:spt="136" type="#_x0000_t136" style="position:absolute;left:0pt;margin-left:86.9pt;margin-top:472pt;height:18.85pt;width:119.4pt;rotation:21626880f;z-index:25168588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18"/>
        </w:rPr>
        <w:drawing>
          <wp:inline distT="0" distB="0" distL="0" distR="0">
            <wp:extent cx="4640580" cy="6947535"/>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87"/>
                    <a:stretch>
                      <a:fillRect/>
                    </a:stretch>
                  </pic:blipFill>
                  <pic:spPr>
                    <a:xfrm>
                      <a:off x="0" y="0"/>
                      <a:ext cx="4640940" cy="6947680"/>
                    </a:xfrm>
                    <a:prstGeom prst="rect">
                      <a:avLst/>
                    </a:prstGeom>
                  </pic:spPr>
                </pic:pic>
              </a:graphicData>
            </a:graphic>
          </wp:inline>
        </w:drawing>
      </w:r>
    </w:p>
    <w:p w14:paraId="2C9ECD61">
      <w:pPr>
        <w:spacing w:line="10941" w:lineRule="exact"/>
        <w:sectPr>
          <w:headerReference r:id="rId58" w:type="default"/>
          <w:footerReference r:id="rId59" w:type="default"/>
          <w:pgSz w:w="11900" w:h="16840"/>
          <w:pgMar w:top="611" w:right="0" w:bottom="312" w:left="0" w:header="357" w:footer="153" w:gutter="0"/>
          <w:cols w:space="720" w:num="1"/>
        </w:sectPr>
      </w:pPr>
    </w:p>
    <w:p w14:paraId="0CE1C561">
      <w:pPr>
        <w:pStyle w:val="2"/>
        <w:spacing w:line="293" w:lineRule="auto"/>
      </w:pPr>
    </w:p>
    <w:p w14:paraId="4EFDE0F6">
      <w:pPr>
        <w:pStyle w:val="2"/>
        <w:spacing w:line="293" w:lineRule="auto"/>
      </w:pPr>
    </w:p>
    <w:p w14:paraId="22A51EE9">
      <w:pPr>
        <w:spacing w:line="11190" w:lineRule="exact"/>
        <w:ind w:firstLine="2308"/>
      </w:pPr>
      <w:r>
        <w:pict>
          <v:shape id="_x0000_s1053" o:spid="_x0000_s1053" o:spt="136" type="#_x0000_t136" style="position:absolute;left:0pt;margin-left:86.9pt;margin-top:472pt;height:18.85pt;width:119.4pt;rotation:21626880f;z-index:25168691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4" o:spid="_x0000_s1054" o:spt="136" type="#_x0000_t136" style="position:absolute;left:0pt;margin-left:391.9pt;margin-top:228pt;height:18.85pt;width:119.4pt;rotation:21626880f;z-index:25168793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23"/>
        </w:rPr>
        <w:drawing>
          <wp:inline distT="0" distB="0" distL="0" distR="0">
            <wp:extent cx="4640580" cy="7105015"/>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88"/>
                    <a:stretch>
                      <a:fillRect/>
                    </a:stretch>
                  </pic:blipFill>
                  <pic:spPr>
                    <a:xfrm>
                      <a:off x="0" y="0"/>
                      <a:ext cx="4640940" cy="7105582"/>
                    </a:xfrm>
                    <a:prstGeom prst="rect">
                      <a:avLst/>
                    </a:prstGeom>
                  </pic:spPr>
                </pic:pic>
              </a:graphicData>
            </a:graphic>
          </wp:inline>
        </w:drawing>
      </w:r>
    </w:p>
    <w:p w14:paraId="455B8286">
      <w:pPr>
        <w:spacing w:line="11190" w:lineRule="exact"/>
        <w:sectPr>
          <w:footerReference r:id="rId60" w:type="default"/>
          <w:pgSz w:w="11900" w:h="16840"/>
          <w:pgMar w:top="611" w:right="0" w:bottom="312" w:left="0" w:header="357" w:footer="153" w:gutter="0"/>
          <w:cols w:space="720" w:num="1"/>
        </w:sectPr>
      </w:pPr>
    </w:p>
    <w:p w14:paraId="3575DFED">
      <w:pPr>
        <w:pStyle w:val="2"/>
        <w:spacing w:line="293" w:lineRule="auto"/>
      </w:pPr>
    </w:p>
    <w:p w14:paraId="09CE5C70">
      <w:pPr>
        <w:pStyle w:val="2"/>
        <w:spacing w:line="293" w:lineRule="auto"/>
      </w:pPr>
    </w:p>
    <w:p w14:paraId="0FD343E9">
      <w:pPr>
        <w:spacing w:line="12163" w:lineRule="exact"/>
        <w:ind w:firstLine="2308"/>
      </w:pPr>
      <w:r>
        <w:pict>
          <v:shape id="_x0000_s1055" o:spid="_x0000_s1055" o:spt="136" type="#_x0000_t136" style="position:absolute;left:0pt;margin-left:391.9pt;margin-top:228pt;height:18.85pt;width:119.4pt;rotation:21626880f;z-index:2516889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6" o:spid="_x0000_s1056" o:spt="136" type="#_x0000_t136" style="position:absolute;left:0pt;margin-left:86.9pt;margin-top:472pt;height:18.85pt;width:119.4pt;rotation:21626880f;z-index:25168998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43"/>
        </w:rPr>
        <w:drawing>
          <wp:inline distT="0" distB="0" distL="0" distR="0">
            <wp:extent cx="4640580" cy="7722870"/>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89"/>
                    <a:stretch>
                      <a:fillRect/>
                    </a:stretch>
                  </pic:blipFill>
                  <pic:spPr>
                    <a:xfrm>
                      <a:off x="0" y="0"/>
                      <a:ext cx="4640940" cy="7723458"/>
                    </a:xfrm>
                    <a:prstGeom prst="rect">
                      <a:avLst/>
                    </a:prstGeom>
                  </pic:spPr>
                </pic:pic>
              </a:graphicData>
            </a:graphic>
          </wp:inline>
        </w:drawing>
      </w:r>
    </w:p>
    <w:p w14:paraId="31C5551A">
      <w:pPr>
        <w:spacing w:line="12163" w:lineRule="exact"/>
        <w:sectPr>
          <w:footerReference r:id="rId61" w:type="default"/>
          <w:pgSz w:w="11900" w:h="16840"/>
          <w:pgMar w:top="611" w:right="0" w:bottom="312" w:left="0" w:header="357" w:footer="153" w:gutter="0"/>
          <w:cols w:space="720" w:num="1"/>
        </w:sectPr>
      </w:pPr>
    </w:p>
    <w:p w14:paraId="4E8261EF">
      <w:pPr>
        <w:pStyle w:val="2"/>
        <w:spacing w:line="293" w:lineRule="auto"/>
      </w:pPr>
    </w:p>
    <w:p w14:paraId="055C90DA">
      <w:pPr>
        <w:pStyle w:val="2"/>
        <w:spacing w:line="293" w:lineRule="auto"/>
      </w:pPr>
    </w:p>
    <w:p w14:paraId="62568467">
      <w:pPr>
        <w:spacing w:line="12660" w:lineRule="exact"/>
        <w:ind w:firstLine="2308"/>
      </w:pPr>
      <w:r>
        <w:pict>
          <v:shape id="_x0000_s1057" o:spid="_x0000_s1057" o:spt="136" type="#_x0000_t136" style="position:absolute;left:0pt;margin-left:86.9pt;margin-top:472pt;height:18.85pt;width:119.4pt;rotation:21626880f;z-index:2516910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8" o:spid="_x0000_s1058" o:spt="136" type="#_x0000_t136" style="position:absolute;left:0pt;margin-left:391.9pt;margin-top:228pt;height:18.85pt;width:119.4pt;rotation:21626880f;z-index:25169203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53"/>
        </w:rPr>
        <w:drawing>
          <wp:inline distT="0" distB="0" distL="0" distR="0">
            <wp:extent cx="4640580" cy="8039100"/>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90"/>
                    <a:stretch>
                      <a:fillRect/>
                    </a:stretch>
                  </pic:blipFill>
                  <pic:spPr>
                    <a:xfrm>
                      <a:off x="0" y="0"/>
                      <a:ext cx="4640940" cy="8039263"/>
                    </a:xfrm>
                    <a:prstGeom prst="rect">
                      <a:avLst/>
                    </a:prstGeom>
                  </pic:spPr>
                </pic:pic>
              </a:graphicData>
            </a:graphic>
          </wp:inline>
        </w:drawing>
      </w:r>
    </w:p>
    <w:p w14:paraId="29E45A8E">
      <w:pPr>
        <w:spacing w:line="12660" w:lineRule="exact"/>
        <w:sectPr>
          <w:footerReference r:id="rId62" w:type="default"/>
          <w:pgSz w:w="11900" w:h="16840"/>
          <w:pgMar w:top="611" w:right="0" w:bottom="312" w:left="0" w:header="357" w:footer="153" w:gutter="0"/>
          <w:cols w:space="720" w:num="1"/>
        </w:sectPr>
      </w:pPr>
    </w:p>
    <w:p w14:paraId="4F5F89C4">
      <w:pPr>
        <w:pStyle w:val="2"/>
        <w:spacing w:line="293" w:lineRule="auto"/>
      </w:pPr>
    </w:p>
    <w:p w14:paraId="5ACA9F5E">
      <w:pPr>
        <w:pStyle w:val="2"/>
        <w:spacing w:line="293" w:lineRule="auto"/>
      </w:pPr>
    </w:p>
    <w:p w14:paraId="1D5D3C7D">
      <w:pPr>
        <w:spacing w:line="11676" w:lineRule="exact"/>
        <w:ind w:firstLine="2308"/>
      </w:pPr>
      <w:r>
        <w:pict>
          <v:shape id="_x0000_s1059" o:spid="_x0000_s1059" o:spt="136" type="#_x0000_t136" style="position:absolute;left:0pt;margin-left:391.9pt;margin-top:228pt;height:18.85pt;width:119.4pt;rotation:21626880f;z-index:25169305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0" o:spid="_x0000_s1060" o:spt="136" type="#_x0000_t136" style="position:absolute;left:0pt;margin-left:86.9pt;margin-top:472pt;height:18.85pt;width:119.4pt;rotation:21626880f;z-index:25169408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33"/>
        </w:rPr>
        <w:drawing>
          <wp:inline distT="0" distB="0" distL="0" distR="0">
            <wp:extent cx="4640580" cy="7414260"/>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91"/>
                    <a:stretch>
                      <a:fillRect/>
                    </a:stretch>
                  </pic:blipFill>
                  <pic:spPr>
                    <a:xfrm>
                      <a:off x="0" y="0"/>
                      <a:ext cx="4640940" cy="7414521"/>
                    </a:xfrm>
                    <a:prstGeom prst="rect">
                      <a:avLst/>
                    </a:prstGeom>
                  </pic:spPr>
                </pic:pic>
              </a:graphicData>
            </a:graphic>
          </wp:inline>
        </w:drawing>
      </w:r>
    </w:p>
    <w:p w14:paraId="0A09D084">
      <w:pPr>
        <w:spacing w:line="11676" w:lineRule="exact"/>
        <w:sectPr>
          <w:footerReference r:id="rId63" w:type="default"/>
          <w:pgSz w:w="11900" w:h="16840"/>
          <w:pgMar w:top="611" w:right="0" w:bottom="312" w:left="0" w:header="357" w:footer="153" w:gutter="0"/>
          <w:cols w:space="720" w:num="1"/>
        </w:sectPr>
      </w:pPr>
    </w:p>
    <w:p w14:paraId="5E2FFD03">
      <w:pPr>
        <w:pStyle w:val="2"/>
        <w:spacing w:line="286" w:lineRule="auto"/>
      </w:pPr>
    </w:p>
    <w:p w14:paraId="4B849D82">
      <w:pPr>
        <w:pStyle w:val="2"/>
        <w:spacing w:line="286" w:lineRule="auto"/>
      </w:pPr>
    </w:p>
    <w:p w14:paraId="0028C152">
      <w:pPr>
        <w:spacing w:before="95" w:line="226" w:lineRule="exact"/>
        <w:ind w:left="1260"/>
        <w:outlineLvl w:val="1"/>
        <w:rPr>
          <w:rFonts w:ascii="微软雅黑" w:hAnsi="微软雅黑" w:eastAsia="微软雅黑" w:cs="微软雅黑"/>
          <w:sz w:val="22"/>
          <w:szCs w:val="22"/>
        </w:rPr>
      </w:pPr>
      <w:bookmarkStart w:id="76" w:name="bookmark30"/>
      <w:bookmarkEnd w:id="76"/>
      <w:r>
        <w:rPr>
          <w:rFonts w:ascii="微软雅黑" w:hAnsi="微软雅黑" w:eastAsia="微软雅黑" w:cs="微软雅黑"/>
          <w:spacing w:val="7"/>
          <w:position w:val="-1"/>
          <w:sz w:val="22"/>
          <w:szCs w:val="22"/>
        </w:rPr>
        <w:t>十一、</w:t>
      </w:r>
      <w:r>
        <w:rPr>
          <w:rFonts w:ascii="微软雅黑" w:hAnsi="微软雅黑" w:eastAsia="微软雅黑" w:cs="微软雅黑"/>
          <w:spacing w:val="-30"/>
          <w:position w:val="-1"/>
          <w:sz w:val="22"/>
          <w:szCs w:val="22"/>
        </w:rPr>
        <w:t xml:space="preserve"> </w:t>
      </w:r>
      <w:r>
        <w:rPr>
          <w:rFonts w:ascii="微软雅黑" w:hAnsi="微软雅黑" w:eastAsia="微软雅黑" w:cs="微软雅黑"/>
          <w:spacing w:val="7"/>
          <w:position w:val="-1"/>
          <w:sz w:val="22"/>
          <w:szCs w:val="22"/>
        </w:rPr>
        <w:t>国有资产占有使用情况</w:t>
      </w:r>
    </w:p>
    <w:p w14:paraId="7063BBDA">
      <w:pPr>
        <w:spacing w:before="175" w:line="220" w:lineRule="auto"/>
        <w:ind w:left="1735"/>
        <w:rPr>
          <w:rFonts w:ascii="仿宋" w:hAnsi="仿宋" w:eastAsia="仿宋" w:cs="仿宋"/>
          <w:sz w:val="23"/>
          <w:szCs w:val="23"/>
        </w:rPr>
      </w:pPr>
      <w:r>
        <w:rPr>
          <w:rFonts w:ascii="仿宋" w:hAnsi="仿宋" w:eastAsia="仿宋" w:cs="仿宋"/>
          <w:spacing w:val="-4"/>
          <w:sz w:val="23"/>
          <w:szCs w:val="23"/>
        </w:rPr>
        <w:t>1、车辆情况：</w:t>
      </w:r>
    </w:p>
    <w:p w14:paraId="24D3FC45">
      <w:pPr>
        <w:spacing w:before="137" w:line="310" w:lineRule="auto"/>
        <w:ind w:left="1263" w:right="1223" w:firstLine="461"/>
        <w:rPr>
          <w:rFonts w:ascii="仿宋" w:hAnsi="仿宋" w:eastAsia="仿宋" w:cs="仿宋"/>
          <w:sz w:val="23"/>
          <w:szCs w:val="23"/>
        </w:rPr>
      </w:pPr>
      <w:r>
        <w:rPr>
          <w:rFonts w:ascii="仿宋" w:hAnsi="仿宋" w:eastAsia="仿宋" w:cs="仿宋"/>
          <w:spacing w:val="1"/>
          <w:sz w:val="23"/>
          <w:szCs w:val="23"/>
        </w:rPr>
        <w:t>截至2025年4月20</w:t>
      </w:r>
      <w:r>
        <w:rPr>
          <w:rFonts w:ascii="仿宋" w:hAnsi="仿宋" w:eastAsia="仿宋" w:cs="仿宋"/>
          <w:spacing w:val="-49"/>
          <w:sz w:val="23"/>
          <w:szCs w:val="23"/>
        </w:rPr>
        <w:t xml:space="preserve"> </w:t>
      </w:r>
      <w:r>
        <w:rPr>
          <w:rFonts w:ascii="仿宋" w:hAnsi="仿宋" w:eastAsia="仿宋" w:cs="仿宋"/>
          <w:spacing w:val="1"/>
          <w:sz w:val="23"/>
          <w:szCs w:val="23"/>
        </w:rPr>
        <w:t>日，长治高新区漳泽工业园事业服务中心</w:t>
      </w:r>
      <w:r>
        <w:rPr>
          <w:rFonts w:ascii="仿宋" w:hAnsi="仿宋" w:eastAsia="仿宋" w:cs="仿宋"/>
          <w:sz w:val="23"/>
          <w:szCs w:val="23"/>
        </w:rPr>
        <w:t xml:space="preserve">共有公务用车编制0辆，实有1 </w:t>
      </w:r>
      <w:r>
        <w:rPr>
          <w:rFonts w:ascii="仿宋" w:hAnsi="仿宋" w:eastAsia="仿宋" w:cs="仿宋"/>
          <w:spacing w:val="5"/>
          <w:sz w:val="23"/>
          <w:szCs w:val="23"/>
        </w:rPr>
        <w:t>辆，其中：领导用车0辆，机要通信用车0辆，应急保障用车0辆，执法执勤用车1辆，特种专</w:t>
      </w:r>
      <w:r>
        <w:rPr>
          <w:rFonts w:ascii="仿宋" w:hAnsi="仿宋" w:eastAsia="仿宋" w:cs="仿宋"/>
          <w:spacing w:val="2"/>
          <w:sz w:val="23"/>
          <w:szCs w:val="23"/>
        </w:rPr>
        <w:t xml:space="preserve"> </w:t>
      </w:r>
      <w:r>
        <w:rPr>
          <w:rFonts w:ascii="仿宋" w:hAnsi="仿宋" w:eastAsia="仿宋" w:cs="仿宋"/>
          <w:sz w:val="23"/>
          <w:szCs w:val="23"/>
        </w:rPr>
        <w:t>业技术用车0辆，事业单位业务用车0辆，其他公务用车0辆。</w:t>
      </w:r>
    </w:p>
    <w:p w14:paraId="6D845D7D">
      <w:pPr>
        <w:spacing w:before="51" w:line="223" w:lineRule="auto"/>
        <w:ind w:left="1720"/>
        <w:rPr>
          <w:rFonts w:ascii="仿宋" w:hAnsi="仿宋" w:eastAsia="仿宋" w:cs="仿宋"/>
          <w:sz w:val="23"/>
          <w:szCs w:val="23"/>
        </w:rPr>
      </w:pPr>
      <w:r>
        <w:rPr>
          <w:rFonts w:ascii="仿宋" w:hAnsi="仿宋" w:eastAsia="仿宋" w:cs="仿宋"/>
          <w:spacing w:val="-2"/>
          <w:sz w:val="23"/>
          <w:szCs w:val="23"/>
        </w:rPr>
        <w:t>2、房屋情况：</w:t>
      </w:r>
    </w:p>
    <w:p w14:paraId="59999996">
      <w:pPr>
        <w:spacing w:before="123" w:line="305" w:lineRule="auto"/>
        <w:ind w:left="1255" w:right="1223" w:firstLine="469"/>
        <w:rPr>
          <w:rFonts w:ascii="仿宋" w:hAnsi="仿宋" w:eastAsia="仿宋" w:cs="仿宋"/>
          <w:sz w:val="23"/>
          <w:szCs w:val="23"/>
        </w:rPr>
      </w:pPr>
      <w:r>
        <w:rPr>
          <w:rFonts w:ascii="仿宋" w:hAnsi="仿宋" w:eastAsia="仿宋" w:cs="仿宋"/>
          <w:spacing w:val="6"/>
          <w:sz w:val="23"/>
          <w:szCs w:val="23"/>
        </w:rPr>
        <w:t>截至2025年4月20</w:t>
      </w:r>
      <w:r>
        <w:rPr>
          <w:rFonts w:ascii="仿宋" w:hAnsi="仿宋" w:eastAsia="仿宋" w:cs="仿宋"/>
          <w:spacing w:val="-36"/>
          <w:sz w:val="23"/>
          <w:szCs w:val="23"/>
        </w:rPr>
        <w:t xml:space="preserve"> </w:t>
      </w:r>
      <w:r>
        <w:rPr>
          <w:rFonts w:ascii="仿宋" w:hAnsi="仿宋" w:eastAsia="仿宋" w:cs="仿宋"/>
          <w:spacing w:val="6"/>
          <w:sz w:val="23"/>
          <w:szCs w:val="23"/>
        </w:rPr>
        <w:t>日，长治高新区漳泽工业园事业服务中心使用的办公用房建筑总面积</w:t>
      </w:r>
      <w:r>
        <w:rPr>
          <w:rFonts w:ascii="仿宋" w:hAnsi="仿宋" w:eastAsia="仿宋" w:cs="仿宋"/>
          <w:sz w:val="23"/>
          <w:szCs w:val="23"/>
        </w:rPr>
        <w:t xml:space="preserve"> 440平方米。我单位现有办公用房产权归金地煤层气勘探开发有限公司所有。</w:t>
      </w:r>
    </w:p>
    <w:p w14:paraId="5FD77811">
      <w:pPr>
        <w:spacing w:before="50" w:line="222" w:lineRule="auto"/>
        <w:ind w:left="1722"/>
        <w:rPr>
          <w:rFonts w:ascii="仿宋" w:hAnsi="仿宋" w:eastAsia="仿宋" w:cs="仿宋"/>
          <w:sz w:val="23"/>
          <w:szCs w:val="23"/>
        </w:rPr>
      </w:pPr>
      <w:r>
        <w:rPr>
          <w:rFonts w:ascii="仿宋" w:hAnsi="仿宋" w:eastAsia="仿宋" w:cs="仿宋"/>
          <w:spacing w:val="-1"/>
          <w:sz w:val="23"/>
          <w:szCs w:val="23"/>
        </w:rPr>
        <w:t>3、其他国有资产占有使用情况：</w:t>
      </w:r>
    </w:p>
    <w:p w14:paraId="73CC2C55">
      <w:pPr>
        <w:spacing w:before="124" w:line="315" w:lineRule="auto"/>
        <w:ind w:left="1263" w:right="1223" w:firstLine="461"/>
        <w:rPr>
          <w:rFonts w:ascii="仿宋" w:hAnsi="仿宋" w:eastAsia="仿宋" w:cs="仿宋"/>
          <w:sz w:val="23"/>
          <w:szCs w:val="23"/>
        </w:rPr>
      </w:pPr>
      <w:r>
        <w:rPr>
          <w:rFonts w:ascii="仿宋" w:hAnsi="仿宋" w:eastAsia="仿宋" w:cs="仿宋"/>
          <w:sz w:val="23"/>
          <w:szCs w:val="23"/>
        </w:rPr>
        <w:t>截至2025年4月20</w:t>
      </w:r>
      <w:r>
        <w:rPr>
          <w:rFonts w:ascii="仿宋" w:hAnsi="仿宋" w:eastAsia="仿宋" w:cs="仿宋"/>
          <w:spacing w:val="-35"/>
          <w:sz w:val="23"/>
          <w:szCs w:val="23"/>
        </w:rPr>
        <w:t xml:space="preserve"> </w:t>
      </w:r>
      <w:r>
        <w:rPr>
          <w:rFonts w:ascii="仿宋" w:hAnsi="仿宋" w:eastAsia="仿宋" w:cs="仿宋"/>
          <w:sz w:val="23"/>
          <w:szCs w:val="23"/>
        </w:rPr>
        <w:t xml:space="preserve">日，长治高新区漳泽工业园事业服务中心占有使用价值50万元（原值） </w:t>
      </w:r>
      <w:r>
        <w:rPr>
          <w:rFonts w:ascii="仿宋" w:hAnsi="仿宋" w:eastAsia="仿宋" w:cs="仿宋"/>
          <w:spacing w:val="5"/>
          <w:sz w:val="23"/>
          <w:szCs w:val="23"/>
        </w:rPr>
        <w:t>以上的通用设备0台（套</w:t>
      </w:r>
      <w:r>
        <w:rPr>
          <w:rFonts w:ascii="仿宋" w:hAnsi="仿宋" w:eastAsia="仿宋" w:cs="仿宋"/>
          <w:spacing w:val="16"/>
          <w:sz w:val="23"/>
          <w:szCs w:val="23"/>
        </w:rPr>
        <w:t>）；</w:t>
      </w:r>
      <w:r>
        <w:rPr>
          <w:rFonts w:ascii="仿宋" w:hAnsi="仿宋" w:eastAsia="仿宋" w:cs="仿宋"/>
          <w:spacing w:val="5"/>
          <w:sz w:val="23"/>
          <w:szCs w:val="23"/>
        </w:rPr>
        <w:t>长治高新区漳泽工业</w:t>
      </w:r>
      <w:r>
        <w:rPr>
          <w:rFonts w:ascii="仿宋" w:hAnsi="仿宋" w:eastAsia="仿宋" w:cs="仿宋"/>
          <w:spacing w:val="4"/>
          <w:sz w:val="23"/>
          <w:szCs w:val="23"/>
        </w:rPr>
        <w:t>园事业服务中心占有使用价值100万元（原</w:t>
      </w:r>
      <w:r>
        <w:rPr>
          <w:rFonts w:ascii="仿宋" w:hAnsi="仿宋" w:eastAsia="仿宋" w:cs="仿宋"/>
          <w:sz w:val="23"/>
          <w:szCs w:val="23"/>
        </w:rPr>
        <w:t xml:space="preserve"> </w:t>
      </w:r>
      <w:r>
        <w:rPr>
          <w:rFonts w:ascii="仿宋" w:hAnsi="仿宋" w:eastAsia="仿宋" w:cs="仿宋"/>
          <w:spacing w:val="-1"/>
          <w:sz w:val="23"/>
          <w:szCs w:val="23"/>
        </w:rPr>
        <w:t>值）以上的通用设备0台（套）。</w:t>
      </w:r>
    </w:p>
    <w:p w14:paraId="7774B535">
      <w:pPr>
        <w:spacing w:before="31" w:line="228" w:lineRule="exact"/>
        <w:ind w:left="1260"/>
        <w:outlineLvl w:val="1"/>
        <w:rPr>
          <w:rFonts w:ascii="微软雅黑" w:hAnsi="微软雅黑" w:eastAsia="微软雅黑" w:cs="微软雅黑"/>
          <w:sz w:val="22"/>
          <w:szCs w:val="22"/>
        </w:rPr>
      </w:pPr>
      <w:bookmarkStart w:id="77" w:name="bookmark31"/>
      <w:bookmarkEnd w:id="77"/>
      <w:r>
        <w:rPr>
          <w:rFonts w:ascii="微软雅黑" w:hAnsi="微软雅黑" w:eastAsia="微软雅黑" w:cs="微软雅黑"/>
          <w:spacing w:val="7"/>
          <w:position w:val="-1"/>
          <w:sz w:val="22"/>
          <w:szCs w:val="22"/>
        </w:rPr>
        <w:t>十二、其他说明</w:t>
      </w:r>
    </w:p>
    <w:p w14:paraId="4143E043">
      <w:pPr>
        <w:spacing w:before="174" w:line="221" w:lineRule="auto"/>
        <w:ind w:left="1725"/>
        <w:outlineLvl w:val="2"/>
        <w:rPr>
          <w:rFonts w:ascii="仿宋" w:hAnsi="仿宋" w:eastAsia="仿宋" w:cs="仿宋"/>
          <w:sz w:val="23"/>
          <w:szCs w:val="23"/>
        </w:rPr>
      </w:pPr>
      <w:bookmarkStart w:id="78" w:name="bookmark32"/>
      <w:bookmarkEnd w:id="78"/>
      <w:r>
        <w:rPr>
          <w:rFonts w:ascii="仿宋" w:hAnsi="仿宋" w:eastAsia="仿宋" w:cs="仿宋"/>
          <w:spacing w:val="-1"/>
          <w:sz w:val="23"/>
          <w:szCs w:val="23"/>
        </w:rPr>
        <w:t>（一）政府购买服务指导性目录</w:t>
      </w:r>
    </w:p>
    <w:p w14:paraId="3AE4DAA2">
      <w:pPr>
        <w:spacing w:before="265" w:line="221" w:lineRule="auto"/>
        <w:ind w:left="1726"/>
        <w:rPr>
          <w:rFonts w:ascii="仿宋" w:hAnsi="仿宋" w:eastAsia="仿宋" w:cs="仿宋"/>
          <w:sz w:val="23"/>
          <w:szCs w:val="23"/>
        </w:rPr>
      </w:pPr>
      <w:r>
        <w:rPr>
          <w:rFonts w:ascii="仿宋" w:hAnsi="仿宋" w:eastAsia="仿宋" w:cs="仿宋"/>
          <w:spacing w:val="2"/>
          <w:sz w:val="23"/>
          <w:szCs w:val="23"/>
        </w:rPr>
        <w:t>政府履职所需辅助性服务：项目评审评估：财政性资金建设工程项目结（预） 算审查。</w:t>
      </w:r>
    </w:p>
    <w:p w14:paraId="59886A45">
      <w:pPr>
        <w:spacing w:before="125" w:line="223" w:lineRule="auto"/>
        <w:ind w:left="1272"/>
        <w:rPr>
          <w:rFonts w:ascii="仿宋" w:hAnsi="仿宋" w:eastAsia="仿宋" w:cs="仿宋"/>
          <w:sz w:val="23"/>
          <w:szCs w:val="23"/>
        </w:rPr>
      </w:pPr>
      <w:r>
        <w:rPr>
          <w:rFonts w:ascii="仿宋" w:hAnsi="仿宋" w:eastAsia="仿宋" w:cs="仿宋"/>
          <w:spacing w:val="-2"/>
          <w:sz w:val="23"/>
          <w:szCs w:val="23"/>
        </w:rPr>
        <w:t>委托第三方审查费：0万元。</w:t>
      </w:r>
    </w:p>
    <w:p w14:paraId="64AD2007">
      <w:pPr>
        <w:spacing w:before="252" w:line="222" w:lineRule="auto"/>
        <w:ind w:left="1725"/>
        <w:outlineLvl w:val="2"/>
        <w:rPr>
          <w:rFonts w:ascii="仿宋" w:hAnsi="仿宋" w:eastAsia="仿宋" w:cs="仿宋"/>
          <w:sz w:val="23"/>
          <w:szCs w:val="23"/>
        </w:rPr>
      </w:pPr>
      <w:bookmarkStart w:id="79" w:name="bookmark33"/>
      <w:bookmarkEnd w:id="79"/>
      <w:r>
        <w:rPr>
          <w:rFonts w:ascii="仿宋" w:hAnsi="仿宋" w:eastAsia="仿宋" w:cs="仿宋"/>
          <w:spacing w:val="-3"/>
          <w:sz w:val="23"/>
          <w:szCs w:val="23"/>
        </w:rPr>
        <w:t>（二）其他</w:t>
      </w:r>
    </w:p>
    <w:p w14:paraId="6166A5C7">
      <w:pPr>
        <w:spacing w:before="264" w:line="226" w:lineRule="auto"/>
        <w:ind w:left="1727"/>
        <w:rPr>
          <w:rFonts w:ascii="仿宋" w:hAnsi="仿宋" w:eastAsia="仿宋" w:cs="仿宋"/>
          <w:sz w:val="23"/>
          <w:szCs w:val="23"/>
        </w:rPr>
      </w:pPr>
      <w:r>
        <w:rPr>
          <w:rFonts w:ascii="仿宋" w:hAnsi="仿宋" w:eastAsia="仿宋" w:cs="仿宋"/>
          <w:spacing w:val="-9"/>
          <w:sz w:val="23"/>
          <w:szCs w:val="23"/>
        </w:rPr>
        <w:t>无。</w:t>
      </w:r>
    </w:p>
    <w:p w14:paraId="378A2C21">
      <w:pPr>
        <w:spacing w:line="226" w:lineRule="auto"/>
        <w:rPr>
          <w:rFonts w:ascii="仿宋" w:hAnsi="仿宋" w:eastAsia="仿宋" w:cs="仿宋"/>
          <w:sz w:val="23"/>
          <w:szCs w:val="23"/>
        </w:rPr>
        <w:sectPr>
          <w:headerReference r:id="rId64" w:type="default"/>
          <w:footerReference r:id="rId65" w:type="default"/>
          <w:pgSz w:w="11900" w:h="16840"/>
          <w:pgMar w:top="611" w:right="0" w:bottom="312" w:left="0" w:header="357" w:footer="153" w:gutter="0"/>
          <w:cols w:space="720" w:num="1"/>
        </w:sectPr>
      </w:pPr>
    </w:p>
    <w:p w14:paraId="15A7F1C1">
      <w:pPr>
        <w:pStyle w:val="2"/>
        <w:spacing w:line="283" w:lineRule="auto"/>
      </w:pPr>
      <w:r>
        <w:pict>
          <v:shape id="_x0000_s1061" o:spid="_x0000_s1061" o:spt="136" type="#_x0000_t136" style="position:absolute;left:0pt;margin-left:312.9pt;margin-top:45.1pt;height:18.85pt;width:119.4pt;mso-position-horizontal-relative:page;mso-position-vertical-relative:page;rotation:21626880f;z-index:2516961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23936E6A">
      <w:pPr>
        <w:pStyle w:val="2"/>
        <w:spacing w:line="283" w:lineRule="auto"/>
      </w:pPr>
    </w:p>
    <w:p w14:paraId="73C46C1C">
      <w:pPr>
        <w:spacing w:line="9000" w:lineRule="exact"/>
        <w:ind w:firstLine="5295"/>
      </w:pPr>
      <w:r>
        <w:pict>
          <v:shape id="_x0000_s1062" o:spid="_x0000_s1062" o:spt="136" type="#_x0000_t136" style="position:absolute;left:0pt;margin-left:-45pt;margin-top:347.3pt;height:22.25pt;width:609.35pt;rotation:21626880f;z-index:251695104;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63" o:spid="_x0000_s1063" o:spt="136" type="#_x0000_t136" style="position:absolute;left:0pt;margin-left:280.95pt;margin-top:347.3pt;height:22.25pt;width:609.35pt;rotation:21626880f;z-index:251697152;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rPr>
          <w:position w:val="-180"/>
        </w:rPr>
        <w:drawing>
          <wp:inline distT="0" distB="0" distL="0" distR="0">
            <wp:extent cx="3971925" cy="5715000"/>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92"/>
                    <a:stretch>
                      <a:fillRect/>
                    </a:stretch>
                  </pic:blipFill>
                  <pic:spPr>
                    <a:xfrm>
                      <a:off x="0" y="0"/>
                      <a:ext cx="3971925" cy="5715000"/>
                    </a:xfrm>
                    <a:prstGeom prst="rect">
                      <a:avLst/>
                    </a:prstGeom>
                  </pic:spPr>
                </pic:pic>
              </a:graphicData>
            </a:graphic>
          </wp:inline>
        </w:drawing>
      </w:r>
    </w:p>
    <w:p w14:paraId="257A902C">
      <w:pPr>
        <w:spacing w:line="9000" w:lineRule="exact"/>
        <w:sectPr>
          <w:headerReference r:id="rId66" w:type="default"/>
          <w:footerReference r:id="rId67" w:type="default"/>
          <w:pgSz w:w="16840" w:h="11900"/>
          <w:pgMar w:top="611" w:right="0" w:bottom="312" w:left="0" w:header="357" w:footer="153" w:gutter="0"/>
          <w:cols w:space="720" w:num="1"/>
        </w:sectPr>
      </w:pPr>
    </w:p>
    <w:p w14:paraId="55CE8AB9">
      <w:pPr>
        <w:pStyle w:val="2"/>
        <w:spacing w:line="280" w:lineRule="auto"/>
      </w:pPr>
    </w:p>
    <w:p w14:paraId="5CBD0232">
      <w:pPr>
        <w:pStyle w:val="2"/>
        <w:spacing w:line="281" w:lineRule="auto"/>
      </w:pPr>
    </w:p>
    <w:p w14:paraId="5046CA13">
      <w:pPr>
        <w:spacing w:before="133" w:line="317" w:lineRule="exact"/>
        <w:ind w:left="4608"/>
        <w:outlineLvl w:val="0"/>
        <w:rPr>
          <w:rFonts w:ascii="微软雅黑" w:hAnsi="微软雅黑" w:eastAsia="微软雅黑" w:cs="微软雅黑"/>
          <w:sz w:val="31"/>
          <w:szCs w:val="31"/>
        </w:rPr>
      </w:pPr>
      <w:bookmarkStart w:id="80" w:name="bookmark34"/>
      <w:bookmarkEnd w:id="80"/>
      <w:r>
        <w:rPr>
          <w:rFonts w:ascii="微软雅黑" w:hAnsi="微软雅黑" w:eastAsia="微软雅黑" w:cs="微软雅黑"/>
          <w:spacing w:val="16"/>
          <w:position w:val="-1"/>
          <w:sz w:val="31"/>
          <w:szCs w:val="31"/>
        </w:rPr>
        <w:t>第四部分 名词解释</w:t>
      </w:r>
    </w:p>
    <w:p w14:paraId="0DE9C23A">
      <w:pPr>
        <w:pStyle w:val="2"/>
        <w:spacing w:line="323" w:lineRule="auto"/>
      </w:pPr>
    </w:p>
    <w:p w14:paraId="7C5BF281">
      <w:pPr>
        <w:spacing w:before="101" w:line="284" w:lineRule="auto"/>
        <w:ind w:left="1530" w:right="1474" w:firstLine="627"/>
        <w:rPr>
          <w:rFonts w:ascii="仿宋" w:hAnsi="仿宋" w:eastAsia="仿宋" w:cs="仿宋"/>
          <w:sz w:val="31"/>
          <w:szCs w:val="31"/>
        </w:rPr>
      </w:pPr>
      <w:r>
        <w:rPr>
          <w:rFonts w:ascii="黑体" w:hAnsi="黑体" w:eastAsia="黑体" w:cs="黑体"/>
          <w:spacing w:val="16"/>
          <w:sz w:val="31"/>
          <w:szCs w:val="31"/>
        </w:rPr>
        <w:t>一、基本支出：</w:t>
      </w:r>
      <w:r>
        <w:rPr>
          <w:rFonts w:ascii="仿宋" w:hAnsi="仿宋" w:eastAsia="仿宋" w:cs="仿宋"/>
          <w:spacing w:val="16"/>
          <w:sz w:val="31"/>
          <w:szCs w:val="31"/>
        </w:rPr>
        <w:t>指为保障机构正常运转、完成</w:t>
      </w:r>
      <w:r>
        <w:rPr>
          <w:rFonts w:ascii="仿宋" w:hAnsi="仿宋" w:eastAsia="仿宋" w:cs="仿宋"/>
          <w:spacing w:val="-39"/>
          <w:sz w:val="31"/>
          <w:szCs w:val="31"/>
        </w:rPr>
        <w:t xml:space="preserve"> </w:t>
      </w:r>
      <w:r>
        <w:rPr>
          <w:rFonts w:ascii="仿宋" w:hAnsi="仿宋" w:eastAsia="仿宋" w:cs="仿宋"/>
          <w:spacing w:val="16"/>
          <w:sz w:val="31"/>
          <w:szCs w:val="31"/>
        </w:rPr>
        <w:t>日常工作任</w:t>
      </w:r>
      <w:r>
        <w:rPr>
          <w:rFonts w:ascii="仿宋" w:hAnsi="仿宋" w:eastAsia="仿宋" w:cs="仿宋"/>
          <w:sz w:val="31"/>
          <w:szCs w:val="31"/>
        </w:rPr>
        <w:t xml:space="preserve"> </w:t>
      </w:r>
      <w:r>
        <w:rPr>
          <w:rFonts w:ascii="仿宋" w:hAnsi="仿宋" w:eastAsia="仿宋" w:cs="仿宋"/>
          <w:spacing w:val="7"/>
          <w:sz w:val="31"/>
          <w:szCs w:val="31"/>
        </w:rPr>
        <w:t>务而发生的人员支出和公用支出。</w:t>
      </w:r>
    </w:p>
    <w:p w14:paraId="167109E4">
      <w:pPr>
        <w:spacing w:before="171" w:line="279" w:lineRule="auto"/>
        <w:ind w:left="1521" w:right="1474" w:firstLine="636"/>
        <w:rPr>
          <w:rFonts w:ascii="仿宋" w:hAnsi="仿宋" w:eastAsia="仿宋" w:cs="仿宋"/>
          <w:sz w:val="31"/>
          <w:szCs w:val="31"/>
        </w:rPr>
      </w:pPr>
      <w:r>
        <w:rPr>
          <w:rFonts w:ascii="黑体" w:hAnsi="黑体" w:eastAsia="黑体" w:cs="黑体"/>
          <w:spacing w:val="20"/>
          <w:sz w:val="31"/>
          <w:szCs w:val="31"/>
        </w:rPr>
        <w:t>二、项目支出：</w:t>
      </w:r>
      <w:r>
        <w:rPr>
          <w:rFonts w:ascii="仿宋" w:hAnsi="仿宋" w:eastAsia="仿宋" w:cs="仿宋"/>
          <w:spacing w:val="20"/>
          <w:sz w:val="31"/>
          <w:szCs w:val="31"/>
        </w:rPr>
        <w:t>指在基本支出之外为完成特定行政任务和</w:t>
      </w:r>
      <w:r>
        <w:rPr>
          <w:rFonts w:ascii="仿宋" w:hAnsi="仿宋" w:eastAsia="仿宋" w:cs="仿宋"/>
          <w:spacing w:val="16"/>
          <w:sz w:val="31"/>
          <w:szCs w:val="31"/>
        </w:rPr>
        <w:t xml:space="preserve"> </w:t>
      </w:r>
      <w:r>
        <w:rPr>
          <w:rFonts w:ascii="仿宋" w:hAnsi="仿宋" w:eastAsia="仿宋" w:cs="仿宋"/>
          <w:spacing w:val="7"/>
          <w:sz w:val="31"/>
          <w:szCs w:val="31"/>
        </w:rPr>
        <w:t>事业发展目标所发生的支出。</w:t>
      </w:r>
    </w:p>
    <w:p w14:paraId="1CAC2107">
      <w:pPr>
        <w:spacing w:before="187" w:line="321" w:lineRule="auto"/>
        <w:ind w:left="1520" w:right="1474" w:firstLine="638"/>
        <w:rPr>
          <w:rFonts w:ascii="仿宋" w:hAnsi="仿宋" w:eastAsia="仿宋" w:cs="仿宋"/>
          <w:sz w:val="31"/>
          <w:szCs w:val="31"/>
        </w:rPr>
      </w:pPr>
      <w:r>
        <w:rPr>
          <w:rFonts w:ascii="黑体" w:hAnsi="黑体" w:eastAsia="黑体" w:cs="黑体"/>
          <w:spacing w:val="19"/>
          <w:sz w:val="31"/>
          <w:szCs w:val="31"/>
        </w:rPr>
        <w:t>三、</w:t>
      </w:r>
      <w:r>
        <w:rPr>
          <w:rFonts w:ascii="黑体" w:hAnsi="黑体" w:eastAsia="黑体" w:cs="黑体"/>
          <w:spacing w:val="-115"/>
          <w:sz w:val="31"/>
          <w:szCs w:val="31"/>
        </w:rPr>
        <w:t xml:space="preserve"> </w:t>
      </w:r>
      <w:r>
        <w:rPr>
          <w:rFonts w:ascii="黑体" w:hAnsi="黑体" w:eastAsia="黑体" w:cs="黑体"/>
          <w:spacing w:val="19"/>
          <w:sz w:val="31"/>
          <w:szCs w:val="31"/>
        </w:rPr>
        <w:t>“三公”经费：</w:t>
      </w:r>
      <w:r>
        <w:rPr>
          <w:rFonts w:ascii="仿宋" w:hAnsi="仿宋" w:eastAsia="仿宋" w:cs="仿宋"/>
          <w:spacing w:val="19"/>
          <w:sz w:val="31"/>
          <w:szCs w:val="31"/>
        </w:rPr>
        <w:t>指省直部门用财政拨款安排的因公出</w:t>
      </w:r>
      <w:r>
        <w:rPr>
          <w:rFonts w:ascii="仿宋" w:hAnsi="仿宋" w:eastAsia="仿宋" w:cs="仿宋"/>
          <w:sz w:val="31"/>
          <w:szCs w:val="31"/>
        </w:rPr>
        <w:t xml:space="preserve"> </w:t>
      </w:r>
      <w:r>
        <w:rPr>
          <w:rFonts w:ascii="仿宋" w:hAnsi="仿宋" w:eastAsia="仿宋" w:cs="仿宋"/>
          <w:spacing w:val="16"/>
          <w:sz w:val="31"/>
          <w:szCs w:val="31"/>
        </w:rPr>
        <w:t>国（境）</w:t>
      </w:r>
      <w:r>
        <w:rPr>
          <w:rFonts w:ascii="仿宋" w:hAnsi="仿宋" w:eastAsia="仿宋" w:cs="仿宋"/>
          <w:spacing w:val="-75"/>
          <w:sz w:val="31"/>
          <w:szCs w:val="31"/>
        </w:rPr>
        <w:t xml:space="preserve"> </w:t>
      </w:r>
      <w:r>
        <w:rPr>
          <w:rFonts w:ascii="仿宋" w:hAnsi="仿宋" w:eastAsia="仿宋" w:cs="仿宋"/>
          <w:spacing w:val="16"/>
          <w:sz w:val="31"/>
          <w:szCs w:val="31"/>
        </w:rPr>
        <w:t>费用、公务用车购置及运行费和公务接待费。其中：</w:t>
      </w:r>
      <w:r>
        <w:rPr>
          <w:rFonts w:ascii="仿宋" w:hAnsi="仿宋" w:eastAsia="仿宋" w:cs="仿宋"/>
          <w:sz w:val="31"/>
          <w:szCs w:val="31"/>
        </w:rPr>
        <w:t xml:space="preserve"> </w:t>
      </w:r>
      <w:r>
        <w:rPr>
          <w:rFonts w:ascii="仿宋" w:hAnsi="仿宋" w:eastAsia="仿宋" w:cs="仿宋"/>
          <w:spacing w:val="12"/>
          <w:sz w:val="31"/>
          <w:szCs w:val="31"/>
        </w:rPr>
        <w:t>因公出国（境）</w:t>
      </w:r>
      <w:r>
        <w:rPr>
          <w:rFonts w:ascii="仿宋" w:hAnsi="仿宋" w:eastAsia="仿宋" w:cs="仿宋"/>
          <w:spacing w:val="-92"/>
          <w:sz w:val="31"/>
          <w:szCs w:val="31"/>
        </w:rPr>
        <w:t xml:space="preserve"> </w:t>
      </w:r>
      <w:r>
        <w:rPr>
          <w:rFonts w:ascii="仿宋" w:hAnsi="仿宋" w:eastAsia="仿宋" w:cs="仿宋"/>
          <w:spacing w:val="12"/>
          <w:sz w:val="31"/>
          <w:szCs w:val="31"/>
        </w:rPr>
        <w:t>费用反映单位公务出国（境）</w:t>
      </w:r>
      <w:r>
        <w:rPr>
          <w:rFonts w:ascii="仿宋" w:hAnsi="仿宋" w:eastAsia="仿宋" w:cs="仿宋"/>
          <w:spacing w:val="-84"/>
          <w:sz w:val="31"/>
          <w:szCs w:val="31"/>
        </w:rPr>
        <w:t xml:space="preserve"> </w:t>
      </w:r>
      <w:r>
        <w:rPr>
          <w:rFonts w:ascii="仿宋" w:hAnsi="仿宋" w:eastAsia="仿宋" w:cs="仿宋"/>
          <w:spacing w:val="12"/>
          <w:sz w:val="31"/>
          <w:szCs w:val="31"/>
        </w:rPr>
        <w:t>的国际旅费、</w:t>
      </w:r>
      <w:r>
        <w:rPr>
          <w:rFonts w:ascii="仿宋" w:hAnsi="仿宋" w:eastAsia="仿宋" w:cs="仿宋"/>
          <w:spacing w:val="-80"/>
          <w:sz w:val="31"/>
          <w:szCs w:val="31"/>
        </w:rPr>
        <w:t xml:space="preserve"> </w:t>
      </w:r>
      <w:r>
        <w:rPr>
          <w:rFonts w:ascii="仿宋" w:hAnsi="仿宋" w:eastAsia="仿宋" w:cs="仿宋"/>
          <w:spacing w:val="12"/>
          <w:sz w:val="31"/>
          <w:szCs w:val="31"/>
        </w:rPr>
        <w:t>国</w:t>
      </w:r>
      <w:r>
        <w:rPr>
          <w:rFonts w:ascii="仿宋" w:hAnsi="仿宋" w:eastAsia="仿宋" w:cs="仿宋"/>
          <w:sz w:val="31"/>
          <w:szCs w:val="31"/>
        </w:rPr>
        <w:t xml:space="preserve"> </w:t>
      </w:r>
      <w:r>
        <w:rPr>
          <w:rFonts w:ascii="仿宋" w:hAnsi="仿宋" w:eastAsia="仿宋" w:cs="仿宋"/>
          <w:spacing w:val="20"/>
          <w:sz w:val="31"/>
          <w:szCs w:val="31"/>
        </w:rPr>
        <w:t>外城市间交通费、住宿费、伙食费、培训费、公</w:t>
      </w:r>
      <w:r>
        <w:rPr>
          <w:rFonts w:ascii="仿宋" w:hAnsi="仿宋" w:eastAsia="仿宋" w:cs="仿宋"/>
          <w:spacing w:val="19"/>
          <w:sz w:val="31"/>
          <w:szCs w:val="31"/>
        </w:rPr>
        <w:t>杂费等支出；</w:t>
      </w:r>
      <w:r>
        <w:rPr>
          <w:rFonts w:ascii="仿宋" w:hAnsi="仿宋" w:eastAsia="仿宋" w:cs="仿宋"/>
          <w:sz w:val="31"/>
          <w:szCs w:val="31"/>
        </w:rPr>
        <w:t xml:space="preserve"> </w:t>
      </w:r>
      <w:r>
        <w:rPr>
          <w:rFonts w:ascii="仿宋" w:hAnsi="仿宋" w:eastAsia="仿宋" w:cs="仿宋"/>
          <w:spacing w:val="20"/>
          <w:sz w:val="31"/>
          <w:szCs w:val="31"/>
        </w:rPr>
        <w:t>公务用车购置费反映公务用车购置支出（含车</w:t>
      </w:r>
      <w:r>
        <w:rPr>
          <w:rFonts w:ascii="仿宋" w:hAnsi="仿宋" w:eastAsia="仿宋" w:cs="仿宋"/>
          <w:spacing w:val="19"/>
          <w:sz w:val="31"/>
          <w:szCs w:val="31"/>
        </w:rPr>
        <w:t>辆购置税、牌照</w:t>
      </w:r>
      <w:r>
        <w:rPr>
          <w:rFonts w:ascii="仿宋" w:hAnsi="仿宋" w:eastAsia="仿宋" w:cs="仿宋"/>
          <w:sz w:val="31"/>
          <w:szCs w:val="31"/>
        </w:rPr>
        <w:t xml:space="preserve"> </w:t>
      </w:r>
      <w:r>
        <w:rPr>
          <w:rFonts w:ascii="仿宋" w:hAnsi="仿宋" w:eastAsia="仿宋" w:cs="仿宋"/>
          <w:spacing w:val="18"/>
          <w:sz w:val="31"/>
          <w:szCs w:val="31"/>
        </w:rPr>
        <w:t>费</w:t>
      </w:r>
      <w:r>
        <w:rPr>
          <w:rFonts w:ascii="仿宋" w:hAnsi="仿宋" w:eastAsia="仿宋" w:cs="仿宋"/>
          <w:spacing w:val="4"/>
          <w:sz w:val="31"/>
          <w:szCs w:val="31"/>
        </w:rPr>
        <w:t>）</w:t>
      </w:r>
      <w:r>
        <w:rPr>
          <w:rFonts w:ascii="仿宋" w:hAnsi="仿宋" w:eastAsia="仿宋" w:cs="仿宋"/>
          <w:spacing w:val="-80"/>
          <w:sz w:val="31"/>
          <w:szCs w:val="31"/>
        </w:rPr>
        <w:t xml:space="preserve"> </w:t>
      </w:r>
      <w:r>
        <w:rPr>
          <w:rFonts w:ascii="仿宋" w:hAnsi="仿宋" w:eastAsia="仿宋" w:cs="仿宋"/>
          <w:spacing w:val="4"/>
          <w:sz w:val="31"/>
          <w:szCs w:val="31"/>
        </w:rPr>
        <w:t>；</w:t>
      </w:r>
      <w:r>
        <w:rPr>
          <w:rFonts w:ascii="仿宋" w:hAnsi="仿宋" w:eastAsia="仿宋" w:cs="仿宋"/>
          <w:spacing w:val="18"/>
          <w:sz w:val="31"/>
          <w:szCs w:val="31"/>
        </w:rPr>
        <w:t>公务用车运行维护费反映单位按规定保留的公务用车燃</w:t>
      </w:r>
      <w:r>
        <w:rPr>
          <w:rFonts w:ascii="仿宋" w:hAnsi="仿宋" w:eastAsia="仿宋" w:cs="仿宋"/>
          <w:sz w:val="31"/>
          <w:szCs w:val="31"/>
        </w:rPr>
        <w:t xml:space="preserve"> </w:t>
      </w:r>
      <w:r>
        <w:rPr>
          <w:rFonts w:ascii="仿宋" w:hAnsi="仿宋" w:eastAsia="仿宋" w:cs="仿宋"/>
          <w:spacing w:val="20"/>
          <w:sz w:val="31"/>
          <w:szCs w:val="31"/>
        </w:rPr>
        <w:t>料费、维修费、过路过桥费、保险费、安全奖励</w:t>
      </w:r>
      <w:r>
        <w:rPr>
          <w:rFonts w:ascii="仿宋" w:hAnsi="仿宋" w:eastAsia="仿宋" w:cs="仿宋"/>
          <w:spacing w:val="19"/>
          <w:sz w:val="31"/>
          <w:szCs w:val="31"/>
        </w:rPr>
        <w:t>费用等支出；</w:t>
      </w:r>
      <w:r>
        <w:rPr>
          <w:rFonts w:ascii="仿宋" w:hAnsi="仿宋" w:eastAsia="仿宋" w:cs="仿宋"/>
          <w:sz w:val="31"/>
          <w:szCs w:val="31"/>
        </w:rPr>
        <w:t xml:space="preserve"> </w:t>
      </w:r>
      <w:r>
        <w:rPr>
          <w:rFonts w:ascii="仿宋" w:hAnsi="仿宋" w:eastAsia="仿宋" w:cs="仿宋"/>
          <w:spacing w:val="20"/>
          <w:sz w:val="31"/>
          <w:szCs w:val="31"/>
        </w:rPr>
        <w:t>公务接待费反映机关和参公事业单位按规定开</w:t>
      </w:r>
      <w:r>
        <w:rPr>
          <w:rFonts w:ascii="仿宋" w:hAnsi="仿宋" w:eastAsia="仿宋" w:cs="仿宋"/>
          <w:spacing w:val="19"/>
          <w:sz w:val="31"/>
          <w:szCs w:val="31"/>
        </w:rPr>
        <w:t>支的各类公务接</w:t>
      </w:r>
      <w:r>
        <w:rPr>
          <w:rFonts w:ascii="仿宋" w:hAnsi="仿宋" w:eastAsia="仿宋" w:cs="仿宋"/>
          <w:sz w:val="31"/>
          <w:szCs w:val="31"/>
        </w:rPr>
        <w:t xml:space="preserve"> </w:t>
      </w:r>
      <w:r>
        <w:rPr>
          <w:rFonts w:ascii="仿宋" w:hAnsi="仿宋" w:eastAsia="仿宋" w:cs="仿宋"/>
          <w:spacing w:val="7"/>
          <w:sz w:val="31"/>
          <w:szCs w:val="31"/>
        </w:rPr>
        <w:t>待（含外宾接待）支出。</w:t>
      </w:r>
    </w:p>
    <w:p w14:paraId="0C785B74">
      <w:pPr>
        <w:spacing w:before="187" w:line="279" w:lineRule="auto"/>
        <w:ind w:left="1521" w:right="1474" w:firstLine="650"/>
        <w:rPr>
          <w:rFonts w:ascii="仿宋" w:hAnsi="仿宋" w:eastAsia="仿宋" w:cs="仿宋"/>
          <w:sz w:val="31"/>
          <w:szCs w:val="31"/>
        </w:rPr>
      </w:pPr>
      <w:r>
        <w:rPr>
          <w:rFonts w:ascii="黑体" w:hAnsi="黑体" w:eastAsia="黑体" w:cs="黑体"/>
          <w:spacing w:val="20"/>
          <w:sz w:val="31"/>
          <w:szCs w:val="31"/>
        </w:rPr>
        <w:t>四、机关运行经费：</w:t>
      </w:r>
      <w:r>
        <w:rPr>
          <w:rFonts w:ascii="仿宋" w:hAnsi="仿宋" w:eastAsia="仿宋" w:cs="仿宋"/>
          <w:spacing w:val="20"/>
          <w:sz w:val="31"/>
          <w:szCs w:val="31"/>
        </w:rPr>
        <w:t>指行政单位和参照公务员法管理的事</w:t>
      </w:r>
      <w:r>
        <w:rPr>
          <w:rFonts w:ascii="仿宋" w:hAnsi="仿宋" w:eastAsia="仿宋" w:cs="仿宋"/>
          <w:spacing w:val="2"/>
          <w:sz w:val="31"/>
          <w:szCs w:val="31"/>
        </w:rPr>
        <w:t xml:space="preserve"> </w:t>
      </w:r>
      <w:r>
        <w:rPr>
          <w:rFonts w:ascii="仿宋" w:hAnsi="仿宋" w:eastAsia="仿宋" w:cs="仿宋"/>
          <w:spacing w:val="8"/>
          <w:sz w:val="31"/>
          <w:szCs w:val="31"/>
        </w:rPr>
        <w:t>业单位使用财政拨款安排的基本支出中的公用经费支出。</w:t>
      </w:r>
    </w:p>
    <w:p w14:paraId="43B0DA4D">
      <w:pPr>
        <w:spacing w:before="177" w:line="313" w:lineRule="auto"/>
        <w:ind w:left="1521" w:right="1474" w:firstLine="639"/>
        <w:rPr>
          <w:rFonts w:ascii="仿宋" w:hAnsi="仿宋" w:eastAsia="仿宋" w:cs="仿宋"/>
          <w:sz w:val="31"/>
          <w:szCs w:val="31"/>
        </w:rPr>
      </w:pPr>
      <w:r>
        <w:rPr>
          <w:rFonts w:ascii="黑体" w:hAnsi="黑体" w:eastAsia="黑体" w:cs="黑体"/>
          <w:spacing w:val="20"/>
          <w:sz w:val="31"/>
          <w:szCs w:val="31"/>
        </w:rPr>
        <w:t>五、政府购买服务：</w:t>
      </w:r>
      <w:r>
        <w:rPr>
          <w:rFonts w:ascii="仿宋" w:hAnsi="仿宋" w:eastAsia="仿宋" w:cs="仿宋"/>
          <w:spacing w:val="20"/>
          <w:sz w:val="31"/>
          <w:szCs w:val="31"/>
        </w:rPr>
        <w:t>根据我国现行政策规定，政府购买服</w:t>
      </w:r>
      <w:r>
        <w:rPr>
          <w:rFonts w:ascii="仿宋" w:hAnsi="仿宋" w:eastAsia="仿宋" w:cs="仿宋"/>
          <w:spacing w:val="13"/>
          <w:sz w:val="31"/>
          <w:szCs w:val="31"/>
        </w:rPr>
        <w:t xml:space="preserve"> </w:t>
      </w:r>
      <w:r>
        <w:rPr>
          <w:rFonts w:ascii="仿宋" w:hAnsi="仿宋" w:eastAsia="仿宋" w:cs="仿宋"/>
          <w:spacing w:val="20"/>
          <w:sz w:val="31"/>
          <w:szCs w:val="31"/>
        </w:rPr>
        <w:t>务，是指充分发挥市场机制作用，将国家机</w:t>
      </w:r>
      <w:r>
        <w:rPr>
          <w:rFonts w:ascii="仿宋" w:hAnsi="仿宋" w:eastAsia="仿宋" w:cs="仿宋"/>
          <w:spacing w:val="19"/>
          <w:sz w:val="31"/>
          <w:szCs w:val="31"/>
        </w:rPr>
        <w:t>关属于自身职责范</w:t>
      </w:r>
      <w:r>
        <w:rPr>
          <w:rFonts w:ascii="仿宋" w:hAnsi="仿宋" w:eastAsia="仿宋" w:cs="仿宋"/>
          <w:sz w:val="31"/>
          <w:szCs w:val="31"/>
        </w:rPr>
        <w:t xml:space="preserve"> </w:t>
      </w:r>
      <w:r>
        <w:rPr>
          <w:rFonts w:ascii="仿宋" w:hAnsi="仿宋" w:eastAsia="仿宋" w:cs="仿宋"/>
          <w:spacing w:val="20"/>
          <w:sz w:val="31"/>
          <w:szCs w:val="31"/>
        </w:rPr>
        <w:t>围且适合通过市场化方式提供的服务事项，</w:t>
      </w:r>
      <w:r>
        <w:rPr>
          <w:rFonts w:ascii="仿宋" w:hAnsi="仿宋" w:eastAsia="仿宋" w:cs="仿宋"/>
          <w:spacing w:val="19"/>
          <w:sz w:val="31"/>
          <w:szCs w:val="31"/>
        </w:rPr>
        <w:t>按照政府采购方式</w:t>
      </w:r>
      <w:r>
        <w:rPr>
          <w:rFonts w:ascii="仿宋" w:hAnsi="仿宋" w:eastAsia="仿宋" w:cs="仿宋"/>
          <w:sz w:val="31"/>
          <w:szCs w:val="31"/>
        </w:rPr>
        <w:t xml:space="preserve"> </w:t>
      </w:r>
      <w:r>
        <w:rPr>
          <w:rFonts w:ascii="仿宋" w:hAnsi="仿宋" w:eastAsia="仿宋" w:cs="仿宋"/>
          <w:spacing w:val="20"/>
          <w:sz w:val="31"/>
          <w:szCs w:val="31"/>
        </w:rPr>
        <w:t>和程序，交由符合条件的服务供应商承担，</w:t>
      </w:r>
      <w:r>
        <w:rPr>
          <w:rFonts w:ascii="仿宋" w:hAnsi="仿宋" w:eastAsia="仿宋" w:cs="仿宋"/>
          <w:spacing w:val="19"/>
          <w:sz w:val="31"/>
          <w:szCs w:val="31"/>
        </w:rPr>
        <w:t>并根据服务数量和</w:t>
      </w:r>
      <w:r>
        <w:rPr>
          <w:rFonts w:ascii="仿宋" w:hAnsi="仿宋" w:eastAsia="仿宋" w:cs="仿宋"/>
          <w:sz w:val="31"/>
          <w:szCs w:val="31"/>
        </w:rPr>
        <w:t xml:space="preserve"> </w:t>
      </w:r>
      <w:r>
        <w:rPr>
          <w:rFonts w:ascii="仿宋" w:hAnsi="仿宋" w:eastAsia="仿宋" w:cs="仿宋"/>
          <w:spacing w:val="7"/>
          <w:sz w:val="31"/>
          <w:szCs w:val="31"/>
        </w:rPr>
        <w:t>质量等情况向其支付费用的行为。</w:t>
      </w:r>
    </w:p>
    <w:p w14:paraId="00EEDD95">
      <w:pPr>
        <w:spacing w:before="173" w:line="228" w:lineRule="auto"/>
        <w:ind w:left="2162"/>
        <w:rPr>
          <w:rFonts w:ascii="黑体" w:hAnsi="黑体" w:eastAsia="黑体" w:cs="黑体"/>
          <w:sz w:val="31"/>
          <w:szCs w:val="31"/>
        </w:rPr>
      </w:pPr>
      <w:r>
        <w:rPr>
          <w:rFonts w:ascii="黑体" w:hAnsi="黑体" w:eastAsia="黑体" w:cs="黑体"/>
          <w:spacing w:val="6"/>
          <w:sz w:val="31"/>
          <w:szCs w:val="31"/>
        </w:rPr>
        <w:t>六、财政专户管理资金：</w:t>
      </w:r>
    </w:p>
    <w:p w14:paraId="783F60B3">
      <w:pPr>
        <w:spacing w:before="220" w:line="324" w:lineRule="auto"/>
        <w:ind w:left="1531" w:right="1474" w:firstLine="633"/>
        <w:rPr>
          <w:rFonts w:ascii="仿宋" w:hAnsi="仿宋" w:eastAsia="仿宋" w:cs="仿宋"/>
          <w:sz w:val="31"/>
          <w:szCs w:val="31"/>
        </w:rPr>
      </w:pPr>
      <w:r>
        <w:rPr>
          <w:rFonts w:ascii="仿宋" w:hAnsi="仿宋" w:eastAsia="仿宋" w:cs="仿宋"/>
          <w:spacing w:val="24"/>
          <w:sz w:val="31"/>
          <w:szCs w:val="31"/>
        </w:rPr>
        <w:t>专指教育收费</w:t>
      </w:r>
      <w:r>
        <w:rPr>
          <w:rFonts w:ascii="仿宋" w:hAnsi="仿宋" w:eastAsia="仿宋" w:cs="仿宋"/>
          <w:spacing w:val="-83"/>
          <w:sz w:val="31"/>
          <w:szCs w:val="31"/>
        </w:rPr>
        <w:t xml:space="preserve"> </w:t>
      </w:r>
      <w:r>
        <w:rPr>
          <w:rFonts w:ascii="仿宋" w:hAnsi="仿宋" w:eastAsia="仿宋" w:cs="仿宋"/>
          <w:spacing w:val="24"/>
          <w:sz w:val="31"/>
          <w:szCs w:val="31"/>
        </w:rPr>
        <w:t>，</w:t>
      </w:r>
      <w:r>
        <w:rPr>
          <w:rFonts w:ascii="仿宋" w:hAnsi="仿宋" w:eastAsia="仿宋" w:cs="仿宋"/>
          <w:spacing w:val="-88"/>
          <w:sz w:val="31"/>
          <w:szCs w:val="31"/>
        </w:rPr>
        <w:t xml:space="preserve"> </w:t>
      </w:r>
      <w:r>
        <w:rPr>
          <w:rFonts w:ascii="仿宋" w:hAnsi="仿宋" w:eastAsia="仿宋" w:cs="仿宋"/>
          <w:spacing w:val="24"/>
          <w:sz w:val="31"/>
          <w:szCs w:val="31"/>
        </w:rPr>
        <w:t>包括</w:t>
      </w:r>
      <w:r>
        <w:rPr>
          <w:rFonts w:ascii="仿宋" w:hAnsi="仿宋" w:eastAsia="仿宋" w:cs="仿宋"/>
          <w:spacing w:val="-51"/>
          <w:sz w:val="31"/>
          <w:szCs w:val="31"/>
        </w:rPr>
        <w:t xml:space="preserve"> </w:t>
      </w:r>
      <w:r>
        <w:rPr>
          <w:rFonts w:ascii="仿宋" w:hAnsi="仿宋" w:eastAsia="仿宋" w:cs="仿宋"/>
          <w:spacing w:val="24"/>
          <w:sz w:val="31"/>
          <w:szCs w:val="31"/>
        </w:rPr>
        <w:t>目前在财政专户管理的高中以上学</w:t>
      </w:r>
      <w:r>
        <w:rPr>
          <w:rFonts w:ascii="仿宋" w:hAnsi="仿宋" w:eastAsia="仿宋" w:cs="仿宋"/>
          <w:sz w:val="31"/>
          <w:szCs w:val="31"/>
        </w:rPr>
        <w:t xml:space="preserve"> </w:t>
      </w:r>
      <w:r>
        <w:rPr>
          <w:rFonts w:ascii="仿宋" w:hAnsi="仿宋" w:eastAsia="仿宋" w:cs="仿宋"/>
          <w:spacing w:val="19"/>
          <w:sz w:val="31"/>
          <w:szCs w:val="31"/>
        </w:rPr>
        <w:t>费、住宿费，高校委托培养费，党校收费，教育考试考务费，</w:t>
      </w:r>
      <w:r>
        <w:rPr>
          <w:rFonts w:ascii="仿宋" w:hAnsi="仿宋" w:eastAsia="仿宋" w:cs="仿宋"/>
          <w:spacing w:val="9"/>
          <w:sz w:val="31"/>
          <w:szCs w:val="31"/>
        </w:rPr>
        <w:t xml:space="preserve"> </w:t>
      </w:r>
      <w:r>
        <w:rPr>
          <w:rFonts w:ascii="仿宋" w:hAnsi="仿宋" w:eastAsia="仿宋" w:cs="仿宋"/>
          <w:spacing w:val="3"/>
          <w:sz w:val="31"/>
          <w:szCs w:val="31"/>
        </w:rPr>
        <w:t>函大、</w:t>
      </w:r>
      <w:r>
        <w:rPr>
          <w:rFonts w:ascii="仿宋" w:hAnsi="仿宋" w:eastAsia="仿宋" w:cs="仿宋"/>
          <w:spacing w:val="-80"/>
          <w:sz w:val="31"/>
          <w:szCs w:val="31"/>
        </w:rPr>
        <w:t xml:space="preserve"> </w:t>
      </w:r>
      <w:r>
        <w:rPr>
          <w:rFonts w:ascii="仿宋" w:hAnsi="仿宋" w:eastAsia="仿宋" w:cs="仿宋"/>
          <w:spacing w:val="3"/>
          <w:sz w:val="31"/>
          <w:szCs w:val="31"/>
        </w:rPr>
        <w:t>电大、夜大及短训班培训费等。</w:t>
      </w:r>
    </w:p>
    <w:p w14:paraId="21C752C7">
      <w:pPr>
        <w:spacing w:line="324" w:lineRule="auto"/>
        <w:rPr>
          <w:rFonts w:ascii="仿宋" w:hAnsi="仿宋" w:eastAsia="仿宋" w:cs="仿宋"/>
          <w:sz w:val="31"/>
          <w:szCs w:val="31"/>
        </w:rPr>
        <w:sectPr>
          <w:headerReference r:id="rId68" w:type="default"/>
          <w:footerReference r:id="rId69" w:type="default"/>
          <w:pgSz w:w="11900" w:h="16840"/>
          <w:pgMar w:top="611" w:right="0" w:bottom="312" w:left="0" w:header="357" w:footer="153" w:gutter="0"/>
          <w:cols w:space="720" w:num="1"/>
        </w:sectPr>
      </w:pPr>
    </w:p>
    <w:p w14:paraId="72A4F63D">
      <w:pPr>
        <w:pStyle w:val="2"/>
        <w:spacing w:line="300" w:lineRule="auto"/>
      </w:pPr>
    </w:p>
    <w:p w14:paraId="47068137">
      <w:pPr>
        <w:pStyle w:val="2"/>
        <w:spacing w:line="300" w:lineRule="auto"/>
      </w:pPr>
    </w:p>
    <w:p w14:paraId="28331009">
      <w:pPr>
        <w:spacing w:before="101" w:line="299" w:lineRule="auto"/>
        <w:ind w:left="1521" w:right="1474" w:firstLine="629"/>
        <w:rPr>
          <w:rFonts w:ascii="仿宋" w:hAnsi="仿宋" w:eastAsia="仿宋" w:cs="仿宋"/>
          <w:sz w:val="31"/>
          <w:szCs w:val="31"/>
        </w:rPr>
      </w:pPr>
      <w:r>
        <w:rPr>
          <w:rFonts w:ascii="黑体" w:hAnsi="黑体" w:eastAsia="黑体" w:cs="黑体"/>
          <w:spacing w:val="21"/>
          <w:sz w:val="31"/>
          <w:szCs w:val="31"/>
        </w:rPr>
        <w:t>七、单位资金：</w:t>
      </w:r>
      <w:r>
        <w:rPr>
          <w:rFonts w:ascii="仿宋" w:hAnsi="仿宋" w:eastAsia="仿宋" w:cs="仿宋"/>
          <w:spacing w:val="21"/>
          <w:sz w:val="31"/>
          <w:szCs w:val="31"/>
        </w:rPr>
        <w:t>是指除政府预算资金和财政专户管理</w:t>
      </w:r>
      <w:r>
        <w:rPr>
          <w:rFonts w:ascii="仿宋" w:hAnsi="仿宋" w:eastAsia="仿宋" w:cs="仿宋"/>
          <w:spacing w:val="20"/>
          <w:sz w:val="31"/>
          <w:szCs w:val="31"/>
        </w:rPr>
        <w:t>资金</w:t>
      </w:r>
      <w:r>
        <w:rPr>
          <w:rFonts w:ascii="仿宋" w:hAnsi="仿宋" w:eastAsia="仿宋" w:cs="仿宋"/>
          <w:sz w:val="31"/>
          <w:szCs w:val="31"/>
        </w:rPr>
        <w:t xml:space="preserve"> </w:t>
      </w:r>
      <w:r>
        <w:rPr>
          <w:rFonts w:ascii="仿宋" w:hAnsi="仿宋" w:eastAsia="仿宋" w:cs="仿宋"/>
          <w:spacing w:val="20"/>
          <w:sz w:val="31"/>
          <w:szCs w:val="31"/>
        </w:rPr>
        <w:t>以外的资金，包括事业收入、事业单位经营</w:t>
      </w:r>
      <w:r>
        <w:rPr>
          <w:rFonts w:ascii="仿宋" w:hAnsi="仿宋" w:eastAsia="仿宋" w:cs="仿宋"/>
          <w:spacing w:val="19"/>
          <w:sz w:val="31"/>
          <w:szCs w:val="31"/>
        </w:rPr>
        <w:t>收入、上级补助收</w:t>
      </w:r>
      <w:r>
        <w:rPr>
          <w:rFonts w:ascii="仿宋" w:hAnsi="仿宋" w:eastAsia="仿宋" w:cs="仿宋"/>
          <w:sz w:val="31"/>
          <w:szCs w:val="31"/>
        </w:rPr>
        <w:t xml:space="preserve"> </w:t>
      </w:r>
      <w:r>
        <w:rPr>
          <w:rFonts w:ascii="仿宋" w:hAnsi="仿宋" w:eastAsia="仿宋" w:cs="仿宋"/>
          <w:spacing w:val="7"/>
          <w:sz w:val="31"/>
          <w:szCs w:val="31"/>
        </w:rPr>
        <w:t>入、附属单位上缴收入、其他收入。</w:t>
      </w:r>
    </w:p>
    <w:p w14:paraId="258D70E9">
      <w:pPr>
        <w:spacing w:before="175" w:line="279" w:lineRule="auto"/>
        <w:ind w:left="1520" w:right="1474" w:firstLine="632"/>
        <w:rPr>
          <w:rFonts w:ascii="仿宋" w:hAnsi="仿宋" w:eastAsia="仿宋" w:cs="仿宋"/>
          <w:sz w:val="31"/>
          <w:szCs w:val="31"/>
        </w:rPr>
      </w:pPr>
      <w:r>
        <w:rPr>
          <w:rFonts w:ascii="黑体" w:hAnsi="黑体" w:eastAsia="黑体" w:cs="黑体"/>
          <w:spacing w:val="21"/>
          <w:sz w:val="31"/>
          <w:szCs w:val="31"/>
        </w:rPr>
        <w:t>八、上年结转：</w:t>
      </w:r>
      <w:r>
        <w:rPr>
          <w:rFonts w:ascii="仿宋" w:hAnsi="仿宋" w:eastAsia="仿宋" w:cs="仿宋"/>
          <w:spacing w:val="21"/>
          <w:sz w:val="31"/>
          <w:szCs w:val="31"/>
        </w:rPr>
        <w:t>指以前年度预算安排、结转到本</w:t>
      </w:r>
      <w:r>
        <w:rPr>
          <w:rFonts w:ascii="仿宋" w:hAnsi="仿宋" w:eastAsia="仿宋" w:cs="仿宋"/>
          <w:spacing w:val="20"/>
          <w:sz w:val="31"/>
          <w:szCs w:val="31"/>
        </w:rPr>
        <w:t>年仍按原</w:t>
      </w:r>
      <w:r>
        <w:rPr>
          <w:rFonts w:ascii="仿宋" w:hAnsi="仿宋" w:eastAsia="仿宋" w:cs="仿宋"/>
          <w:sz w:val="31"/>
          <w:szCs w:val="31"/>
        </w:rPr>
        <w:t xml:space="preserve"> </w:t>
      </w:r>
      <w:r>
        <w:rPr>
          <w:rFonts w:ascii="仿宋" w:hAnsi="仿宋" w:eastAsia="仿宋" w:cs="仿宋"/>
          <w:spacing w:val="7"/>
          <w:sz w:val="31"/>
          <w:szCs w:val="31"/>
        </w:rPr>
        <w:t>规定用途继续使用的资金。</w:t>
      </w:r>
    </w:p>
    <w:p w14:paraId="3D85B321">
      <w:pPr>
        <w:spacing w:before="187" w:line="295" w:lineRule="auto"/>
        <w:ind w:left="1521" w:right="1474" w:firstLine="638"/>
        <w:rPr>
          <w:rFonts w:ascii="仿宋" w:hAnsi="仿宋" w:eastAsia="仿宋" w:cs="仿宋"/>
          <w:sz w:val="31"/>
          <w:szCs w:val="31"/>
        </w:rPr>
      </w:pPr>
      <w:r>
        <w:rPr>
          <w:rFonts w:ascii="黑体" w:hAnsi="黑体" w:eastAsia="黑体" w:cs="黑体"/>
          <w:spacing w:val="20"/>
          <w:sz w:val="31"/>
          <w:szCs w:val="31"/>
        </w:rPr>
        <w:t>九、一般公共预算：</w:t>
      </w:r>
      <w:r>
        <w:rPr>
          <w:rFonts w:ascii="仿宋" w:hAnsi="仿宋" w:eastAsia="仿宋" w:cs="仿宋"/>
          <w:spacing w:val="20"/>
          <w:sz w:val="31"/>
          <w:szCs w:val="31"/>
        </w:rPr>
        <w:t>是指以税收为主体的财政收入，安排</w:t>
      </w:r>
      <w:r>
        <w:rPr>
          <w:rFonts w:ascii="仿宋" w:hAnsi="仿宋" w:eastAsia="仿宋" w:cs="仿宋"/>
          <w:spacing w:val="14"/>
          <w:sz w:val="31"/>
          <w:szCs w:val="31"/>
        </w:rPr>
        <w:t xml:space="preserve"> </w:t>
      </w:r>
      <w:r>
        <w:rPr>
          <w:rFonts w:ascii="仿宋" w:hAnsi="仿宋" w:eastAsia="仿宋" w:cs="仿宋"/>
          <w:spacing w:val="20"/>
          <w:sz w:val="31"/>
          <w:szCs w:val="31"/>
        </w:rPr>
        <w:t>用于保障和改善民生、推动经济社会发展、</w:t>
      </w:r>
      <w:r>
        <w:rPr>
          <w:rFonts w:ascii="仿宋" w:hAnsi="仿宋" w:eastAsia="仿宋" w:cs="仿宋"/>
          <w:spacing w:val="19"/>
          <w:sz w:val="31"/>
          <w:szCs w:val="31"/>
        </w:rPr>
        <w:t>维护国家安全、维</w:t>
      </w:r>
      <w:r>
        <w:rPr>
          <w:rFonts w:ascii="仿宋" w:hAnsi="仿宋" w:eastAsia="仿宋" w:cs="仿宋"/>
          <w:sz w:val="31"/>
          <w:szCs w:val="31"/>
        </w:rPr>
        <w:t xml:space="preserve"> </w:t>
      </w:r>
      <w:r>
        <w:rPr>
          <w:rFonts w:ascii="仿宋" w:hAnsi="仿宋" w:eastAsia="仿宋" w:cs="仿宋"/>
          <w:spacing w:val="8"/>
          <w:sz w:val="31"/>
          <w:szCs w:val="31"/>
        </w:rPr>
        <w:t>持国家机构正常运转等方面的收支预算。</w:t>
      </w:r>
    </w:p>
    <w:p w14:paraId="64F0843F">
      <w:pPr>
        <w:spacing w:before="193" w:line="296" w:lineRule="auto"/>
        <w:ind w:left="1521" w:right="1474" w:firstLine="635"/>
        <w:rPr>
          <w:rFonts w:ascii="仿宋" w:hAnsi="仿宋" w:eastAsia="仿宋" w:cs="仿宋"/>
          <w:sz w:val="31"/>
          <w:szCs w:val="31"/>
        </w:rPr>
      </w:pPr>
      <w:r>
        <w:rPr>
          <w:rFonts w:ascii="黑体" w:hAnsi="黑体" w:eastAsia="黑体" w:cs="黑体"/>
          <w:spacing w:val="20"/>
          <w:sz w:val="31"/>
          <w:szCs w:val="31"/>
        </w:rPr>
        <w:t>十、政府性基金预算：</w:t>
      </w:r>
      <w:r>
        <w:rPr>
          <w:rFonts w:ascii="仿宋" w:hAnsi="仿宋" w:eastAsia="仿宋" w:cs="仿宋"/>
          <w:spacing w:val="20"/>
          <w:sz w:val="31"/>
          <w:szCs w:val="31"/>
        </w:rPr>
        <w:t>是对依照法律、行政法规的规定在</w:t>
      </w:r>
      <w:r>
        <w:rPr>
          <w:rFonts w:ascii="仿宋" w:hAnsi="仿宋" w:eastAsia="仿宋" w:cs="仿宋"/>
          <w:spacing w:val="18"/>
          <w:sz w:val="31"/>
          <w:szCs w:val="31"/>
        </w:rPr>
        <w:t xml:space="preserve"> </w:t>
      </w:r>
      <w:r>
        <w:rPr>
          <w:rFonts w:ascii="仿宋" w:hAnsi="仿宋" w:eastAsia="仿宋" w:cs="仿宋"/>
          <w:spacing w:val="27"/>
          <w:sz w:val="31"/>
          <w:szCs w:val="31"/>
        </w:rPr>
        <w:t>一定期限内向特定对象征收</w:t>
      </w:r>
      <w:r>
        <w:rPr>
          <w:rFonts w:ascii="仿宋" w:hAnsi="仿宋" w:eastAsia="仿宋" w:cs="仿宋"/>
          <w:spacing w:val="-84"/>
          <w:sz w:val="31"/>
          <w:szCs w:val="31"/>
        </w:rPr>
        <w:t xml:space="preserve"> </w:t>
      </w:r>
      <w:r>
        <w:rPr>
          <w:rFonts w:ascii="仿宋" w:hAnsi="仿宋" w:eastAsia="仿宋" w:cs="仿宋"/>
          <w:spacing w:val="27"/>
          <w:sz w:val="31"/>
          <w:szCs w:val="31"/>
        </w:rPr>
        <w:t>、</w:t>
      </w:r>
      <w:r>
        <w:rPr>
          <w:rFonts w:ascii="仿宋" w:hAnsi="仿宋" w:eastAsia="仿宋" w:cs="仿宋"/>
          <w:spacing w:val="-86"/>
          <w:sz w:val="31"/>
          <w:szCs w:val="31"/>
        </w:rPr>
        <w:t xml:space="preserve"> </w:t>
      </w:r>
      <w:r>
        <w:rPr>
          <w:rFonts w:ascii="仿宋" w:hAnsi="仿宋" w:eastAsia="仿宋" w:cs="仿宋"/>
          <w:spacing w:val="27"/>
          <w:sz w:val="31"/>
          <w:szCs w:val="31"/>
        </w:rPr>
        <w:t>收取或者以其他方式筹集的资</w:t>
      </w:r>
      <w:r>
        <w:rPr>
          <w:rFonts w:ascii="仿宋" w:hAnsi="仿宋" w:eastAsia="仿宋" w:cs="仿宋"/>
          <w:sz w:val="31"/>
          <w:szCs w:val="31"/>
        </w:rPr>
        <w:t xml:space="preserve"> </w:t>
      </w:r>
      <w:r>
        <w:rPr>
          <w:rFonts w:ascii="仿宋" w:hAnsi="仿宋" w:eastAsia="仿宋" w:cs="仿宋"/>
          <w:spacing w:val="8"/>
          <w:sz w:val="31"/>
          <w:szCs w:val="31"/>
        </w:rPr>
        <w:t>金，专项用于特定公共事业发展的收支预算。</w:t>
      </w:r>
    </w:p>
    <w:p w14:paraId="468B89D5">
      <w:pPr>
        <w:spacing w:before="188" w:line="279" w:lineRule="auto"/>
        <w:ind w:left="1517" w:right="1474" w:firstLine="638"/>
        <w:rPr>
          <w:rFonts w:ascii="仿宋" w:hAnsi="仿宋" w:eastAsia="仿宋" w:cs="仿宋"/>
          <w:sz w:val="31"/>
          <w:szCs w:val="31"/>
        </w:rPr>
      </w:pPr>
      <w:r>
        <w:rPr>
          <w:rFonts w:ascii="黑体" w:hAnsi="黑体" w:eastAsia="黑体" w:cs="黑体"/>
          <w:spacing w:val="20"/>
          <w:sz w:val="31"/>
          <w:szCs w:val="31"/>
        </w:rPr>
        <w:t>十一、国有资本经营预算：</w:t>
      </w:r>
      <w:r>
        <w:rPr>
          <w:rFonts w:ascii="仿宋" w:hAnsi="仿宋" w:eastAsia="仿宋" w:cs="仿宋"/>
          <w:spacing w:val="20"/>
          <w:sz w:val="31"/>
          <w:szCs w:val="31"/>
        </w:rPr>
        <w:t>是对国有资本收益作出支出安</w:t>
      </w:r>
      <w:r>
        <w:rPr>
          <w:rFonts w:ascii="仿宋" w:hAnsi="仿宋" w:eastAsia="仿宋" w:cs="仿宋"/>
          <w:spacing w:val="17"/>
          <w:sz w:val="31"/>
          <w:szCs w:val="31"/>
        </w:rPr>
        <w:t xml:space="preserve"> </w:t>
      </w:r>
      <w:r>
        <w:rPr>
          <w:rFonts w:ascii="仿宋" w:hAnsi="仿宋" w:eastAsia="仿宋" w:cs="仿宋"/>
          <w:spacing w:val="5"/>
          <w:sz w:val="31"/>
          <w:szCs w:val="31"/>
        </w:rPr>
        <w:t>排的收支预算。</w:t>
      </w:r>
    </w:p>
    <w:p w14:paraId="01144E52">
      <w:pPr>
        <w:spacing w:before="171" w:line="284" w:lineRule="auto"/>
        <w:ind w:left="1557" w:right="1530" w:firstLine="598"/>
        <w:rPr>
          <w:rFonts w:ascii="仿宋" w:hAnsi="仿宋" w:eastAsia="仿宋" w:cs="仿宋"/>
          <w:sz w:val="31"/>
          <w:szCs w:val="31"/>
        </w:rPr>
      </w:pPr>
      <w:r>
        <w:rPr>
          <w:rFonts w:ascii="黑体" w:hAnsi="黑体" w:eastAsia="黑体" w:cs="黑体"/>
          <w:spacing w:val="16"/>
          <w:sz w:val="31"/>
          <w:szCs w:val="31"/>
        </w:rPr>
        <w:t>十二、财政拨款：</w:t>
      </w:r>
      <w:r>
        <w:rPr>
          <w:rFonts w:ascii="黑体" w:hAnsi="黑体" w:eastAsia="黑体" w:cs="黑体"/>
          <w:spacing w:val="-88"/>
          <w:sz w:val="31"/>
          <w:szCs w:val="31"/>
        </w:rPr>
        <w:t xml:space="preserve"> </w:t>
      </w:r>
      <w:r>
        <w:rPr>
          <w:rFonts w:ascii="仿宋" w:hAnsi="仿宋" w:eastAsia="仿宋" w:cs="仿宋"/>
          <w:spacing w:val="16"/>
          <w:sz w:val="31"/>
          <w:szCs w:val="31"/>
        </w:rPr>
        <w:t>包含一般公共预算、政府</w:t>
      </w:r>
      <w:r>
        <w:rPr>
          <w:rFonts w:ascii="仿宋" w:hAnsi="仿宋" w:eastAsia="仿宋" w:cs="仿宋"/>
          <w:spacing w:val="15"/>
          <w:sz w:val="31"/>
          <w:szCs w:val="31"/>
        </w:rPr>
        <w:t>性基金预算、</w:t>
      </w:r>
      <w:r>
        <w:rPr>
          <w:rFonts w:ascii="仿宋" w:hAnsi="仿宋" w:eastAsia="仿宋" w:cs="仿宋"/>
          <w:sz w:val="31"/>
          <w:szCs w:val="31"/>
        </w:rPr>
        <w:t xml:space="preserve"> </w:t>
      </w:r>
      <w:r>
        <w:rPr>
          <w:rFonts w:ascii="仿宋" w:hAnsi="仿宋" w:eastAsia="仿宋" w:cs="仿宋"/>
          <w:spacing w:val="2"/>
          <w:sz w:val="31"/>
          <w:szCs w:val="31"/>
        </w:rPr>
        <w:t>国有资本经营预算。</w:t>
      </w:r>
    </w:p>
    <w:sectPr>
      <w:headerReference r:id="rId70" w:type="default"/>
      <w:footerReference r:id="rId71" w:type="default"/>
      <w:pgSz w:w="11900" w:h="16840"/>
      <w:pgMar w:top="611" w:right="0" w:bottom="312" w:left="0" w:header="357" w:footer="153"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B03770">
    <w:pPr>
      <w:spacing w:line="172" w:lineRule="auto"/>
      <w:ind w:left="5886"/>
      <w:rPr>
        <w:rFonts w:ascii="宋体" w:hAnsi="宋体" w:eastAsia="宋体" w:cs="宋体"/>
        <w:sz w:val="16"/>
        <w:szCs w:val="16"/>
      </w:rPr>
    </w:pPr>
    <w:r>
      <w:rPr>
        <w:rFonts w:ascii="宋体" w:hAnsi="宋体" w:eastAsia="宋体" w:cs="宋体"/>
        <w:spacing w:val="-9"/>
        <w:sz w:val="16"/>
        <w:szCs w:val="16"/>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B5F6C6">
    <w:pPr>
      <w:spacing w:line="172" w:lineRule="auto"/>
      <w:ind w:left="5886"/>
      <w:rPr>
        <w:rFonts w:ascii="宋体" w:hAnsi="宋体" w:eastAsia="宋体" w:cs="宋体"/>
        <w:sz w:val="16"/>
        <w:szCs w:val="16"/>
      </w:rPr>
    </w:pPr>
    <w:r>
      <w:rPr>
        <w:rFonts w:ascii="宋体" w:hAnsi="宋体" w:eastAsia="宋体" w:cs="宋体"/>
        <w:spacing w:val="-10"/>
        <w:sz w:val="16"/>
        <w:szCs w:val="16"/>
      </w:rPr>
      <w:t>-10-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615036">
    <w:pPr>
      <w:spacing w:line="172" w:lineRule="auto"/>
      <w:ind w:left="5886"/>
      <w:rPr>
        <w:rFonts w:ascii="宋体" w:hAnsi="宋体" w:eastAsia="宋体" w:cs="宋体"/>
        <w:sz w:val="16"/>
        <w:szCs w:val="16"/>
      </w:rPr>
    </w:pPr>
    <w:r>
      <w:rPr>
        <w:rFonts w:ascii="宋体" w:hAnsi="宋体" w:eastAsia="宋体" w:cs="宋体"/>
        <w:spacing w:val="-10"/>
        <w:sz w:val="16"/>
        <w:szCs w:val="16"/>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36F8B0">
    <w:pPr>
      <w:spacing w:line="172" w:lineRule="auto"/>
      <w:ind w:left="5886"/>
      <w:rPr>
        <w:rFonts w:ascii="宋体" w:hAnsi="宋体" w:eastAsia="宋体" w:cs="宋体"/>
        <w:sz w:val="16"/>
        <w:szCs w:val="16"/>
      </w:rPr>
    </w:pPr>
    <w:r>
      <w:rPr>
        <w:rFonts w:ascii="宋体" w:hAnsi="宋体" w:eastAsia="宋体" w:cs="宋体"/>
        <w:spacing w:val="-10"/>
        <w:sz w:val="16"/>
        <w:szCs w:val="16"/>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DAA74D">
    <w:pPr>
      <w:spacing w:line="172" w:lineRule="auto"/>
      <w:ind w:left="5886"/>
      <w:rPr>
        <w:rFonts w:ascii="宋体" w:hAnsi="宋体" w:eastAsia="宋体" w:cs="宋体"/>
        <w:sz w:val="16"/>
        <w:szCs w:val="16"/>
      </w:rPr>
    </w:pPr>
    <w:r>
      <w:rPr>
        <w:rFonts w:ascii="宋体" w:hAnsi="宋体" w:eastAsia="宋体" w:cs="宋体"/>
        <w:spacing w:val="-10"/>
        <w:sz w:val="16"/>
        <w:szCs w:val="16"/>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881BE4">
    <w:pPr>
      <w:spacing w:line="172" w:lineRule="auto"/>
      <w:ind w:left="5886"/>
      <w:rPr>
        <w:rFonts w:ascii="宋体" w:hAnsi="宋体" w:eastAsia="宋体" w:cs="宋体"/>
        <w:sz w:val="16"/>
        <w:szCs w:val="16"/>
      </w:rPr>
    </w:pPr>
    <w:r>
      <w:rPr>
        <w:rFonts w:ascii="宋体" w:hAnsi="宋体" w:eastAsia="宋体" w:cs="宋体"/>
        <w:spacing w:val="-10"/>
        <w:sz w:val="16"/>
        <w:szCs w:val="16"/>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30D294">
    <w:pPr>
      <w:spacing w:line="172" w:lineRule="auto"/>
      <w:ind w:left="5886"/>
      <w:rPr>
        <w:rFonts w:ascii="宋体" w:hAnsi="宋体" w:eastAsia="宋体" w:cs="宋体"/>
        <w:sz w:val="16"/>
        <w:szCs w:val="16"/>
      </w:rPr>
    </w:pPr>
    <w:r>
      <w:rPr>
        <w:rFonts w:ascii="宋体" w:hAnsi="宋体" w:eastAsia="宋体" w:cs="宋体"/>
        <w:spacing w:val="-10"/>
        <w:sz w:val="16"/>
        <w:szCs w:val="16"/>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ED8431">
    <w:pPr>
      <w:spacing w:line="172" w:lineRule="auto"/>
      <w:ind w:left="5886"/>
      <w:rPr>
        <w:rFonts w:ascii="宋体" w:hAnsi="宋体" w:eastAsia="宋体" w:cs="宋体"/>
        <w:sz w:val="16"/>
        <w:szCs w:val="16"/>
      </w:rPr>
    </w:pPr>
    <w:r>
      <w:rPr>
        <w:rFonts w:ascii="宋体" w:hAnsi="宋体" w:eastAsia="宋体" w:cs="宋体"/>
        <w:spacing w:val="-10"/>
        <w:sz w:val="16"/>
        <w:szCs w:val="16"/>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2EADB5">
    <w:pPr>
      <w:spacing w:line="172" w:lineRule="auto"/>
      <w:ind w:left="5886"/>
      <w:rPr>
        <w:rFonts w:ascii="宋体" w:hAnsi="宋体" w:eastAsia="宋体" w:cs="宋体"/>
        <w:sz w:val="16"/>
        <w:szCs w:val="16"/>
      </w:rPr>
    </w:pPr>
    <w:r>
      <w:rPr>
        <w:rFonts w:ascii="宋体" w:hAnsi="宋体" w:eastAsia="宋体" w:cs="宋体"/>
        <w:spacing w:val="-10"/>
        <w:sz w:val="16"/>
        <w:szCs w:val="16"/>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1951EE">
    <w:pPr>
      <w:spacing w:line="172" w:lineRule="auto"/>
      <w:ind w:left="5886"/>
      <w:rPr>
        <w:rFonts w:ascii="宋体" w:hAnsi="宋体" w:eastAsia="宋体" w:cs="宋体"/>
        <w:sz w:val="16"/>
        <w:szCs w:val="16"/>
      </w:rPr>
    </w:pPr>
    <w:r>
      <w:rPr>
        <w:rFonts w:ascii="宋体" w:hAnsi="宋体" w:eastAsia="宋体" w:cs="宋体"/>
        <w:spacing w:val="-10"/>
        <w:sz w:val="16"/>
        <w:szCs w:val="16"/>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B08401">
    <w:pPr>
      <w:spacing w:line="172" w:lineRule="auto"/>
      <w:ind w:left="5886"/>
      <w:rPr>
        <w:rFonts w:ascii="宋体" w:hAnsi="宋体" w:eastAsia="宋体" w:cs="宋体"/>
        <w:sz w:val="16"/>
        <w:szCs w:val="16"/>
      </w:rPr>
    </w:pPr>
    <w:r>
      <w:rPr>
        <w:rFonts w:ascii="宋体" w:hAnsi="宋体" w:eastAsia="宋体" w:cs="宋体"/>
        <w:spacing w:val="-10"/>
        <w:sz w:val="16"/>
        <w:szCs w:val="16"/>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3CAD51">
    <w:pPr>
      <w:spacing w:line="171" w:lineRule="auto"/>
      <w:ind w:left="5886"/>
      <w:rPr>
        <w:rFonts w:ascii="宋体" w:hAnsi="宋体" w:eastAsia="宋体" w:cs="宋体"/>
        <w:sz w:val="16"/>
        <w:szCs w:val="16"/>
      </w:rPr>
    </w:pPr>
    <w:r>
      <w:rPr>
        <w:rFonts w:ascii="宋体" w:hAnsi="宋体" w:eastAsia="宋体" w:cs="宋体"/>
        <w:spacing w:val="-9"/>
        <w:sz w:val="16"/>
        <w:szCs w:val="16"/>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887F95">
    <w:pPr>
      <w:spacing w:line="171" w:lineRule="auto"/>
      <w:ind w:left="5886"/>
      <w:rPr>
        <w:rFonts w:ascii="宋体" w:hAnsi="宋体" w:eastAsia="宋体" w:cs="宋体"/>
        <w:sz w:val="16"/>
        <w:szCs w:val="16"/>
      </w:rPr>
    </w:pPr>
    <w:r>
      <w:rPr>
        <w:rFonts w:ascii="宋体" w:hAnsi="宋体" w:eastAsia="宋体" w:cs="宋体"/>
        <w:spacing w:val="-10"/>
        <w:sz w:val="16"/>
        <w:szCs w:val="16"/>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A10296">
    <w:pPr>
      <w:spacing w:line="172" w:lineRule="auto"/>
      <w:ind w:left="5886"/>
      <w:rPr>
        <w:rFonts w:ascii="宋体" w:hAnsi="宋体" w:eastAsia="宋体" w:cs="宋体"/>
        <w:sz w:val="16"/>
        <w:szCs w:val="16"/>
      </w:rPr>
    </w:pPr>
    <w:r>
      <w:rPr>
        <w:rFonts w:ascii="宋体" w:hAnsi="宋体" w:eastAsia="宋体" w:cs="宋体"/>
        <w:spacing w:val="-10"/>
        <w:sz w:val="16"/>
        <w:szCs w:val="16"/>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C82C4B">
    <w:pPr>
      <w:spacing w:line="171" w:lineRule="auto"/>
      <w:ind w:left="5886"/>
      <w:rPr>
        <w:rFonts w:ascii="宋体" w:hAnsi="宋体" w:eastAsia="宋体" w:cs="宋体"/>
        <w:sz w:val="16"/>
        <w:szCs w:val="16"/>
      </w:rPr>
    </w:pPr>
    <w:r>
      <w:rPr>
        <w:rFonts w:ascii="宋体" w:hAnsi="宋体" w:eastAsia="宋体" w:cs="宋体"/>
        <w:spacing w:val="-10"/>
        <w:sz w:val="16"/>
        <w:szCs w:val="16"/>
      </w:rPr>
      <w:t>-22-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8AAA3C">
    <w:pPr>
      <w:spacing w:line="171" w:lineRule="auto"/>
      <w:ind w:left="5886"/>
      <w:rPr>
        <w:rFonts w:ascii="宋体" w:hAnsi="宋体" w:eastAsia="宋体" w:cs="宋体"/>
        <w:sz w:val="16"/>
        <w:szCs w:val="16"/>
      </w:rPr>
    </w:pPr>
    <w:r>
      <w:rPr>
        <w:rFonts w:ascii="宋体" w:hAnsi="宋体" w:eastAsia="宋体" w:cs="宋体"/>
        <w:spacing w:val="-10"/>
        <w:sz w:val="16"/>
        <w:szCs w:val="16"/>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99C8AC">
    <w:pPr>
      <w:spacing w:line="171" w:lineRule="auto"/>
      <w:ind w:left="5886"/>
      <w:rPr>
        <w:rFonts w:ascii="宋体" w:hAnsi="宋体" w:eastAsia="宋体" w:cs="宋体"/>
        <w:sz w:val="16"/>
        <w:szCs w:val="16"/>
      </w:rPr>
    </w:pPr>
    <w:r>
      <w:rPr>
        <w:rFonts w:ascii="宋体" w:hAnsi="宋体" w:eastAsia="宋体" w:cs="宋体"/>
        <w:spacing w:val="-10"/>
        <w:sz w:val="16"/>
        <w:szCs w:val="16"/>
      </w:rPr>
      <w:t>-24-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C3E1B7">
    <w:pPr>
      <w:spacing w:line="171" w:lineRule="auto"/>
      <w:ind w:left="5886"/>
      <w:rPr>
        <w:rFonts w:ascii="宋体" w:hAnsi="宋体" w:eastAsia="宋体" w:cs="宋体"/>
        <w:sz w:val="16"/>
        <w:szCs w:val="16"/>
      </w:rPr>
    </w:pPr>
    <w:r>
      <w:rPr>
        <w:rFonts w:ascii="宋体" w:hAnsi="宋体" w:eastAsia="宋体" w:cs="宋体"/>
        <w:spacing w:val="-10"/>
        <w:sz w:val="16"/>
        <w:szCs w:val="16"/>
      </w:rPr>
      <w:t>-25-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03B924">
    <w:pPr>
      <w:spacing w:line="171" w:lineRule="auto"/>
      <w:ind w:left="5886"/>
      <w:rPr>
        <w:rFonts w:ascii="宋体" w:hAnsi="宋体" w:eastAsia="宋体" w:cs="宋体"/>
        <w:sz w:val="16"/>
        <w:szCs w:val="16"/>
      </w:rPr>
    </w:pPr>
    <w:r>
      <w:rPr>
        <w:rFonts w:ascii="宋体" w:hAnsi="宋体" w:eastAsia="宋体" w:cs="宋体"/>
        <w:spacing w:val="-10"/>
        <w:sz w:val="16"/>
        <w:szCs w:val="16"/>
      </w:rPr>
      <w:t>-26-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AE63B6">
    <w:pPr>
      <w:spacing w:line="171" w:lineRule="auto"/>
      <w:ind w:left="5886"/>
      <w:rPr>
        <w:rFonts w:ascii="宋体" w:hAnsi="宋体" w:eastAsia="宋体" w:cs="宋体"/>
        <w:sz w:val="16"/>
        <w:szCs w:val="16"/>
      </w:rPr>
    </w:pPr>
    <w:r>
      <w:rPr>
        <w:rFonts w:ascii="宋体" w:hAnsi="宋体" w:eastAsia="宋体" w:cs="宋体"/>
        <w:spacing w:val="-10"/>
        <w:sz w:val="16"/>
        <w:szCs w:val="16"/>
      </w:rPr>
      <w:t>-27-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21A1E2">
    <w:pPr>
      <w:spacing w:line="171" w:lineRule="auto"/>
      <w:ind w:left="5886"/>
      <w:rPr>
        <w:rFonts w:ascii="宋体" w:hAnsi="宋体" w:eastAsia="宋体" w:cs="宋体"/>
        <w:sz w:val="16"/>
        <w:szCs w:val="16"/>
      </w:rPr>
    </w:pPr>
    <w:r>
      <w:rPr>
        <w:rFonts w:ascii="宋体" w:hAnsi="宋体" w:eastAsia="宋体" w:cs="宋体"/>
        <w:spacing w:val="-10"/>
        <w:sz w:val="16"/>
        <w:szCs w:val="16"/>
      </w:rPr>
      <w:t>-28-</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354F4F">
    <w:pPr>
      <w:spacing w:line="171" w:lineRule="auto"/>
      <w:ind w:left="5886"/>
      <w:rPr>
        <w:rFonts w:ascii="宋体" w:hAnsi="宋体" w:eastAsia="宋体" w:cs="宋体"/>
        <w:sz w:val="16"/>
        <w:szCs w:val="16"/>
      </w:rPr>
    </w:pPr>
    <w:r>
      <w:rPr>
        <w:rFonts w:ascii="宋体" w:hAnsi="宋体" w:eastAsia="宋体" w:cs="宋体"/>
        <w:spacing w:val="-10"/>
        <w:sz w:val="16"/>
        <w:szCs w:val="16"/>
      </w:rPr>
      <w:t>-29-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81031F">
    <w:pPr>
      <w:spacing w:line="171" w:lineRule="auto"/>
      <w:ind w:left="5886"/>
      <w:rPr>
        <w:rFonts w:ascii="宋体" w:hAnsi="宋体" w:eastAsia="宋体" w:cs="宋体"/>
        <w:sz w:val="16"/>
        <w:szCs w:val="16"/>
      </w:rPr>
    </w:pPr>
    <w:r>
      <w:rPr>
        <w:rFonts w:ascii="宋体" w:hAnsi="宋体" w:eastAsia="宋体" w:cs="宋体"/>
        <w:spacing w:val="-9"/>
        <w:sz w:val="16"/>
        <w:szCs w:val="16"/>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9AB964">
    <w:pPr>
      <w:spacing w:line="171" w:lineRule="auto"/>
      <w:ind w:left="5886"/>
      <w:rPr>
        <w:rFonts w:ascii="宋体" w:hAnsi="宋体" w:eastAsia="宋体" w:cs="宋体"/>
        <w:sz w:val="16"/>
        <w:szCs w:val="16"/>
      </w:rPr>
    </w:pPr>
    <w:r>
      <w:rPr>
        <w:rFonts w:ascii="宋体" w:hAnsi="宋体" w:eastAsia="宋体" w:cs="宋体"/>
        <w:spacing w:val="-10"/>
        <w:sz w:val="16"/>
        <w:szCs w:val="16"/>
      </w:rPr>
      <w:t>-30-</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C7C10A">
    <w:pPr>
      <w:spacing w:line="172" w:lineRule="auto"/>
      <w:ind w:left="5886"/>
      <w:rPr>
        <w:rFonts w:ascii="宋体" w:hAnsi="宋体" w:eastAsia="宋体" w:cs="宋体"/>
        <w:sz w:val="16"/>
        <w:szCs w:val="16"/>
      </w:rPr>
    </w:pPr>
    <w:bookmarkStart w:id="81" w:name="bookmark48"/>
    <w:bookmarkEnd w:id="81"/>
    <w:r>
      <w:rPr>
        <w:rFonts w:ascii="宋体" w:hAnsi="宋体" w:eastAsia="宋体" w:cs="宋体"/>
        <w:spacing w:val="-10"/>
        <w:sz w:val="16"/>
        <w:szCs w:val="16"/>
      </w:rPr>
      <w:t>-31-</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80A536">
    <w:pPr>
      <w:spacing w:line="171" w:lineRule="auto"/>
      <w:ind w:left="5886"/>
      <w:rPr>
        <w:rFonts w:ascii="宋体" w:hAnsi="宋体" w:eastAsia="宋体" w:cs="宋体"/>
        <w:sz w:val="16"/>
        <w:szCs w:val="16"/>
      </w:rPr>
    </w:pPr>
    <w:r>
      <w:rPr>
        <w:rFonts w:ascii="宋体" w:hAnsi="宋体" w:eastAsia="宋体" w:cs="宋体"/>
        <w:spacing w:val="-10"/>
        <w:sz w:val="16"/>
        <w:szCs w:val="16"/>
      </w:rPr>
      <w:t>-32-</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F5C65C">
    <w:pPr>
      <w:spacing w:line="171" w:lineRule="auto"/>
      <w:ind w:left="5886"/>
      <w:rPr>
        <w:rFonts w:ascii="宋体" w:hAnsi="宋体" w:eastAsia="宋体" w:cs="宋体"/>
        <w:sz w:val="16"/>
        <w:szCs w:val="16"/>
      </w:rPr>
    </w:pPr>
    <w:bookmarkStart w:id="82" w:name="bookmark49"/>
    <w:bookmarkEnd w:id="82"/>
    <w:r>
      <w:rPr>
        <w:rFonts w:ascii="宋体" w:hAnsi="宋体" w:eastAsia="宋体" w:cs="宋体"/>
        <w:spacing w:val="-10"/>
        <w:sz w:val="16"/>
        <w:szCs w:val="16"/>
      </w:rPr>
      <w:t>-33-</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1BB01A">
    <w:pPr>
      <w:spacing w:line="171" w:lineRule="auto"/>
      <w:ind w:left="5886"/>
      <w:rPr>
        <w:rFonts w:ascii="宋体" w:hAnsi="宋体" w:eastAsia="宋体" w:cs="宋体"/>
        <w:sz w:val="16"/>
        <w:szCs w:val="16"/>
      </w:rPr>
    </w:pPr>
    <w:r>
      <w:rPr>
        <w:rFonts w:ascii="宋体" w:hAnsi="宋体" w:eastAsia="宋体" w:cs="宋体"/>
        <w:spacing w:val="-10"/>
        <w:sz w:val="16"/>
        <w:szCs w:val="16"/>
      </w:rPr>
      <w:t>-34-</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E9ED65">
    <w:pPr>
      <w:spacing w:line="171" w:lineRule="auto"/>
      <w:ind w:left="8286"/>
      <w:rPr>
        <w:rFonts w:ascii="宋体" w:hAnsi="宋体" w:eastAsia="宋体" w:cs="宋体"/>
        <w:sz w:val="16"/>
        <w:szCs w:val="16"/>
      </w:rPr>
    </w:pPr>
    <w:r>
      <w:rPr>
        <w:rFonts w:ascii="宋体" w:hAnsi="宋体" w:eastAsia="宋体" w:cs="宋体"/>
        <w:spacing w:val="-10"/>
        <w:sz w:val="16"/>
        <w:szCs w:val="16"/>
      </w:rPr>
      <w:t>-35-</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E195A2">
    <w:pPr>
      <w:spacing w:line="171" w:lineRule="auto"/>
      <w:ind w:left="5886"/>
      <w:rPr>
        <w:rFonts w:ascii="宋体" w:hAnsi="宋体" w:eastAsia="宋体" w:cs="宋体"/>
        <w:sz w:val="16"/>
        <w:szCs w:val="16"/>
      </w:rPr>
    </w:pPr>
    <w:r>
      <w:rPr>
        <w:rFonts w:ascii="宋体" w:hAnsi="宋体" w:eastAsia="宋体" w:cs="宋体"/>
        <w:spacing w:val="-10"/>
        <w:sz w:val="16"/>
        <w:szCs w:val="16"/>
      </w:rPr>
      <w:t>-36-</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D6A669">
    <w:pPr>
      <w:spacing w:line="171" w:lineRule="auto"/>
      <w:ind w:left="5886"/>
      <w:rPr>
        <w:rFonts w:ascii="宋体" w:hAnsi="宋体" w:eastAsia="宋体" w:cs="宋体"/>
        <w:sz w:val="16"/>
        <w:szCs w:val="16"/>
      </w:rPr>
    </w:pPr>
    <w:r>
      <w:rPr>
        <w:rFonts w:ascii="宋体" w:hAnsi="宋体" w:eastAsia="宋体" w:cs="宋体"/>
        <w:spacing w:val="-10"/>
        <w:sz w:val="16"/>
        <w:szCs w:val="16"/>
      </w:rPr>
      <w:t>-37-</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D6076A">
    <w:pPr>
      <w:spacing w:line="171" w:lineRule="auto"/>
      <w:ind w:left="8286"/>
      <w:rPr>
        <w:rFonts w:ascii="宋体" w:hAnsi="宋体" w:eastAsia="宋体" w:cs="宋体"/>
        <w:sz w:val="16"/>
        <w:szCs w:val="16"/>
      </w:rPr>
    </w:pPr>
    <w:r>
      <w:rPr>
        <w:rFonts w:ascii="宋体" w:hAnsi="宋体" w:eastAsia="宋体" w:cs="宋体"/>
        <w:spacing w:val="-9"/>
        <w:sz w:val="16"/>
        <w:szCs w:val="16"/>
      </w:rPr>
      <w:t>-4-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F6ED7D">
    <w:pPr>
      <w:spacing w:line="170" w:lineRule="auto"/>
      <w:ind w:left="5886"/>
      <w:rPr>
        <w:rFonts w:ascii="宋体" w:hAnsi="宋体" w:eastAsia="宋体" w:cs="宋体"/>
        <w:sz w:val="16"/>
        <w:szCs w:val="16"/>
      </w:rPr>
    </w:pPr>
    <w:r>
      <w:rPr>
        <w:rFonts w:ascii="宋体" w:hAnsi="宋体" w:eastAsia="宋体" w:cs="宋体"/>
        <w:spacing w:val="-9"/>
        <w:sz w:val="16"/>
        <w:szCs w:val="16"/>
      </w:rPr>
      <w:t>-5-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1625CA">
    <w:pPr>
      <w:spacing w:line="171" w:lineRule="auto"/>
      <w:ind w:left="5886"/>
      <w:rPr>
        <w:rFonts w:ascii="宋体" w:hAnsi="宋体" w:eastAsia="宋体" w:cs="宋体"/>
        <w:sz w:val="16"/>
        <w:szCs w:val="16"/>
      </w:rPr>
    </w:pPr>
    <w:r>
      <w:rPr>
        <w:rFonts w:ascii="宋体" w:hAnsi="宋体" w:eastAsia="宋体" w:cs="宋体"/>
        <w:spacing w:val="-9"/>
        <w:sz w:val="16"/>
        <w:szCs w:val="16"/>
      </w:rPr>
      <w:t>-6-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171277">
    <w:pPr>
      <w:spacing w:line="170" w:lineRule="auto"/>
      <w:ind w:left="5886"/>
      <w:rPr>
        <w:rFonts w:ascii="宋体" w:hAnsi="宋体" w:eastAsia="宋体" w:cs="宋体"/>
        <w:sz w:val="16"/>
        <w:szCs w:val="16"/>
      </w:rPr>
    </w:pPr>
    <w:r>
      <w:rPr>
        <w:rFonts w:ascii="宋体" w:hAnsi="宋体" w:eastAsia="宋体" w:cs="宋体"/>
        <w:spacing w:val="-9"/>
        <w:sz w:val="16"/>
        <w:szCs w:val="16"/>
      </w:rPr>
      <w:t>-7-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1B50D5">
    <w:pPr>
      <w:spacing w:line="171" w:lineRule="auto"/>
      <w:ind w:left="5886"/>
      <w:rPr>
        <w:rFonts w:ascii="宋体" w:hAnsi="宋体" w:eastAsia="宋体" w:cs="宋体"/>
        <w:sz w:val="16"/>
        <w:szCs w:val="16"/>
      </w:rPr>
    </w:pPr>
    <w:r>
      <w:rPr>
        <w:rFonts w:ascii="宋体" w:hAnsi="宋体" w:eastAsia="宋体" w:cs="宋体"/>
        <w:spacing w:val="-9"/>
        <w:sz w:val="16"/>
        <w:szCs w:val="16"/>
      </w:rPr>
      <w:t>-8-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CBB12A">
    <w:pPr>
      <w:spacing w:line="171" w:lineRule="auto"/>
      <w:ind w:left="5886"/>
      <w:rPr>
        <w:rFonts w:ascii="宋体" w:hAnsi="宋体" w:eastAsia="宋体" w:cs="宋体"/>
        <w:sz w:val="16"/>
        <w:szCs w:val="16"/>
      </w:rPr>
    </w:pPr>
    <w:r>
      <w:rPr>
        <w:rFonts w:ascii="宋体" w:hAnsi="宋体" w:eastAsia="宋体" w:cs="宋体"/>
        <w:spacing w:val="-9"/>
        <w:sz w:val="16"/>
        <w:szCs w:val="16"/>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A86E87">
    <w:pPr>
      <w:pStyle w:val="2"/>
      <w:spacing w:line="14" w:lineRule="auto"/>
      <w:rPr>
        <w:sz w:val="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751F5D">
    <w:pPr>
      <w:spacing w:before="1" w:line="210" w:lineRule="exact"/>
      <w:ind w:left="646"/>
      <w:rPr>
        <w:rFonts w:ascii="宋体" w:hAnsi="宋体" w:eastAsia="宋体" w:cs="宋体"/>
        <w:sz w:val="16"/>
        <w:szCs w:val="16"/>
      </w:rPr>
    </w:pPr>
    <w:r>
      <w:pict>
        <v:shape id="_x0000_s2116" o:spid="_x0000_s2116" style="position:absolute;left:0pt;margin-left:30pt;margin-top:29.5pt;height:1pt;width:535pt;mso-position-horizontal-relative:page;mso-position-vertical-relative:page;z-index:-25161728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长治高新区漳泽工业园事业服务中心2025年部门预算公</w:t>
    </w:r>
    <w:r>
      <w:rPr>
        <w:rFonts w:ascii="宋体" w:hAnsi="宋体" w:eastAsia="宋体" w:cs="宋体"/>
        <w:spacing w:val="-2"/>
        <w:position w:val="1"/>
        <w:sz w:val="16"/>
        <w:szCs w:val="16"/>
      </w:rPr>
      <w:t>开报告</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3A7311">
    <w:pPr>
      <w:spacing w:before="1" w:line="210" w:lineRule="exact"/>
      <w:ind w:left="646"/>
      <w:rPr>
        <w:rFonts w:ascii="宋体" w:hAnsi="宋体" w:eastAsia="宋体" w:cs="宋体"/>
        <w:sz w:val="16"/>
        <w:szCs w:val="16"/>
      </w:rPr>
    </w:pPr>
    <w:r>
      <w:pict>
        <v:shape id="_x0000_s2099" o:spid="_x0000_s2099" style="position:absolute;left:0pt;margin-left:30pt;margin-top:29.5pt;height:1pt;width:535pt;mso-position-horizontal-relative:page;mso-position-vertical-relative:page;z-index:-25162137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长治高新区漳泽工业园事业服务中心2025年部门预算公</w:t>
    </w:r>
    <w:r>
      <w:rPr>
        <w:rFonts w:ascii="宋体" w:hAnsi="宋体" w:eastAsia="宋体" w:cs="宋体"/>
        <w:spacing w:val="-2"/>
        <w:position w:val="1"/>
        <w:sz w:val="16"/>
        <w:szCs w:val="16"/>
      </w:rPr>
      <w:t>开报告</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AB856B">
    <w:pPr>
      <w:spacing w:before="1" w:line="210" w:lineRule="exact"/>
      <w:ind w:left="646"/>
      <w:rPr>
        <w:rFonts w:ascii="宋体" w:hAnsi="宋体" w:eastAsia="宋体" w:cs="宋体"/>
        <w:sz w:val="16"/>
        <w:szCs w:val="16"/>
      </w:rPr>
    </w:pPr>
    <w:r>
      <w:pict>
        <v:shape id="_x0000_s2125" o:spid="_x0000_s2125" style="position:absolute;left:0pt;margin-left:30pt;margin-top:29.5pt;height:1pt;width:535pt;mso-position-horizontal-relative:page;mso-position-vertical-relative:page;z-index:-25161625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长治高新区漳泽工业园事业服务中心2025年部门预算公</w:t>
    </w:r>
    <w:r>
      <w:rPr>
        <w:rFonts w:ascii="宋体" w:hAnsi="宋体" w:eastAsia="宋体" w:cs="宋体"/>
        <w:spacing w:val="-2"/>
        <w:position w:val="1"/>
        <w:sz w:val="16"/>
        <w:szCs w:val="16"/>
      </w:rPr>
      <w:t>开报告</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751F5D">
    <w:pPr>
      <w:spacing w:before="1" w:line="210" w:lineRule="exact"/>
      <w:ind w:left="646"/>
      <w:rPr>
        <w:rFonts w:ascii="宋体" w:hAnsi="宋体" w:eastAsia="宋体" w:cs="宋体"/>
        <w:sz w:val="16"/>
        <w:szCs w:val="16"/>
      </w:rPr>
    </w:pPr>
    <w:r>
      <w:pict>
        <v:shape id="_x0000_s2116" o:spid="_x0000_s2116" style="position:absolute;left:0pt;margin-left:30pt;margin-top:29.5pt;height:1pt;width:535pt;mso-position-horizontal-relative:page;mso-position-vertical-relative:page;z-index:-25161728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长治高新区漳泽工业园事业服务中心2025年部门预算公</w:t>
    </w:r>
    <w:r>
      <w:rPr>
        <w:rFonts w:ascii="宋体" w:hAnsi="宋体" w:eastAsia="宋体" w:cs="宋体"/>
        <w:spacing w:val="-2"/>
        <w:position w:val="1"/>
        <w:sz w:val="16"/>
        <w:szCs w:val="16"/>
      </w:rPr>
      <w:t>开报告</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447956">
    <w:pPr>
      <w:spacing w:before="1" w:line="210" w:lineRule="exact"/>
      <w:ind w:left="646"/>
      <w:rPr>
        <w:rFonts w:ascii="宋体" w:hAnsi="宋体" w:eastAsia="宋体" w:cs="宋体"/>
        <w:sz w:val="16"/>
        <w:szCs w:val="16"/>
      </w:rPr>
    </w:pPr>
    <w:r>
      <w:pict>
        <v:shape id="_x0000_s2081" o:spid="_x0000_s2081" style="position:absolute;left:0pt;margin-left:30pt;margin-top:29.5pt;height:1pt;width:535pt;mso-position-horizontal-relative:page;mso-position-vertical-relative:page;z-index:-25163161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长治高新区漳泽工业园事业服务中心2025年部门预算公</w:t>
    </w:r>
    <w:r>
      <w:rPr>
        <w:rFonts w:ascii="宋体" w:hAnsi="宋体" w:eastAsia="宋体" w:cs="宋体"/>
        <w:spacing w:val="-2"/>
        <w:position w:val="1"/>
        <w:sz w:val="16"/>
        <w:szCs w:val="16"/>
      </w:rPr>
      <w:t>开报告</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751F5D">
    <w:pPr>
      <w:spacing w:before="1" w:line="210" w:lineRule="exact"/>
      <w:ind w:left="646"/>
      <w:rPr>
        <w:rFonts w:ascii="宋体" w:hAnsi="宋体" w:eastAsia="宋体" w:cs="宋体"/>
        <w:sz w:val="16"/>
        <w:szCs w:val="16"/>
      </w:rPr>
    </w:pPr>
    <w:r>
      <w:pict>
        <v:shape id="_x0000_s2116" o:spid="_x0000_s2116" style="position:absolute;left:0pt;margin-left:30pt;margin-top:29.5pt;height:1pt;width:535pt;mso-position-horizontal-relative:page;mso-position-vertical-relative:page;z-index:-25161728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长治高新区漳泽工业园事业服务中心2025年部门预算公</w:t>
    </w:r>
    <w:r>
      <w:rPr>
        <w:rFonts w:ascii="宋体" w:hAnsi="宋体" w:eastAsia="宋体" w:cs="宋体"/>
        <w:spacing w:val="-2"/>
        <w:position w:val="1"/>
        <w:sz w:val="16"/>
        <w:szCs w:val="16"/>
      </w:rPr>
      <w:t>开报告</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AB856B">
    <w:pPr>
      <w:spacing w:before="1" w:line="210" w:lineRule="exact"/>
      <w:ind w:left="646"/>
      <w:rPr>
        <w:rFonts w:ascii="宋体" w:hAnsi="宋体" w:eastAsia="宋体" w:cs="宋体"/>
        <w:sz w:val="16"/>
        <w:szCs w:val="16"/>
      </w:rPr>
    </w:pPr>
    <w:r>
      <w:pict>
        <v:shape id="_x0000_s2125" o:spid="_x0000_s2125" style="position:absolute;left:0pt;margin-left:30pt;margin-top:29.5pt;height:1pt;width:535pt;mso-position-horizontal-relative:page;mso-position-vertical-relative:page;z-index:-25161625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长治高新区漳泽工业园事业服务中心2025年部门预算公</w:t>
    </w:r>
    <w:r>
      <w:rPr>
        <w:rFonts w:ascii="宋体" w:hAnsi="宋体" w:eastAsia="宋体" w:cs="宋体"/>
        <w:spacing w:val="-2"/>
        <w:position w:val="1"/>
        <w:sz w:val="16"/>
        <w:szCs w:val="16"/>
      </w:rPr>
      <w:t>开报告</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751F5D">
    <w:pPr>
      <w:spacing w:before="1" w:line="210" w:lineRule="exact"/>
      <w:ind w:left="646"/>
      <w:rPr>
        <w:rFonts w:ascii="宋体" w:hAnsi="宋体" w:eastAsia="宋体" w:cs="宋体"/>
        <w:sz w:val="16"/>
        <w:szCs w:val="16"/>
      </w:rPr>
    </w:pPr>
    <w:r>
      <w:pict>
        <v:shape id="_x0000_s2116" o:spid="_x0000_s2116" style="position:absolute;left:0pt;margin-left:30pt;margin-top:29.5pt;height:1pt;width:535pt;mso-position-horizontal-relative:page;mso-position-vertical-relative:page;z-index:-25161728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长治高新区漳泽工业园事业服务中心2025年部门预算公</w:t>
    </w:r>
    <w:r>
      <w:rPr>
        <w:rFonts w:ascii="宋体" w:hAnsi="宋体" w:eastAsia="宋体" w:cs="宋体"/>
        <w:spacing w:val="-2"/>
        <w:position w:val="1"/>
        <w:sz w:val="16"/>
        <w:szCs w:val="16"/>
      </w:rPr>
      <w:t>开报告</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39518">
    <w:pPr>
      <w:spacing w:before="1" w:line="210" w:lineRule="exact"/>
      <w:ind w:left="646"/>
      <w:rPr>
        <w:rFonts w:ascii="宋体" w:hAnsi="宋体" w:eastAsia="宋体" w:cs="宋体"/>
        <w:sz w:val="16"/>
        <w:szCs w:val="16"/>
      </w:rPr>
    </w:pPr>
    <w:r>
      <w:pict>
        <v:shape id="_x0000_s2134" o:spid="_x0000_s2134" style="position:absolute;left:0pt;margin-left:30pt;margin-top:29.5pt;height:1pt;width:535pt;mso-position-horizontal-relative:page;mso-position-vertical-relative:page;z-index:-25161523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长治高新区漳泽工业园事业服务中心2025年部门预算公</w:t>
    </w:r>
    <w:r>
      <w:rPr>
        <w:rFonts w:ascii="宋体" w:hAnsi="宋体" w:eastAsia="宋体" w:cs="宋体"/>
        <w:spacing w:val="-2"/>
        <w:position w:val="1"/>
        <w:sz w:val="16"/>
        <w:szCs w:val="16"/>
      </w:rPr>
      <w:t>开报告</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1CEBAC">
    <w:pPr>
      <w:spacing w:before="1" w:line="210" w:lineRule="exact"/>
      <w:ind w:left="646"/>
      <w:rPr>
        <w:rFonts w:ascii="宋体" w:hAnsi="宋体" w:eastAsia="宋体" w:cs="宋体"/>
        <w:sz w:val="16"/>
        <w:szCs w:val="16"/>
      </w:rPr>
    </w:pPr>
    <w:r>
      <w:pict>
        <v:shape id="_x0000_s2143" o:spid="_x0000_s2143" style="position:absolute;left:0pt;margin-left:30pt;margin-top:29.5pt;height:1pt;width:535pt;mso-position-horizontal-relative:page;mso-position-vertical-relative:page;z-index:-25161420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长治高新区漳泽工业园事业服务中心2025年部门预算公</w:t>
    </w:r>
    <w:r>
      <w:rPr>
        <w:rFonts w:ascii="宋体" w:hAnsi="宋体" w:eastAsia="宋体" w:cs="宋体"/>
        <w:spacing w:val="-2"/>
        <w:position w:val="1"/>
        <w:sz w:val="16"/>
        <w:szCs w:val="16"/>
      </w:rPr>
      <w:t>开报告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DEC227">
    <w:pPr>
      <w:pStyle w:val="2"/>
      <w:spacing w:line="14" w:lineRule="auto"/>
      <w:rPr>
        <w:sz w:val="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751F5D">
    <w:pPr>
      <w:spacing w:before="1" w:line="210" w:lineRule="exact"/>
      <w:ind w:left="646"/>
      <w:rPr>
        <w:rFonts w:ascii="宋体" w:hAnsi="宋体" w:eastAsia="宋体" w:cs="宋体"/>
        <w:sz w:val="16"/>
        <w:szCs w:val="16"/>
      </w:rPr>
    </w:pPr>
    <w:r>
      <w:pict>
        <v:shape id="_x0000_s2116" o:spid="_x0000_s2116" style="position:absolute;left:0pt;margin-left:30pt;margin-top:29.5pt;height:1pt;width:535pt;mso-position-horizontal-relative:page;mso-position-vertical-relative:page;z-index:-25161728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长治高新区漳泽工业园事业服务中心2025年部门预算公</w:t>
    </w:r>
    <w:r>
      <w:rPr>
        <w:rFonts w:ascii="宋体" w:hAnsi="宋体" w:eastAsia="宋体" w:cs="宋体"/>
        <w:spacing w:val="-2"/>
        <w:position w:val="1"/>
        <w:sz w:val="16"/>
        <w:szCs w:val="16"/>
      </w:rPr>
      <w:t>开报告</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3F1B27">
    <w:pPr>
      <w:spacing w:before="1" w:line="210" w:lineRule="exact"/>
      <w:ind w:left="646"/>
      <w:rPr>
        <w:rFonts w:ascii="宋体" w:hAnsi="宋体" w:eastAsia="宋体" w:cs="宋体"/>
        <w:sz w:val="16"/>
        <w:szCs w:val="16"/>
      </w:rPr>
    </w:pPr>
    <w:r>
      <w:pict>
        <v:shape id="_x0000_s2149" o:spid="_x0000_s2149" style="position:absolute;left:0pt;margin-left:30pt;margin-top:29.5pt;height:1pt;width:535pt;mso-position-horizontal-relative:page;mso-position-vertical-relative:page;z-index:-25161318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长治高新区漳泽工业园事业服务中心2025年部门预算公</w:t>
    </w:r>
    <w:r>
      <w:rPr>
        <w:rFonts w:ascii="宋体" w:hAnsi="宋体" w:eastAsia="宋体" w:cs="宋体"/>
        <w:spacing w:val="-2"/>
        <w:position w:val="1"/>
        <w:sz w:val="16"/>
        <w:szCs w:val="16"/>
      </w:rPr>
      <w:t>开报告</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AD4F07">
    <w:pPr>
      <w:spacing w:before="1" w:line="210" w:lineRule="exact"/>
      <w:ind w:left="646"/>
      <w:rPr>
        <w:rFonts w:ascii="宋体" w:hAnsi="宋体" w:eastAsia="宋体" w:cs="宋体"/>
        <w:sz w:val="16"/>
        <w:szCs w:val="16"/>
      </w:rPr>
    </w:pPr>
    <w:r>
      <w:pict>
        <v:shape id="_x0000_s2156" o:spid="_x0000_s2156" style="position:absolute;left:0pt;margin-left:30pt;margin-top:29.5pt;height:1pt;width:535pt;mso-position-horizontal-relative:page;mso-position-vertical-relative:page;z-index:-25161216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长治高新区漳泽工业园事业服务中心2025年部门预算公</w:t>
    </w:r>
    <w:r>
      <w:rPr>
        <w:rFonts w:ascii="宋体" w:hAnsi="宋体" w:eastAsia="宋体" w:cs="宋体"/>
        <w:spacing w:val="-2"/>
        <w:position w:val="1"/>
        <w:sz w:val="16"/>
        <w:szCs w:val="16"/>
      </w:rPr>
      <w:t>开报告</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3F1B27">
    <w:pPr>
      <w:spacing w:before="1" w:line="210" w:lineRule="exact"/>
      <w:ind w:left="646"/>
      <w:rPr>
        <w:rFonts w:ascii="宋体" w:hAnsi="宋体" w:eastAsia="宋体" w:cs="宋体"/>
        <w:sz w:val="16"/>
        <w:szCs w:val="16"/>
      </w:rPr>
    </w:pPr>
    <w:r>
      <w:pict>
        <v:shape id="_x0000_s2149" o:spid="_x0000_s2149" style="position:absolute;left:0pt;margin-left:30pt;margin-top:29.5pt;height:1pt;width:535pt;mso-position-horizontal-relative:page;mso-position-vertical-relative:page;z-index:-25161318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长治高新区漳泽工业园事业服务中心2025年部门预算公</w:t>
    </w:r>
    <w:r>
      <w:rPr>
        <w:rFonts w:ascii="宋体" w:hAnsi="宋体" w:eastAsia="宋体" w:cs="宋体"/>
        <w:spacing w:val="-2"/>
        <w:position w:val="1"/>
        <w:sz w:val="16"/>
        <w:szCs w:val="16"/>
      </w:rPr>
      <w:t>开报告</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AD4F07">
    <w:pPr>
      <w:spacing w:before="1" w:line="210" w:lineRule="exact"/>
      <w:ind w:left="646"/>
      <w:rPr>
        <w:rFonts w:ascii="宋体" w:hAnsi="宋体" w:eastAsia="宋体" w:cs="宋体"/>
        <w:sz w:val="16"/>
        <w:szCs w:val="16"/>
      </w:rPr>
    </w:pPr>
    <w:r>
      <w:pict>
        <v:shape id="_x0000_s2156" o:spid="_x0000_s2156" style="position:absolute;left:0pt;margin-left:30pt;margin-top:29.5pt;height:1pt;width:535pt;mso-position-horizontal-relative:page;mso-position-vertical-relative:page;z-index:-25161216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长治高新区漳泽工业园事业服务中心2025年部门预算公</w:t>
    </w:r>
    <w:r>
      <w:rPr>
        <w:rFonts w:ascii="宋体" w:hAnsi="宋体" w:eastAsia="宋体" w:cs="宋体"/>
        <w:spacing w:val="-2"/>
        <w:position w:val="1"/>
        <w:sz w:val="16"/>
        <w:szCs w:val="16"/>
      </w:rPr>
      <w:t>开报告</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3F1B27">
    <w:pPr>
      <w:spacing w:before="1" w:line="210" w:lineRule="exact"/>
      <w:ind w:left="646"/>
      <w:rPr>
        <w:rFonts w:ascii="宋体" w:hAnsi="宋体" w:eastAsia="宋体" w:cs="宋体"/>
        <w:sz w:val="16"/>
        <w:szCs w:val="16"/>
      </w:rPr>
    </w:pPr>
    <w:r>
      <w:pict>
        <v:shape id="_x0000_s2149" o:spid="_x0000_s2149" style="position:absolute;left:0pt;margin-left:30pt;margin-top:29.5pt;height:1pt;width:535pt;mso-position-horizontal-relative:page;mso-position-vertical-relative:page;z-index:-25161318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长治高新区漳泽工业园事业服务中心2025年部门预算公</w:t>
    </w:r>
    <w:r>
      <w:rPr>
        <w:rFonts w:ascii="宋体" w:hAnsi="宋体" w:eastAsia="宋体" w:cs="宋体"/>
        <w:spacing w:val="-2"/>
        <w:position w:val="1"/>
        <w:sz w:val="16"/>
        <w:szCs w:val="16"/>
      </w:rPr>
      <w:t>开报告</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AD4F07">
    <w:pPr>
      <w:spacing w:before="1" w:line="210" w:lineRule="exact"/>
      <w:ind w:left="646"/>
      <w:rPr>
        <w:rFonts w:ascii="宋体" w:hAnsi="宋体" w:eastAsia="宋体" w:cs="宋体"/>
        <w:sz w:val="16"/>
        <w:szCs w:val="16"/>
      </w:rPr>
    </w:pPr>
    <w:r>
      <w:pict>
        <v:shape id="_x0000_s2156" o:spid="_x0000_s2156" style="position:absolute;left:0pt;margin-left:30pt;margin-top:29.5pt;height:1pt;width:535pt;mso-position-horizontal-relative:page;mso-position-vertical-relative:page;z-index:-25161216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长治高新区漳泽工业园事业服务中心2025年部门预算公</w:t>
    </w:r>
    <w:r>
      <w:rPr>
        <w:rFonts w:ascii="宋体" w:hAnsi="宋体" w:eastAsia="宋体" w:cs="宋体"/>
        <w:spacing w:val="-2"/>
        <w:position w:val="1"/>
        <w:sz w:val="16"/>
        <w:szCs w:val="16"/>
      </w:rPr>
      <w:t>开报告</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3A7311">
    <w:pPr>
      <w:spacing w:before="1" w:line="210" w:lineRule="exact"/>
      <w:ind w:left="646"/>
      <w:rPr>
        <w:rFonts w:ascii="宋体" w:hAnsi="宋体" w:eastAsia="宋体" w:cs="宋体"/>
        <w:sz w:val="16"/>
        <w:szCs w:val="16"/>
      </w:rPr>
    </w:pPr>
    <w:r>
      <w:pict>
        <v:shape id="_x0000_s2099" o:spid="_x0000_s2099" style="position:absolute;left:0pt;margin-left:30pt;margin-top:29.5pt;height:1pt;width:535pt;mso-position-horizontal-relative:page;mso-position-vertical-relative:page;z-index:-25162137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长治高新区漳泽工业园事业服务中心2025年部门预算公</w:t>
    </w:r>
    <w:r>
      <w:rPr>
        <w:rFonts w:ascii="宋体" w:hAnsi="宋体" w:eastAsia="宋体" w:cs="宋体"/>
        <w:spacing w:val="-2"/>
        <w:position w:val="1"/>
        <w:sz w:val="16"/>
        <w:szCs w:val="16"/>
      </w:rPr>
      <w:t>开报告</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C5A805">
    <w:pPr>
      <w:spacing w:before="1" w:line="210" w:lineRule="exact"/>
      <w:ind w:left="646"/>
      <w:rPr>
        <w:rFonts w:ascii="宋体" w:hAnsi="宋体" w:eastAsia="宋体" w:cs="宋体"/>
        <w:sz w:val="16"/>
        <w:szCs w:val="16"/>
      </w:rPr>
    </w:pPr>
    <w:r>
      <w:pict>
        <v:shape id="_x0000_s2161" o:spid="_x0000_s2161" style="position:absolute;left:0pt;margin-left:30pt;margin-top:29.5pt;height:1pt;width:782pt;mso-position-horizontal-relative:page;mso-position-vertical-relative:page;z-index:-251611136;mso-width-relative:page;mso-height-relative:page;" filled="f" stroked="t" coordsize="15640,20" o:allowincell="f" path="m0,10l15640,10e">
          <v:fill on="f" focussize="0,0"/>
          <v:stroke weight="1pt" color="#646464" miterlimit="10" joinstyle="miter"/>
          <v:imagedata o:title=""/>
          <o:lock v:ext="edit"/>
        </v:shape>
      </w:pict>
    </w:r>
    <w:r>
      <w:rPr>
        <w:rFonts w:ascii="宋体" w:hAnsi="宋体" w:eastAsia="宋体" w:cs="宋体"/>
        <w:spacing w:val="-1"/>
        <w:position w:val="1"/>
        <w:sz w:val="16"/>
        <w:szCs w:val="16"/>
      </w:rPr>
      <w:t>长治高新区漳泽工业园事业服务中心2025年部门预算公</w:t>
    </w:r>
    <w:r>
      <w:rPr>
        <w:rFonts w:ascii="宋体" w:hAnsi="宋体" w:eastAsia="宋体" w:cs="宋体"/>
        <w:spacing w:val="-2"/>
        <w:position w:val="1"/>
        <w:sz w:val="16"/>
        <w:szCs w:val="16"/>
      </w:rPr>
      <w:t>开报告</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39518">
    <w:pPr>
      <w:spacing w:before="1" w:line="210" w:lineRule="exact"/>
      <w:ind w:left="646"/>
      <w:rPr>
        <w:rFonts w:ascii="宋体" w:hAnsi="宋体" w:eastAsia="宋体" w:cs="宋体"/>
        <w:sz w:val="16"/>
        <w:szCs w:val="16"/>
      </w:rPr>
    </w:pPr>
    <w:r>
      <w:pict>
        <v:shape id="_x0000_s2134" o:spid="_x0000_s2134" style="position:absolute;left:0pt;margin-left:30pt;margin-top:29.5pt;height:1pt;width:535pt;mso-position-horizontal-relative:page;mso-position-vertical-relative:page;z-index:-25161523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长治高新区漳泽工业园事业服务中心2025年部门预算公</w:t>
    </w:r>
    <w:r>
      <w:rPr>
        <w:rFonts w:ascii="宋体" w:hAnsi="宋体" w:eastAsia="宋体" w:cs="宋体"/>
        <w:spacing w:val="-2"/>
        <w:position w:val="1"/>
        <w:sz w:val="16"/>
        <w:szCs w:val="16"/>
      </w:rPr>
      <w:t>开报告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FD1C2F">
    <w:pPr>
      <w:pStyle w:val="2"/>
      <w:spacing w:line="14" w:lineRule="auto"/>
      <w:rPr>
        <w:sz w:val="2"/>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3A7311">
    <w:pPr>
      <w:spacing w:before="1" w:line="210" w:lineRule="exact"/>
      <w:ind w:left="646"/>
      <w:rPr>
        <w:rFonts w:ascii="宋体" w:hAnsi="宋体" w:eastAsia="宋体" w:cs="宋体"/>
        <w:sz w:val="16"/>
        <w:szCs w:val="16"/>
      </w:rPr>
    </w:pPr>
    <w:r>
      <w:pict>
        <v:shape id="_x0000_s2099" o:spid="_x0000_s2099" style="position:absolute;left:0pt;margin-left:30pt;margin-top:29.5pt;height:1pt;width:535pt;mso-position-horizontal-relative:page;mso-position-vertical-relative:page;z-index:-25162137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长治高新区漳泽工业园事业服务中心2025年部门预算公</w:t>
    </w:r>
    <w:r>
      <w:rPr>
        <w:rFonts w:ascii="宋体" w:hAnsi="宋体" w:eastAsia="宋体" w:cs="宋体"/>
        <w:spacing w:val="-2"/>
        <w:position w:val="1"/>
        <w:sz w:val="16"/>
        <w:szCs w:val="16"/>
      </w:rPr>
      <w:t>开报告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447956">
    <w:pPr>
      <w:spacing w:before="1" w:line="210" w:lineRule="exact"/>
      <w:ind w:left="646"/>
      <w:rPr>
        <w:rFonts w:ascii="宋体" w:hAnsi="宋体" w:eastAsia="宋体" w:cs="宋体"/>
        <w:sz w:val="16"/>
        <w:szCs w:val="16"/>
      </w:rPr>
    </w:pPr>
    <w:r>
      <w:pict>
        <v:shape id="_x0000_s2081" o:spid="_x0000_s2081" style="position:absolute;left:0pt;margin-left:30pt;margin-top:29.5pt;height:1pt;width:535pt;mso-position-horizontal-relative:page;mso-position-vertical-relative:page;z-index:-25163161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长治高新区漳泽工业园事业服务中心2025年部门预算公</w:t>
    </w:r>
    <w:r>
      <w:rPr>
        <w:rFonts w:ascii="宋体" w:hAnsi="宋体" w:eastAsia="宋体" w:cs="宋体"/>
        <w:spacing w:val="-2"/>
        <w:position w:val="1"/>
        <w:sz w:val="16"/>
        <w:szCs w:val="16"/>
      </w:rPr>
      <w:t>开报告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3472D7">
    <w:pPr>
      <w:spacing w:before="1" w:line="210" w:lineRule="exact"/>
      <w:ind w:left="646"/>
      <w:rPr>
        <w:rFonts w:ascii="宋体" w:hAnsi="宋体" w:eastAsia="宋体" w:cs="宋体"/>
        <w:sz w:val="16"/>
        <w:szCs w:val="16"/>
      </w:rPr>
    </w:pPr>
    <w:r>
      <w:pict>
        <v:shape id="_x0000_s2090" o:spid="_x0000_s2090" style="position:absolute;left:0pt;margin-left:30pt;margin-top:29.5pt;height:1pt;width:535pt;mso-position-horizontal-relative:page;mso-position-vertical-relative:page;z-index:-25162547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长治高新区漳泽工业园事业服务中心2025年部门预算公</w:t>
    </w:r>
    <w:r>
      <w:rPr>
        <w:rFonts w:ascii="宋体" w:hAnsi="宋体" w:eastAsia="宋体" w:cs="宋体"/>
        <w:spacing w:val="-2"/>
        <w:position w:val="1"/>
        <w:sz w:val="16"/>
        <w:szCs w:val="16"/>
      </w:rPr>
      <w:t>开报告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3A7311">
    <w:pPr>
      <w:spacing w:before="1" w:line="210" w:lineRule="exact"/>
      <w:ind w:left="646"/>
      <w:rPr>
        <w:rFonts w:ascii="宋体" w:hAnsi="宋体" w:eastAsia="宋体" w:cs="宋体"/>
        <w:sz w:val="16"/>
        <w:szCs w:val="16"/>
      </w:rPr>
    </w:pPr>
    <w:r>
      <w:pict>
        <v:shape id="_x0000_s2099" o:spid="_x0000_s2099" style="position:absolute;left:0pt;margin-left:30pt;margin-top:29.5pt;height:1pt;width:535pt;mso-position-horizontal-relative:page;mso-position-vertical-relative:page;z-index:-25162137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长治高新区漳泽工业园事业服务中心2025年部门预算公</w:t>
    </w:r>
    <w:r>
      <w:rPr>
        <w:rFonts w:ascii="宋体" w:hAnsi="宋体" w:eastAsia="宋体" w:cs="宋体"/>
        <w:spacing w:val="-2"/>
        <w:position w:val="1"/>
        <w:sz w:val="16"/>
        <w:szCs w:val="16"/>
      </w:rPr>
      <w:t>开报告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47A451">
    <w:pPr>
      <w:spacing w:before="1" w:line="210" w:lineRule="exact"/>
      <w:ind w:left="646"/>
      <w:rPr>
        <w:rFonts w:ascii="宋体" w:hAnsi="宋体" w:eastAsia="宋体" w:cs="宋体"/>
        <w:sz w:val="16"/>
        <w:szCs w:val="16"/>
      </w:rPr>
    </w:pPr>
    <w:r>
      <w:pict>
        <v:shape id="_x0000_s2107" o:spid="_x0000_s2107" style="position:absolute;left:0pt;margin-left:30pt;margin-top:29.5pt;height:1pt;width:782pt;mso-position-horizontal-relative:page;mso-position-vertical-relative:page;z-index:-251618304;mso-width-relative:page;mso-height-relative:page;" filled="f" stroked="t" coordsize="15640,20" o:allowincell="f" path="m0,10l15640,10e">
          <v:fill on="f" focussize="0,0"/>
          <v:stroke weight="1pt" color="#646464" miterlimit="10" joinstyle="miter"/>
          <v:imagedata o:title=""/>
          <o:lock v:ext="edit"/>
        </v:shape>
      </w:pict>
    </w:r>
    <w:r>
      <w:rPr>
        <w:rFonts w:ascii="宋体" w:hAnsi="宋体" w:eastAsia="宋体" w:cs="宋体"/>
        <w:spacing w:val="-1"/>
        <w:position w:val="1"/>
        <w:sz w:val="16"/>
        <w:szCs w:val="16"/>
      </w:rPr>
      <w:t>长治高新区漳泽工业园事业服务中心2025年部门预算公</w:t>
    </w:r>
    <w:r>
      <w:rPr>
        <w:rFonts w:ascii="宋体" w:hAnsi="宋体" w:eastAsia="宋体" w:cs="宋体"/>
        <w:spacing w:val="-2"/>
        <w:position w:val="1"/>
        <w:sz w:val="16"/>
        <w:szCs w:val="16"/>
      </w:rPr>
      <w:t>开报告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3A7311">
    <w:pPr>
      <w:spacing w:before="1" w:line="210" w:lineRule="exact"/>
      <w:ind w:left="646"/>
      <w:rPr>
        <w:rFonts w:ascii="宋体" w:hAnsi="宋体" w:eastAsia="宋体" w:cs="宋体"/>
        <w:sz w:val="16"/>
        <w:szCs w:val="16"/>
      </w:rPr>
    </w:pPr>
    <w:r>
      <w:pict>
        <v:shape id="_x0000_s2099" o:spid="_x0000_s2099" style="position:absolute;left:0pt;margin-left:30pt;margin-top:29.5pt;height:1pt;width:535pt;mso-position-horizontal-relative:page;mso-position-vertical-relative:page;z-index:-25162137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长治高新区漳泽工业园事业服务中心2025年部门预算公</w:t>
    </w:r>
    <w:r>
      <w:rPr>
        <w:rFonts w:ascii="宋体" w:hAnsi="宋体" w:eastAsia="宋体" w:cs="宋体"/>
        <w:spacing w:val="-2"/>
        <w:position w:val="1"/>
        <w:sz w:val="16"/>
        <w:szCs w:val="16"/>
      </w:rPr>
      <w:t>开报告</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3472D7">
    <w:pPr>
      <w:spacing w:before="1" w:line="210" w:lineRule="exact"/>
      <w:ind w:left="646"/>
      <w:rPr>
        <w:rFonts w:ascii="宋体" w:hAnsi="宋体" w:eastAsia="宋体" w:cs="宋体"/>
        <w:sz w:val="16"/>
        <w:szCs w:val="16"/>
      </w:rPr>
    </w:pPr>
    <w:r>
      <w:pict>
        <v:shape id="_x0000_s2090" o:spid="_x0000_s2090" style="position:absolute;left:0pt;margin-left:30pt;margin-top:29.5pt;height:1pt;width:535pt;mso-position-horizontal-relative:page;mso-position-vertical-relative:page;z-index:-25162547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长治高新区漳泽工业园事业服务中心2025年部门预算公</w:t>
    </w:r>
    <w:r>
      <w:rPr>
        <w:rFonts w:ascii="宋体" w:hAnsi="宋体" w:eastAsia="宋体" w:cs="宋体"/>
        <w:spacing w:val="-2"/>
        <w:position w:val="1"/>
        <w:sz w:val="16"/>
        <w:szCs w:val="16"/>
      </w:rPr>
      <w:t>开报告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7A2D0AE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4" Type="http://schemas.openxmlformats.org/officeDocument/2006/relationships/fontTable" Target="fontTable.xml"/><Relationship Id="rId93" Type="http://schemas.openxmlformats.org/officeDocument/2006/relationships/customXml" Target="../customXml/item1.xml"/><Relationship Id="rId92" Type="http://schemas.openxmlformats.org/officeDocument/2006/relationships/image" Target="media/image20.png"/><Relationship Id="rId91" Type="http://schemas.openxmlformats.org/officeDocument/2006/relationships/image" Target="media/image19.png"/><Relationship Id="rId90" Type="http://schemas.openxmlformats.org/officeDocument/2006/relationships/image" Target="media/image18.png"/><Relationship Id="rId9" Type="http://schemas.openxmlformats.org/officeDocument/2006/relationships/footer" Target="footer1.xml"/><Relationship Id="rId89" Type="http://schemas.openxmlformats.org/officeDocument/2006/relationships/image" Target="media/image17.png"/><Relationship Id="rId88" Type="http://schemas.openxmlformats.org/officeDocument/2006/relationships/image" Target="media/image16.png"/><Relationship Id="rId87" Type="http://schemas.openxmlformats.org/officeDocument/2006/relationships/image" Target="media/image15.png"/><Relationship Id="rId86" Type="http://schemas.openxmlformats.org/officeDocument/2006/relationships/image" Target="media/image14.png"/><Relationship Id="rId85" Type="http://schemas.openxmlformats.org/officeDocument/2006/relationships/image" Target="media/image13.png"/><Relationship Id="rId84" Type="http://schemas.openxmlformats.org/officeDocument/2006/relationships/image" Target="media/image12.png"/><Relationship Id="rId83" Type="http://schemas.openxmlformats.org/officeDocument/2006/relationships/image" Target="media/image11.png"/><Relationship Id="rId82" Type="http://schemas.openxmlformats.org/officeDocument/2006/relationships/image" Target="media/image10.png"/><Relationship Id="rId81" Type="http://schemas.openxmlformats.org/officeDocument/2006/relationships/image" Target="media/image9.png"/><Relationship Id="rId80" Type="http://schemas.openxmlformats.org/officeDocument/2006/relationships/image" Target="media/image8.png"/><Relationship Id="rId8" Type="http://schemas.openxmlformats.org/officeDocument/2006/relationships/header" Target="header4.xml"/><Relationship Id="rId79" Type="http://schemas.openxmlformats.org/officeDocument/2006/relationships/image" Target="media/image7.png"/><Relationship Id="rId78" Type="http://schemas.openxmlformats.org/officeDocument/2006/relationships/image" Target="media/image6.png"/><Relationship Id="rId77" Type="http://schemas.openxmlformats.org/officeDocument/2006/relationships/image" Target="media/image5.png"/><Relationship Id="rId76" Type="http://schemas.openxmlformats.org/officeDocument/2006/relationships/image" Target="media/image4.png"/><Relationship Id="rId75" Type="http://schemas.openxmlformats.org/officeDocument/2006/relationships/image" Target="media/image3.png"/><Relationship Id="rId74" Type="http://schemas.openxmlformats.org/officeDocument/2006/relationships/image" Target="media/image2.png"/><Relationship Id="rId73" Type="http://schemas.openxmlformats.org/officeDocument/2006/relationships/image" Target="media/image1.png"/><Relationship Id="rId72" Type="http://schemas.openxmlformats.org/officeDocument/2006/relationships/theme" Target="theme/theme1.xml"/><Relationship Id="rId71" Type="http://schemas.openxmlformats.org/officeDocument/2006/relationships/footer" Target="footer37.xml"/><Relationship Id="rId70" Type="http://schemas.openxmlformats.org/officeDocument/2006/relationships/header" Target="header30.xml"/><Relationship Id="rId7" Type="http://schemas.openxmlformats.org/officeDocument/2006/relationships/header" Target="header3.xml"/><Relationship Id="rId69" Type="http://schemas.openxmlformats.org/officeDocument/2006/relationships/footer" Target="footer36.xml"/><Relationship Id="rId68" Type="http://schemas.openxmlformats.org/officeDocument/2006/relationships/header" Target="header29.xml"/><Relationship Id="rId67" Type="http://schemas.openxmlformats.org/officeDocument/2006/relationships/footer" Target="footer35.xml"/><Relationship Id="rId66" Type="http://schemas.openxmlformats.org/officeDocument/2006/relationships/header" Target="header28.xml"/><Relationship Id="rId65" Type="http://schemas.openxmlformats.org/officeDocument/2006/relationships/footer" Target="footer34.xml"/><Relationship Id="rId64" Type="http://schemas.openxmlformats.org/officeDocument/2006/relationships/header" Target="header27.xml"/><Relationship Id="rId63" Type="http://schemas.openxmlformats.org/officeDocument/2006/relationships/footer" Target="footer33.xml"/><Relationship Id="rId62" Type="http://schemas.openxmlformats.org/officeDocument/2006/relationships/footer" Target="footer32.xml"/><Relationship Id="rId61" Type="http://schemas.openxmlformats.org/officeDocument/2006/relationships/footer" Target="footer31.xml"/><Relationship Id="rId60" Type="http://schemas.openxmlformats.org/officeDocument/2006/relationships/footer" Target="footer30.xml"/><Relationship Id="rId6" Type="http://schemas.openxmlformats.org/officeDocument/2006/relationships/header" Target="header2.xml"/><Relationship Id="rId59" Type="http://schemas.openxmlformats.org/officeDocument/2006/relationships/footer" Target="footer29.xml"/><Relationship Id="rId58" Type="http://schemas.openxmlformats.org/officeDocument/2006/relationships/header" Target="header26.xml"/><Relationship Id="rId57" Type="http://schemas.openxmlformats.org/officeDocument/2006/relationships/footer" Target="footer28.xml"/><Relationship Id="rId56" Type="http://schemas.openxmlformats.org/officeDocument/2006/relationships/header" Target="header25.xml"/><Relationship Id="rId55" Type="http://schemas.openxmlformats.org/officeDocument/2006/relationships/footer" Target="footer27.xml"/><Relationship Id="rId54" Type="http://schemas.openxmlformats.org/officeDocument/2006/relationships/footer" Target="footer26.xml"/><Relationship Id="rId53" Type="http://schemas.openxmlformats.org/officeDocument/2006/relationships/header" Target="header24.xml"/><Relationship Id="rId52" Type="http://schemas.openxmlformats.org/officeDocument/2006/relationships/footer" Target="footer25.xml"/><Relationship Id="rId51" Type="http://schemas.openxmlformats.org/officeDocument/2006/relationships/header" Target="header23.xml"/><Relationship Id="rId50" Type="http://schemas.openxmlformats.org/officeDocument/2006/relationships/footer" Target="footer24.xml"/><Relationship Id="rId5" Type="http://schemas.openxmlformats.org/officeDocument/2006/relationships/header" Target="header1.xml"/><Relationship Id="rId49" Type="http://schemas.openxmlformats.org/officeDocument/2006/relationships/footer" Target="footer23.xml"/><Relationship Id="rId48" Type="http://schemas.openxmlformats.org/officeDocument/2006/relationships/footer" Target="footer22.xml"/><Relationship Id="rId47" Type="http://schemas.openxmlformats.org/officeDocument/2006/relationships/header" Target="header22.xml"/><Relationship Id="rId46" Type="http://schemas.openxmlformats.org/officeDocument/2006/relationships/footer" Target="footer21.xml"/><Relationship Id="rId45" Type="http://schemas.openxmlformats.org/officeDocument/2006/relationships/footer" Target="footer20.xml"/><Relationship Id="rId44" Type="http://schemas.openxmlformats.org/officeDocument/2006/relationships/footer" Target="footer19.xml"/><Relationship Id="rId43" Type="http://schemas.openxmlformats.org/officeDocument/2006/relationships/header" Target="header21.xml"/><Relationship Id="rId42" Type="http://schemas.openxmlformats.org/officeDocument/2006/relationships/footer" Target="footer18.xml"/><Relationship Id="rId41" Type="http://schemas.openxmlformats.org/officeDocument/2006/relationships/header" Target="header20.xml"/><Relationship Id="rId40" Type="http://schemas.openxmlformats.org/officeDocument/2006/relationships/footer" Target="footer17.xml"/><Relationship Id="rId4" Type="http://schemas.openxmlformats.org/officeDocument/2006/relationships/endnotes" Target="endnotes.xml"/><Relationship Id="rId39" Type="http://schemas.openxmlformats.org/officeDocument/2006/relationships/header" Target="header19.xml"/><Relationship Id="rId38" Type="http://schemas.openxmlformats.org/officeDocument/2006/relationships/footer" Target="footer16.xml"/><Relationship Id="rId37" Type="http://schemas.openxmlformats.org/officeDocument/2006/relationships/header" Target="header18.xml"/><Relationship Id="rId36" Type="http://schemas.openxmlformats.org/officeDocument/2006/relationships/footer" Target="footer15.xml"/><Relationship Id="rId35" Type="http://schemas.openxmlformats.org/officeDocument/2006/relationships/header" Target="header17.xml"/><Relationship Id="rId34" Type="http://schemas.openxmlformats.org/officeDocument/2006/relationships/footer" Target="footer14.xml"/><Relationship Id="rId33" Type="http://schemas.openxmlformats.org/officeDocument/2006/relationships/header" Target="header16.xml"/><Relationship Id="rId32" Type="http://schemas.openxmlformats.org/officeDocument/2006/relationships/footer" Target="footer13.xml"/><Relationship Id="rId31" Type="http://schemas.openxmlformats.org/officeDocument/2006/relationships/header" Target="header15.xml"/><Relationship Id="rId30" Type="http://schemas.openxmlformats.org/officeDocument/2006/relationships/footer" Target="footer12.xml"/><Relationship Id="rId3" Type="http://schemas.openxmlformats.org/officeDocument/2006/relationships/footnotes" Target="footnotes.xml"/><Relationship Id="rId29" Type="http://schemas.openxmlformats.org/officeDocument/2006/relationships/header" Target="header14.xml"/><Relationship Id="rId28" Type="http://schemas.openxmlformats.org/officeDocument/2006/relationships/footer" Target="footer11.xml"/><Relationship Id="rId27" Type="http://schemas.openxmlformats.org/officeDocument/2006/relationships/footer" Target="footer10.xml"/><Relationship Id="rId26" Type="http://schemas.openxmlformats.org/officeDocument/2006/relationships/header" Target="header13.xml"/><Relationship Id="rId25" Type="http://schemas.openxmlformats.org/officeDocument/2006/relationships/footer" Target="footer9.xml"/><Relationship Id="rId24" Type="http://schemas.openxmlformats.org/officeDocument/2006/relationships/header" Target="header12.xml"/><Relationship Id="rId23" Type="http://schemas.openxmlformats.org/officeDocument/2006/relationships/footer" Target="footer8.xml"/><Relationship Id="rId22" Type="http://schemas.openxmlformats.org/officeDocument/2006/relationships/header" Target="header11.xml"/><Relationship Id="rId21" Type="http://schemas.openxmlformats.org/officeDocument/2006/relationships/footer" Target="footer7.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footer" Target="footer6.xml"/><Relationship Id="rId18" Type="http://schemas.openxmlformats.org/officeDocument/2006/relationships/header" Target="header9.xml"/><Relationship Id="rId17" Type="http://schemas.openxmlformats.org/officeDocument/2006/relationships/footer" Target="footer5.xml"/><Relationship Id="rId16" Type="http://schemas.openxmlformats.org/officeDocument/2006/relationships/header" Target="header8.xml"/><Relationship Id="rId15" Type="http://schemas.openxmlformats.org/officeDocument/2006/relationships/footer" Target="footer4.xml"/><Relationship Id="rId14" Type="http://schemas.openxmlformats.org/officeDocument/2006/relationships/header" Target="header7.xml"/><Relationship Id="rId13" Type="http://schemas.openxmlformats.org/officeDocument/2006/relationships/footer" Target="footer3.xml"/><Relationship Id="rId12" Type="http://schemas.openxmlformats.org/officeDocument/2006/relationships/header" Target="header6.xml"/><Relationship Id="rId11" Type="http://schemas.openxmlformats.org/officeDocument/2006/relationships/footer" Target="footer2.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81"/>
    <customShpInfo spid="_x0000_s2090"/>
    <customShpInfo spid="_x0000_s2099"/>
    <customShpInfo spid="_x0000_s2107"/>
    <customShpInfo spid="_x0000_s2116"/>
    <customShpInfo spid="_x0000_s2125"/>
    <customShpInfo spid="_x0000_s2134"/>
    <customShpInfo spid="_x0000_s2143"/>
    <customShpInfo spid="_x0000_s2149"/>
    <customShpInfo spid="_x0000_s2156"/>
    <customShpInfo spid="_x0000_s2161"/>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40</Pages>
  <Words>6728</Words>
  <Characters>8330</Characters>
  <TotalTime>1</TotalTime>
  <ScaleCrop>false</ScaleCrop>
  <LinksUpToDate>false</LinksUpToDate>
  <CharactersWithSpaces>8684</CharactersWithSpaces>
  <Application>WPS Office_12.1.0.20784_F1E327BC-269C-435d-A152-05C5408002CA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2025-04-23T08:10:00Z</dcterms:created>
  <dc:creator>Administrator</dc:creator>
  <cp:lastModifiedBy>酒醉的探戈</cp:lastModifiedBy>
  <dcterms:modified xsi:type="dcterms:W3CDTF">2025-04-23T00:19:27Z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2025-04-23T08:18:18Z</vt:filetime>
  </property>
  <property fmtid="{D5CDD505-2E9C-101B-9397-08002B2CF9AE}" pid="4" name="KSOTemplateDocerSaveRecord">
    <vt:lpwstr>eyJoZGlkIjoiMjQ5ZTViN2JkOGI1ZTkxNjQzY2RkNTgxYzA3YTdiNmMiLCJ1c2VySWQiOiIyMTQzNTI1MjgifQ==</vt:lpwstr>
  </property>
  <property fmtid="{D5CDD505-2E9C-101B-9397-08002B2CF9AE}" pid="5" name="KSOProductBuildVer">
    <vt:lpwstr>2052-12.1.0.20784</vt:lpwstr>
  </property>
  <property fmtid="{D5CDD505-2E9C-101B-9397-08002B2CF9AE}" pid="6" name="ICV">
    <vt:lpwstr>7685ABB7079B46A38510A5D46B0BD523_12</vt:lpwstr>
  </property>
</Properties>
</file>