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726" w:right="1631" w:hanging="4067"/>
        <w:spacing w:before="139" w:line="231" w:lineRule="auto"/>
        <w:outlineLvl w:val="0"/>
        <w:rPr>
          <w:rFonts w:ascii="SimSun" w:hAnsi="SimSun" w:eastAsia="SimSun" w:cs="SimSun"/>
          <w:sz w:val="43"/>
          <w:szCs w:val="43"/>
        </w:rPr>
      </w:pPr>
      <w:r>
        <w:rPr>
          <w:rFonts w:ascii="SimSun" w:hAnsi="SimSun" w:eastAsia="SimSun" w:cs="SimSun"/>
          <w:sz w:val="43"/>
          <w:szCs w:val="43"/>
          <w:spacing w:val="102"/>
        </w:rPr>
        <w:t>长治高新区老顶山物流园事业服务中</w:t>
      </w:r>
      <w:r>
        <w:rPr>
          <w:rFonts w:ascii="SimSun" w:hAnsi="SimSun" w:eastAsia="SimSun" w:cs="SimSun"/>
          <w:sz w:val="43"/>
          <w:szCs w:val="43"/>
          <w:spacing w:val="9"/>
        </w:rPr>
        <w:t xml:space="preserve"> </w:t>
      </w:r>
      <w:r>
        <w:rPr>
          <w:rFonts w:ascii="SimSun" w:hAnsi="SimSun" w:eastAsia="SimSun" w:cs="SimSun"/>
          <w:sz w:val="43"/>
          <w:szCs w:val="43"/>
        </w:rPr>
        <w:t>心</w:t>
      </w:r>
    </w:p>
    <w:p>
      <w:pPr>
        <w:pStyle w:val="BodyText"/>
        <w:spacing w:line="464" w:lineRule="auto"/>
        <w:rPr/>
      </w:pPr>
      <w:r/>
    </w:p>
    <w:p>
      <w:pPr>
        <w:ind w:left="3079"/>
        <w:spacing w:before="140" w:line="217" w:lineRule="auto"/>
        <w:rPr>
          <w:rFonts w:ascii="SimSun" w:hAnsi="SimSun" w:eastAsia="SimSun" w:cs="SimSun"/>
          <w:sz w:val="43"/>
          <w:szCs w:val="43"/>
        </w:rPr>
      </w:pPr>
      <w:r>
        <w:rPr>
          <w:rFonts w:ascii="SimSun" w:hAnsi="SimSun" w:eastAsia="SimSun" w:cs="SimSun"/>
          <w:sz w:val="43"/>
          <w:szCs w:val="43"/>
          <w:spacing w:val="7"/>
        </w:rPr>
        <w:t>2</w:t>
      </w:r>
      <w:r>
        <w:rPr>
          <w:rFonts w:ascii="SimSun" w:hAnsi="SimSun" w:eastAsia="SimSun" w:cs="SimSun"/>
          <w:sz w:val="43"/>
          <w:szCs w:val="43"/>
          <w:spacing w:val="-88"/>
        </w:rPr>
        <w:t xml:space="preserve"> </w:t>
      </w:r>
      <w:r>
        <w:rPr>
          <w:rFonts w:ascii="SimSun" w:hAnsi="SimSun" w:eastAsia="SimSun" w:cs="SimSun"/>
          <w:sz w:val="43"/>
          <w:szCs w:val="43"/>
          <w:spacing w:val="7"/>
        </w:rPr>
        <w:t>0</w:t>
      </w:r>
      <w:r>
        <w:rPr>
          <w:rFonts w:ascii="SimSun" w:hAnsi="SimSun" w:eastAsia="SimSun" w:cs="SimSun"/>
          <w:sz w:val="43"/>
          <w:szCs w:val="43"/>
          <w:spacing w:val="-93"/>
        </w:rPr>
        <w:t xml:space="preserve"> </w:t>
      </w:r>
      <w:r>
        <w:rPr>
          <w:rFonts w:ascii="SimSun" w:hAnsi="SimSun" w:eastAsia="SimSun" w:cs="SimSun"/>
          <w:sz w:val="43"/>
          <w:szCs w:val="43"/>
          <w:spacing w:val="7"/>
        </w:rPr>
        <w:t>2</w:t>
      </w:r>
      <w:r>
        <w:rPr>
          <w:rFonts w:ascii="SimSun" w:hAnsi="SimSun" w:eastAsia="SimSun" w:cs="SimSun"/>
          <w:sz w:val="43"/>
          <w:szCs w:val="43"/>
          <w:spacing w:val="-77"/>
        </w:rPr>
        <w:t xml:space="preserve"> </w:t>
      </w:r>
      <w:r>
        <w:rPr>
          <w:rFonts w:ascii="SimSun" w:hAnsi="SimSun" w:eastAsia="SimSun" w:cs="SimSun"/>
          <w:sz w:val="43"/>
          <w:szCs w:val="43"/>
          <w:spacing w:val="7"/>
        </w:rPr>
        <w:t>5</w:t>
      </w:r>
      <w:r>
        <w:rPr>
          <w:rFonts w:ascii="SimSun" w:hAnsi="SimSun" w:eastAsia="SimSun" w:cs="SimSun"/>
          <w:sz w:val="43"/>
          <w:szCs w:val="43"/>
          <w:spacing w:val="-98"/>
        </w:rPr>
        <w:t xml:space="preserve"> </w:t>
      </w:r>
      <w:r>
        <w:rPr>
          <w:rFonts w:ascii="SimSun" w:hAnsi="SimSun" w:eastAsia="SimSun" w:cs="SimSun"/>
          <w:sz w:val="43"/>
          <w:szCs w:val="43"/>
          <w:spacing w:val="7"/>
        </w:rPr>
        <w:t>年</w:t>
      </w:r>
      <w:r>
        <w:rPr>
          <w:rFonts w:ascii="SimSun" w:hAnsi="SimSun" w:eastAsia="SimSun" w:cs="SimSun"/>
          <w:sz w:val="43"/>
          <w:szCs w:val="43"/>
          <w:spacing w:val="-96"/>
        </w:rPr>
        <w:t xml:space="preserve"> </w:t>
      </w:r>
      <w:r>
        <w:rPr>
          <w:rFonts w:ascii="SimSun" w:hAnsi="SimSun" w:eastAsia="SimSun" w:cs="SimSun"/>
          <w:sz w:val="43"/>
          <w:szCs w:val="43"/>
          <w:spacing w:val="7"/>
        </w:rPr>
        <w:t>度</w:t>
      </w:r>
      <w:r>
        <w:rPr>
          <w:rFonts w:ascii="SimSun" w:hAnsi="SimSun" w:eastAsia="SimSun" w:cs="SimSun"/>
          <w:sz w:val="43"/>
          <w:szCs w:val="43"/>
          <w:spacing w:val="-95"/>
        </w:rPr>
        <w:t xml:space="preserve"> </w:t>
      </w:r>
      <w:r>
        <w:rPr>
          <w:rFonts w:ascii="SimSun" w:hAnsi="SimSun" w:eastAsia="SimSun" w:cs="SimSun"/>
          <w:sz w:val="43"/>
          <w:szCs w:val="43"/>
          <w:spacing w:val="7"/>
        </w:rPr>
        <w:t>单</w:t>
      </w:r>
      <w:r>
        <w:rPr>
          <w:rFonts w:ascii="SimSun" w:hAnsi="SimSun" w:eastAsia="SimSun" w:cs="SimSun"/>
          <w:sz w:val="43"/>
          <w:szCs w:val="43"/>
          <w:spacing w:val="-104"/>
        </w:rPr>
        <w:t xml:space="preserve"> </w:t>
      </w:r>
      <w:r>
        <w:rPr>
          <w:rFonts w:ascii="SimSun" w:hAnsi="SimSun" w:eastAsia="SimSun" w:cs="SimSun"/>
          <w:sz w:val="43"/>
          <w:szCs w:val="43"/>
          <w:spacing w:val="7"/>
        </w:rPr>
        <w:t>位</w:t>
      </w:r>
      <w:r>
        <w:rPr>
          <w:rFonts w:ascii="SimSun" w:hAnsi="SimSun" w:eastAsia="SimSun" w:cs="SimSun"/>
          <w:sz w:val="43"/>
          <w:szCs w:val="43"/>
          <w:spacing w:val="-108"/>
        </w:rPr>
        <w:t xml:space="preserve"> </w:t>
      </w:r>
      <w:r>
        <w:rPr>
          <w:rFonts w:ascii="SimSun" w:hAnsi="SimSun" w:eastAsia="SimSun" w:cs="SimSun"/>
          <w:sz w:val="43"/>
          <w:szCs w:val="43"/>
          <w:spacing w:val="7"/>
        </w:rPr>
        <w:t>预</w:t>
      </w:r>
      <w:r>
        <w:rPr>
          <w:rFonts w:ascii="SimSun" w:hAnsi="SimSun" w:eastAsia="SimSun" w:cs="SimSun"/>
          <w:sz w:val="43"/>
          <w:szCs w:val="43"/>
          <w:spacing w:val="-94"/>
        </w:rPr>
        <w:t xml:space="preserve"> </w:t>
      </w:r>
      <w:r>
        <w:rPr>
          <w:rFonts w:ascii="SimSun" w:hAnsi="SimSun" w:eastAsia="SimSun" w:cs="SimSun"/>
          <w:sz w:val="43"/>
          <w:szCs w:val="43"/>
          <w:spacing w:val="7"/>
        </w:rPr>
        <w:t>算</w:t>
      </w:r>
      <w:r>
        <w:rPr>
          <w:rFonts w:ascii="SimSun" w:hAnsi="SimSun" w:eastAsia="SimSun" w:cs="SimSun"/>
          <w:sz w:val="43"/>
          <w:szCs w:val="43"/>
          <w:spacing w:val="-104"/>
        </w:rPr>
        <w:t xml:space="preserve"> </w:t>
      </w:r>
      <w:r>
        <w:rPr>
          <w:rFonts w:ascii="SimSun" w:hAnsi="SimSun" w:eastAsia="SimSun" w:cs="SimSun"/>
          <w:sz w:val="43"/>
          <w:szCs w:val="43"/>
          <w:spacing w:val="7"/>
        </w:rPr>
        <w:t>公</w:t>
      </w:r>
      <w:r>
        <w:rPr>
          <w:rFonts w:ascii="SimSun" w:hAnsi="SimSun" w:eastAsia="SimSun" w:cs="SimSun"/>
          <w:sz w:val="43"/>
          <w:szCs w:val="43"/>
          <w:spacing w:val="-98"/>
        </w:rPr>
        <w:t xml:space="preserve"> </w:t>
      </w:r>
      <w:r>
        <w:rPr>
          <w:rFonts w:ascii="SimSun" w:hAnsi="SimSun" w:eastAsia="SimSun" w:cs="SimSun"/>
          <w:sz w:val="43"/>
          <w:szCs w:val="43"/>
          <w:spacing w:val="7"/>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252"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40"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1"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6"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6"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33</w:t>
            </w:r>
          </w:hyperlink>
        </w:p>
        <w:p>
          <w:pPr>
            <w:ind w:left="1990"/>
            <w:spacing w:before="113" w:line="222" w:lineRule="auto"/>
            <w:tabs>
              <w:tab w:val="right" w:leader="dot" w:pos="10580"/>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33</w:t>
            </w:r>
          </w:hyperlink>
        </w:p>
        <w:p>
          <w:pPr>
            <w:ind w:left="2621"/>
            <w:spacing w:before="116" w:line="220" w:lineRule="auto"/>
            <w:tabs>
              <w:tab w:val="right" w:leader="dot" w:pos="10580"/>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33</w:t>
            </w:r>
          </w:hyperlink>
        </w:p>
        <w:p>
          <w:pPr>
            <w:ind w:left="2621"/>
            <w:spacing w:before="118" w:line="222" w:lineRule="auto"/>
            <w:tabs>
              <w:tab w:val="right" w:leader="dot" w:pos="10580"/>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33</w:t>
            </w:r>
          </w:hyperlink>
        </w:p>
        <w:p>
          <w:pPr>
            <w:ind w:left="1354"/>
            <w:spacing w:before="116" w:line="222" w:lineRule="auto"/>
            <w:tabs>
              <w:tab w:val="right" w:leader="dot" w:pos="10580"/>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86" w:bottom="0" w:left="0" w:header="0" w:footer="0" w:gutter="0"/>
        </w:sectPr>
        <w:rPr>
          <w:rFonts w:ascii="FangSong" w:hAnsi="FangSong" w:eastAsia="FangSong" w:cs="FangSong"/>
          <w:sz w:val="32"/>
          <w:szCs w:val="32"/>
        </w:rPr>
      </w:pPr>
    </w:p>
    <w:p>
      <w:pPr>
        <w:pStyle w:val="BodyText"/>
        <w:spacing w:line="282" w:lineRule="auto"/>
        <w:rPr/>
      </w:pPr>
      <w:r/>
    </w:p>
    <w:p>
      <w:pPr>
        <w:pStyle w:val="BodyText"/>
        <w:spacing w:line="282" w:lineRule="auto"/>
        <w:rPr/>
      </w:pPr>
      <w:r/>
    </w:p>
    <w:p>
      <w:pPr>
        <w:ind w:left="51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1515" w:right="1388" w:firstLine="5"/>
        <w:spacing w:before="284" w:line="302" w:lineRule="auto"/>
        <w:rPr>
          <w:rFonts w:ascii="FangSong" w:hAnsi="FangSong" w:eastAsia="FangSong" w:cs="FangSong"/>
          <w:sz w:val="24"/>
          <w:szCs w:val="24"/>
        </w:rPr>
      </w:pPr>
      <w:r>
        <w:rPr>
          <w:rFonts w:ascii="FangSong" w:hAnsi="FangSong" w:eastAsia="FangSong" w:cs="FangSong"/>
          <w:sz w:val="24"/>
          <w:szCs w:val="24"/>
          <w:spacing w:val="1"/>
        </w:rPr>
        <w:t>统筹老顶山物流园区政企服务工作；统筹园区征地、</w:t>
      </w:r>
      <w:r>
        <w:rPr>
          <w:rFonts w:ascii="FangSong" w:hAnsi="FangSong" w:eastAsia="FangSong" w:cs="FangSong"/>
          <w:sz w:val="24"/>
          <w:szCs w:val="24"/>
        </w:rPr>
        <w:t>拆迁和入区项目落地、建设、基</w:t>
      </w:r>
      <w:r>
        <w:rPr>
          <w:rFonts w:ascii="FangSong" w:hAnsi="FangSong" w:eastAsia="FangSong" w:cs="FangSong"/>
          <w:sz w:val="24"/>
          <w:szCs w:val="24"/>
        </w:rPr>
        <w:t xml:space="preserve"> </w:t>
      </w:r>
      <w:r>
        <w:rPr>
          <w:rFonts w:ascii="FangSong" w:hAnsi="FangSong" w:eastAsia="FangSong" w:cs="FangSong"/>
          <w:sz w:val="24"/>
          <w:szCs w:val="24"/>
          <w:spacing w:val="1"/>
        </w:rPr>
        <w:t>础配套工作；落实高新区关于产业发展的总体部署，协调统计部</w:t>
      </w:r>
      <w:r>
        <w:rPr>
          <w:rFonts w:ascii="FangSong" w:hAnsi="FangSong" w:eastAsia="FangSong" w:cs="FangSong"/>
          <w:sz w:val="24"/>
          <w:szCs w:val="24"/>
        </w:rPr>
        <w:t>门做好监测、统计、</w:t>
      </w:r>
      <w:r>
        <w:rPr>
          <w:rFonts w:ascii="FangSong" w:hAnsi="FangSong" w:eastAsia="FangSong" w:cs="FangSong"/>
          <w:sz w:val="24"/>
          <w:szCs w:val="24"/>
        </w:rPr>
        <w:t xml:space="preserve"> </w:t>
      </w:r>
      <w:r>
        <w:rPr>
          <w:rFonts w:ascii="FangSong" w:hAnsi="FangSong" w:eastAsia="FangSong" w:cs="FangSong"/>
          <w:sz w:val="24"/>
          <w:szCs w:val="24"/>
          <w:spacing w:val="1"/>
        </w:rPr>
        <w:t>分析并预测园区产业发展态势，提出政策建议；负责园区基础设</w:t>
      </w:r>
      <w:r>
        <w:rPr>
          <w:rFonts w:ascii="FangSong" w:hAnsi="FangSong" w:eastAsia="FangSong" w:cs="FangSong"/>
          <w:sz w:val="24"/>
          <w:szCs w:val="24"/>
        </w:rPr>
        <w:t>施建设方案、预算编</w:t>
      </w:r>
      <w:r>
        <w:rPr>
          <w:rFonts w:ascii="FangSong" w:hAnsi="FangSong" w:eastAsia="FangSong" w:cs="FangSong"/>
          <w:sz w:val="24"/>
          <w:szCs w:val="24"/>
        </w:rPr>
        <w:t xml:space="preserve"> </w:t>
      </w:r>
      <w:r>
        <w:rPr>
          <w:rFonts w:ascii="FangSong" w:hAnsi="FangSong" w:eastAsia="FangSong" w:cs="FangSong"/>
          <w:sz w:val="24"/>
          <w:szCs w:val="24"/>
          <w:spacing w:val="1"/>
        </w:rPr>
        <w:t>制工作和建设维护、管理运行工作；负责园区企业生产、科技、</w:t>
      </w:r>
      <w:r>
        <w:rPr>
          <w:rFonts w:ascii="FangSong" w:hAnsi="FangSong" w:eastAsia="FangSong" w:cs="FangSong"/>
          <w:sz w:val="24"/>
          <w:szCs w:val="24"/>
        </w:rPr>
        <w:t>开发等方面的推进服</w:t>
      </w:r>
      <w:r>
        <w:rPr>
          <w:rFonts w:ascii="FangSong" w:hAnsi="FangSong" w:eastAsia="FangSong" w:cs="FangSong"/>
          <w:sz w:val="24"/>
          <w:szCs w:val="24"/>
        </w:rPr>
        <w:t xml:space="preserve"> </w:t>
      </w:r>
      <w:r>
        <w:rPr>
          <w:rFonts w:ascii="FangSong" w:hAnsi="FangSong" w:eastAsia="FangSong" w:cs="FangSong"/>
          <w:sz w:val="24"/>
          <w:szCs w:val="24"/>
          <w:spacing w:val="-1"/>
        </w:rPr>
        <w:t>务工作；负责园区绿化环卫工作；负责园区党的建设工作；负</w:t>
      </w:r>
      <w:r>
        <w:rPr>
          <w:rFonts w:ascii="FangSong" w:hAnsi="FangSong" w:eastAsia="FangSong" w:cs="FangSong"/>
          <w:sz w:val="24"/>
          <w:szCs w:val="24"/>
          <w:spacing w:val="-2"/>
        </w:rPr>
        <w:t>责园区信访稳定工作。</w:t>
      </w:r>
    </w:p>
    <w:p>
      <w:pPr>
        <w:ind w:left="1513"/>
        <w:spacing w:before="225"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1515" w:right="1388"/>
        <w:spacing w:before="102" w:line="302" w:lineRule="auto"/>
        <w:jc w:val="both"/>
        <w:rPr>
          <w:rFonts w:ascii="FangSong" w:hAnsi="FangSong" w:eastAsia="FangSong" w:cs="FangSong"/>
          <w:sz w:val="24"/>
          <w:szCs w:val="24"/>
        </w:rPr>
      </w:pPr>
      <w:r>
        <w:rPr>
          <w:rFonts w:ascii="FangSong" w:hAnsi="FangSong" w:eastAsia="FangSong" w:cs="FangSong"/>
          <w:sz w:val="24"/>
          <w:szCs w:val="24"/>
          <w:spacing w:val="1"/>
        </w:rPr>
        <w:t>长治高新区老顶山物流园事业服务中心财政拨款事业编制12名</w:t>
      </w:r>
      <w:r>
        <w:rPr>
          <w:rFonts w:ascii="FangSong" w:hAnsi="FangSong" w:eastAsia="FangSong" w:cs="FangSong"/>
          <w:sz w:val="24"/>
          <w:szCs w:val="24"/>
        </w:rPr>
        <w:t>。设主任1名(副处级),</w:t>
      </w:r>
      <w:r>
        <w:rPr>
          <w:rFonts w:ascii="FangSong" w:hAnsi="FangSong" w:eastAsia="FangSong" w:cs="FangSong"/>
          <w:sz w:val="24"/>
          <w:szCs w:val="24"/>
        </w:rPr>
        <w:t xml:space="preserve"> </w:t>
      </w:r>
      <w:r>
        <w:rPr>
          <w:rFonts w:ascii="FangSong" w:hAnsi="FangSong" w:eastAsia="FangSong" w:cs="FangSong"/>
          <w:sz w:val="24"/>
          <w:szCs w:val="24"/>
          <w:spacing w:val="10"/>
        </w:rPr>
        <w:t>副主任1名(正科级);内设机构科级领导职数4名正(含负责党群工作的专职副</w:t>
      </w:r>
      <w:r>
        <w:rPr>
          <w:rFonts w:ascii="FangSong" w:hAnsi="FangSong" w:eastAsia="FangSong" w:cs="FangSong"/>
          <w:sz w:val="24"/>
          <w:szCs w:val="24"/>
          <w:spacing w:val="9"/>
        </w:rPr>
        <w:t>书记1</w:t>
      </w:r>
      <w:r>
        <w:rPr>
          <w:rFonts w:ascii="FangSong" w:hAnsi="FangSong" w:eastAsia="FangSong" w:cs="FangSong"/>
          <w:sz w:val="24"/>
          <w:szCs w:val="24"/>
        </w:rPr>
        <w:t xml:space="preserve"> </w:t>
      </w:r>
      <w:r>
        <w:rPr>
          <w:rFonts w:ascii="FangSong" w:hAnsi="FangSong" w:eastAsia="FangSong" w:cs="FangSong"/>
          <w:sz w:val="24"/>
          <w:szCs w:val="24"/>
          <w:spacing w:val="-7"/>
        </w:rPr>
        <w:t>名)2名副。</w:t>
      </w:r>
    </w:p>
    <w:p>
      <w:pPr>
        <w:spacing w:line="302"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24"/>
          <w:szCs w:val="24"/>
        </w:rPr>
      </w:pPr>
    </w:p>
    <w:p>
      <w:pPr>
        <w:pStyle w:val="BodyText"/>
        <w:spacing w:line="319" w:lineRule="auto"/>
        <w:rPr/>
      </w:pPr>
      <w:r/>
    </w:p>
    <w:p>
      <w:pPr>
        <w:pStyle w:val="BodyText"/>
        <w:spacing w:line="319" w:lineRule="auto"/>
        <w:rPr/>
      </w:pPr>
      <w:r/>
    </w:p>
    <w:p>
      <w:pPr>
        <w:ind w:left="4347"/>
        <w:spacing w:before="99" w:line="237" w:lineRule="exact"/>
        <w:outlineLvl w:val="0"/>
        <w:rPr>
          <w:rFonts w:ascii="Microsoft YaHei" w:hAnsi="Microsoft YaHei" w:eastAsia="Microsoft YaHei" w:cs="Microsoft YaHei"/>
          <w:sz w:val="23"/>
          <w:szCs w:val="23"/>
        </w:rPr>
      </w:pPr>
      <w:r>
        <w:pict>
          <v:shape id="_x0000_s82" style="position:absolute;margin-left:8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1"/>
                      <w:position w:val="3"/>
                    </w:rPr>
                    <w:t>@#@#@                                         @#@#@</w:t>
                  </w:r>
                </w:p>
              </w:txbxContent>
            </v:textbox>
          </v:shape>
        </w:pict>
      </w:r>
      <w:bookmarkStart w:name="bookmark5" w:id="39"/>
      <w:bookmarkEnd w:id="39"/>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413"/>
        <w:gridCol w:w="3136"/>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0"/>
            <w:bookmarkEnd w:id="40"/>
            <w:r>
              <w:rPr>
                <w:rFonts w:ascii="Microsoft YaHei" w:hAnsi="Microsoft YaHei" w:eastAsia="Microsoft YaHei" w:cs="Microsoft YaHei"/>
                <w:sz w:val="23"/>
                <w:szCs w:val="23"/>
                <w:color w:val="212529"/>
                <w:position w:val="-1"/>
              </w:rPr>
              <w:t>2025年预算收支总表</w:t>
            </w:r>
          </w:p>
        </w:tc>
      </w:tr>
      <w:tr>
        <w:trPr>
          <w:trHeight w:val="535" w:hRule="atLeast"/>
        </w:trPr>
        <w:tc>
          <w:tcPr>
            <w:tcW w:w="5413"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单位名称：长治高新区老顶山物流园事业服务中心</w:t>
            </w:r>
          </w:p>
        </w:tc>
        <w:tc>
          <w:tcPr>
            <w:tcW w:w="3136"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3241" w:type="dxa"/>
            <w:vAlign w:val="top"/>
            <w:gridSpan w:val="2"/>
          </w:tcPr>
          <w:p>
            <w:pPr>
              <w:ind w:left="1427"/>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8"/>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3"/>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4"/>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58"/>
              <w:spacing w:before="191" w:line="183" w:lineRule="auto"/>
              <w:rPr>
                <w:rFonts w:ascii="SimSun" w:hAnsi="SimSun" w:eastAsia="SimSun" w:cs="SimSun"/>
                <w:sz w:val="18"/>
                <w:szCs w:val="18"/>
              </w:rPr>
            </w:pPr>
            <w:r>
              <w:rPr>
                <w:rFonts w:ascii="SimSun" w:hAnsi="SimSun" w:eastAsia="SimSun" w:cs="SimSun"/>
                <w:sz w:val="18"/>
                <w:szCs w:val="18"/>
                <w:color w:val="212529"/>
                <w:spacing w:val="-2"/>
              </w:rPr>
              <w:t>539.42</w:t>
            </w:r>
          </w:p>
        </w:tc>
        <w:tc>
          <w:tcPr>
            <w:tcW w:w="2171" w:type="dxa"/>
            <w:vAlign w:val="top"/>
          </w:tcPr>
          <w:p>
            <w:pPr>
              <w:ind w:left="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3"/>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1"/>
              </w:rPr>
              <w:t>482.46</w:t>
            </w:r>
          </w:p>
        </w:tc>
        <w:tc>
          <w:tcPr>
            <w:tcW w:w="1153" w:type="dxa"/>
            <w:vAlign w:val="top"/>
          </w:tcPr>
          <w:p>
            <w:pPr>
              <w:ind w:left="574"/>
              <w:spacing w:before="191" w:line="183" w:lineRule="auto"/>
              <w:rPr>
                <w:rFonts w:ascii="SimSun" w:hAnsi="SimSun" w:eastAsia="SimSun" w:cs="SimSun"/>
                <w:sz w:val="18"/>
                <w:szCs w:val="18"/>
              </w:rPr>
            </w:pPr>
            <w:r>
              <w:rPr>
                <w:rFonts w:ascii="SimSun" w:hAnsi="SimSun" w:eastAsia="SimSun" w:cs="SimSun"/>
                <w:sz w:val="18"/>
                <w:szCs w:val="18"/>
                <w:color w:val="212529"/>
                <w:spacing w:val="-1"/>
              </w:rPr>
              <w:t>482.46</w:t>
            </w:r>
          </w:p>
        </w:tc>
        <w:tc>
          <w:tcPr>
            <w:tcW w:w="831" w:type="dxa"/>
            <w:vAlign w:val="top"/>
          </w:tcPr>
          <w:p>
            <w:pPr>
              <w:pStyle w:val="TableText"/>
              <w:rPr/>
            </w:pPr>
            <w:r/>
          </w:p>
        </w:tc>
      </w:tr>
      <w:tr>
        <w:trPr>
          <w:trHeight w:val="524" w:hRule="atLeast"/>
        </w:trPr>
        <w:tc>
          <w:tcPr>
            <w:tcW w:w="210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1"/>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2"/>
              </w:rPr>
              <w:t>30.16</w:t>
            </w:r>
          </w:p>
        </w:tc>
        <w:tc>
          <w:tcPr>
            <w:tcW w:w="1153" w:type="dxa"/>
            <w:vAlign w:val="top"/>
          </w:tcPr>
          <w:p>
            <w:pPr>
              <w:ind w:left="669"/>
              <w:spacing w:before="197" w:line="184" w:lineRule="auto"/>
              <w:rPr>
                <w:rFonts w:ascii="SimSun" w:hAnsi="SimSun" w:eastAsia="SimSun" w:cs="SimSun"/>
                <w:sz w:val="18"/>
                <w:szCs w:val="18"/>
              </w:rPr>
            </w:pPr>
            <w:r>
              <w:rPr>
                <w:rFonts w:ascii="SimSun" w:hAnsi="SimSun" w:eastAsia="SimSun" w:cs="SimSun"/>
                <w:sz w:val="18"/>
                <w:szCs w:val="18"/>
                <w:color w:val="212529"/>
                <w:spacing w:val="-2"/>
              </w:rPr>
              <w:t>30.16</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1153" w:type="dxa"/>
            <w:vAlign w:val="top"/>
          </w:tcPr>
          <w:p>
            <w:pPr>
              <w:ind w:right="25"/>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153" w:type="dxa"/>
            <w:vAlign w:val="top"/>
          </w:tcPr>
          <w:p>
            <w:pPr>
              <w:ind w:right="25"/>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6" w:id="41"/>
            <w:bookmarkEnd w:id="41"/>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6"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8"/>
              <w:spacing w:before="187" w:line="161" w:lineRule="auto"/>
              <w:rPr>
                <w:sz w:val="17"/>
                <w:szCs w:val="17"/>
              </w:rPr>
            </w:pPr>
            <w:r>
              <w:rPr>
                <w:sz w:val="17"/>
                <w:szCs w:val="17"/>
                <w:color w:val="212529"/>
                <w:spacing w:val="1"/>
              </w:rPr>
              <w:t>539.42</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4"/>
              <w:spacing w:before="187" w:line="161" w:lineRule="auto"/>
              <w:rPr>
                <w:sz w:val="17"/>
                <w:szCs w:val="17"/>
              </w:rPr>
            </w:pPr>
            <w:r>
              <w:rPr>
                <w:sz w:val="17"/>
                <w:szCs w:val="17"/>
                <w:color w:val="212529"/>
                <w:spacing w:val="1"/>
              </w:rPr>
              <w:t>539.42</w:t>
            </w:r>
          </w:p>
        </w:tc>
        <w:tc>
          <w:tcPr>
            <w:tcW w:w="1153" w:type="dxa"/>
            <w:vAlign w:val="top"/>
          </w:tcPr>
          <w:p>
            <w:pPr>
              <w:pStyle w:val="TableText"/>
              <w:ind w:left="578"/>
              <w:spacing w:before="187" w:line="161" w:lineRule="auto"/>
              <w:rPr>
                <w:sz w:val="17"/>
                <w:szCs w:val="17"/>
              </w:rPr>
            </w:pPr>
            <w:r>
              <w:rPr>
                <w:sz w:val="17"/>
                <w:szCs w:val="17"/>
                <w:color w:val="212529"/>
                <w:spacing w:val="1"/>
              </w:rPr>
              <w:t>539.42</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0"/>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8"/>
              <w:spacing w:before="189" w:line="161" w:lineRule="auto"/>
              <w:rPr>
                <w:sz w:val="17"/>
                <w:szCs w:val="17"/>
              </w:rPr>
            </w:pPr>
            <w:r>
              <w:rPr>
                <w:sz w:val="17"/>
                <w:szCs w:val="17"/>
                <w:color w:val="212529"/>
                <w:spacing w:val="1"/>
              </w:rPr>
              <w:t>539.42</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4"/>
              <w:spacing w:before="189" w:line="161" w:lineRule="auto"/>
              <w:rPr>
                <w:sz w:val="17"/>
                <w:szCs w:val="17"/>
              </w:rPr>
            </w:pPr>
            <w:r>
              <w:rPr>
                <w:sz w:val="17"/>
                <w:szCs w:val="17"/>
                <w:color w:val="212529"/>
                <w:spacing w:val="1"/>
              </w:rPr>
              <w:t>539.42</w:t>
            </w:r>
          </w:p>
        </w:tc>
        <w:tc>
          <w:tcPr>
            <w:tcW w:w="1153" w:type="dxa"/>
            <w:vAlign w:val="top"/>
          </w:tcPr>
          <w:p>
            <w:pPr>
              <w:pStyle w:val="TableText"/>
              <w:ind w:left="578"/>
              <w:spacing w:before="189" w:line="161" w:lineRule="auto"/>
              <w:rPr>
                <w:sz w:val="17"/>
                <w:szCs w:val="17"/>
              </w:rPr>
            </w:pPr>
            <w:r>
              <w:rPr>
                <w:sz w:val="17"/>
                <w:szCs w:val="17"/>
                <w:color w:val="212529"/>
                <w:spacing w:val="1"/>
              </w:rPr>
              <w:t>539.42</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10" w:right="86" w:bottom="312" w:left="0" w:header="357" w:footer="153" w:gutter="0"/>
        </w:sectPr>
        <w:rPr/>
      </w:pPr>
    </w:p>
    <w:p>
      <w:pPr>
        <w:spacing w:before="9"/>
        <w:rPr/>
      </w:pPr>
      <w:r>
        <w:pict>
          <v:shape id="_x0000_s11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7" w:id="42"/>
                  <w:bookmarkEnd w:id="42"/>
                  <w:r>
                    <w:rPr>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单位名称：长治高新区老顶山物流园事业服务中心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4"/>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6"/>
              <w:spacing w:before="150" w:line="161" w:lineRule="auto"/>
              <w:rPr>
                <w:sz w:val="17"/>
                <w:szCs w:val="17"/>
              </w:rPr>
            </w:pPr>
            <w:r>
              <w:rPr>
                <w:sz w:val="17"/>
                <w:szCs w:val="17"/>
                <w:color w:val="212529"/>
                <w:spacing w:val="1"/>
              </w:rPr>
              <w:t>539.42</w:t>
            </w:r>
          </w:p>
        </w:tc>
        <w:tc>
          <w:tcPr>
            <w:tcW w:w="1274" w:type="dxa"/>
            <w:vAlign w:val="top"/>
          </w:tcPr>
          <w:p>
            <w:pPr>
              <w:pStyle w:val="TableText"/>
              <w:ind w:left="703"/>
              <w:spacing w:before="149" w:line="183" w:lineRule="auto"/>
              <w:rPr>
                <w:sz w:val="15"/>
                <w:szCs w:val="15"/>
              </w:rPr>
            </w:pPr>
            <w:r>
              <w:rPr>
                <w:sz w:val="15"/>
                <w:szCs w:val="15"/>
                <w:color w:val="212529"/>
                <w:spacing w:val="2"/>
              </w:rPr>
              <w:t>539.</w:t>
            </w:r>
            <w:r>
              <w:rPr>
                <w:sz w:val="15"/>
                <w:szCs w:val="15"/>
                <w:color w:val="212529"/>
                <w:spacing w:val="12"/>
                <w:w w:val="101"/>
              </w:rPr>
              <w:t xml:space="preserve"> </w:t>
            </w:r>
            <w:r>
              <w:rPr>
                <w:sz w:val="15"/>
                <w:szCs w:val="15"/>
                <w:color w:val="212529"/>
                <w:spacing w:val="2"/>
              </w:rPr>
              <w:t>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5" w:line="184"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7"/>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6"/>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1"/>
              </w:rPr>
              <w:t>482.46</w:t>
            </w:r>
          </w:p>
        </w:tc>
        <w:tc>
          <w:tcPr>
            <w:tcW w:w="1274"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1"/>
              </w:rPr>
              <w:t>482.46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4"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38" w:type="dxa"/>
            <w:vAlign w:val="top"/>
          </w:tcPr>
          <w:p>
            <w:pPr>
              <w:ind w:right="26"/>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1"/>
              </w:rPr>
              <w:t>448.46</w:t>
            </w:r>
          </w:p>
        </w:tc>
        <w:tc>
          <w:tcPr>
            <w:tcW w:w="1274"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1"/>
              </w:rPr>
              <w:t>448.46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97" w:type="dxa"/>
            <w:vAlign w:val="top"/>
          </w:tcPr>
          <w:p>
            <w:pPr>
              <w:ind w:left="6"/>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3"/>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3"/>
              </w:rPr>
              <w:t>104.84</w:t>
            </w:r>
          </w:p>
        </w:tc>
        <w:tc>
          <w:tcPr>
            <w:tcW w:w="1274" w:type="dxa"/>
            <w:vAlign w:val="top"/>
          </w:tcPr>
          <w:p>
            <w:pPr>
              <w:ind w:right="22"/>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3"/>
              </w:rPr>
              <w:t>104.84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97" w:type="dxa"/>
            <w:vAlign w:val="top"/>
          </w:tcPr>
          <w:p>
            <w:pPr>
              <w:ind w:left="8" w:right="104" w:hanging="4"/>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务支出</w:t>
            </w:r>
          </w:p>
        </w:tc>
        <w:tc>
          <w:tcPr>
            <w:tcW w:w="1438" w:type="dxa"/>
            <w:vAlign w:val="top"/>
          </w:tcPr>
          <w:p>
            <w:pPr>
              <w:ind w:right="25"/>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343.62</w:t>
            </w:r>
          </w:p>
        </w:tc>
        <w:tc>
          <w:tcPr>
            <w:tcW w:w="1274" w:type="dxa"/>
            <w:vAlign w:val="top"/>
          </w:tcPr>
          <w:p>
            <w:pPr>
              <w:ind w:right="23"/>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343.62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2997" w:type="dxa"/>
            <w:vAlign w:val="top"/>
          </w:tcPr>
          <w:p>
            <w:pPr>
              <w:ind w:left="7"/>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438" w:type="dxa"/>
            <w:vAlign w:val="top"/>
          </w:tcPr>
          <w:p>
            <w:pPr>
              <w:ind w:right="24"/>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74" w:type="dxa"/>
            <w:vAlign w:val="top"/>
          </w:tcPr>
          <w:p>
            <w:pPr>
              <w:ind w:right="22"/>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2997"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1"/>
              </w:rPr>
              <w:t>专项普查活动</w:t>
            </w:r>
          </w:p>
        </w:tc>
        <w:tc>
          <w:tcPr>
            <w:tcW w:w="1438" w:type="dxa"/>
            <w:vAlign w:val="top"/>
          </w:tcPr>
          <w:p>
            <w:pPr>
              <w:ind w:right="24"/>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74" w:type="dxa"/>
            <w:vAlign w:val="top"/>
          </w:tcPr>
          <w:p>
            <w:pPr>
              <w:ind w:right="22"/>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9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5"/>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2"/>
              </w:rPr>
              <w:t>31.00</w:t>
            </w:r>
          </w:p>
        </w:tc>
        <w:tc>
          <w:tcPr>
            <w:tcW w:w="1274" w:type="dxa"/>
            <w:vAlign w:val="top"/>
          </w:tcPr>
          <w:p>
            <w:pPr>
              <w:ind w:right="23"/>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2"/>
              </w:rPr>
              <w:t>31.00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97" w:type="dxa"/>
            <w:vAlign w:val="top"/>
          </w:tcPr>
          <w:p>
            <w:pPr>
              <w:ind w:left="4"/>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5"/>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2"/>
              </w:rPr>
              <w:t>31.00</w:t>
            </w:r>
          </w:p>
        </w:tc>
        <w:tc>
          <w:tcPr>
            <w:tcW w:w="1274" w:type="dxa"/>
            <w:vAlign w:val="top"/>
          </w:tcPr>
          <w:p>
            <w:pPr>
              <w:ind w:right="23"/>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2"/>
              </w:rPr>
              <w:t>31.00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6"/>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5"/>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2"/>
              </w:rPr>
              <w:t>30.16</w:t>
            </w:r>
          </w:p>
        </w:tc>
        <w:tc>
          <w:tcPr>
            <w:tcW w:w="1274" w:type="dxa"/>
            <w:vAlign w:val="top"/>
          </w:tcPr>
          <w:p>
            <w:pPr>
              <w:ind w:right="23"/>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2"/>
              </w:rPr>
              <w:t>30.16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5"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5"/>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29.77</w:t>
            </w:r>
          </w:p>
        </w:tc>
        <w:tc>
          <w:tcPr>
            <w:tcW w:w="1274" w:type="dxa"/>
            <w:vAlign w:val="top"/>
          </w:tcPr>
          <w:p>
            <w:pPr>
              <w:ind w:right="23"/>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29.77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5"/>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274"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17.19</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17.19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5"/>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5"/>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0.38</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0.38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5"/>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0.38</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0.38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0" w:hRule="atLeast"/>
        </w:trPr>
        <w:tc>
          <w:tcPr>
            <w:tcW w:w="1431" w:type="dxa"/>
            <w:vAlign w:val="top"/>
          </w:tcPr>
          <w:p>
            <w:pPr>
              <w:ind w:left="9"/>
              <w:spacing w:before="142"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5"/>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42"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1274" w:type="dxa"/>
            <w:vAlign w:val="top"/>
          </w:tcPr>
          <w:p>
            <w:pPr>
              <w:ind w:right="21"/>
              <w:spacing w:before="142" w:line="184" w:lineRule="auto"/>
              <w:jc w:val="right"/>
              <w:rPr>
                <w:rFonts w:ascii="SimSun" w:hAnsi="SimSun" w:eastAsia="SimSun" w:cs="SimSun"/>
                <w:sz w:val="18"/>
                <w:szCs w:val="18"/>
              </w:rPr>
            </w:pPr>
            <w:r>
              <w:rPr>
                <w:rFonts w:ascii="SimSun" w:hAnsi="SimSun" w:eastAsia="SimSun" w:cs="SimSun"/>
                <w:sz w:val="18"/>
                <w:szCs w:val="18"/>
                <w:color w:val="212529"/>
                <w:spacing w:val="-4"/>
              </w:rPr>
              <w:t>13.39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37"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6"/>
              <w:spacing w:before="111"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5"/>
              <w:spacing w:before="138" w:line="183" w:lineRule="auto"/>
              <w:jc w:val="right"/>
              <w:rPr>
                <w:rFonts w:ascii="SimSun" w:hAnsi="SimSun" w:eastAsia="SimSun" w:cs="SimSun"/>
                <w:sz w:val="18"/>
                <w:szCs w:val="18"/>
              </w:rPr>
            </w:pPr>
            <w:r>
              <w:rPr>
                <w:rFonts w:ascii="SimSun" w:hAnsi="SimSun" w:eastAsia="SimSun" w:cs="SimSun"/>
                <w:sz w:val="18"/>
                <w:szCs w:val="18"/>
                <w:color w:val="212529"/>
                <w:spacing w:val="-2"/>
              </w:rPr>
              <w:t>9.22</w:t>
            </w:r>
          </w:p>
        </w:tc>
        <w:tc>
          <w:tcPr>
            <w:tcW w:w="1274" w:type="dxa"/>
            <w:vAlign w:val="top"/>
          </w:tcPr>
          <w:p>
            <w:pPr>
              <w:ind w:right="23"/>
              <w:spacing w:before="138" w:line="183" w:lineRule="auto"/>
              <w:jc w:val="right"/>
              <w:rPr>
                <w:rFonts w:ascii="SimSun" w:hAnsi="SimSun" w:eastAsia="SimSun" w:cs="SimSun"/>
                <w:sz w:val="18"/>
                <w:szCs w:val="18"/>
              </w:rPr>
            </w:pPr>
            <w:r>
              <w:rPr>
                <w:rFonts w:ascii="SimSun" w:hAnsi="SimSun" w:eastAsia="SimSun" w:cs="SimSun"/>
                <w:sz w:val="18"/>
                <w:szCs w:val="18"/>
                <w:color w:val="212529"/>
                <w:spacing w:val="-2"/>
              </w:rPr>
              <w:t>9.22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40" w:line="184"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5"/>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2"/>
              </w:rPr>
              <w:t>4.17</w:t>
            </w:r>
          </w:p>
        </w:tc>
        <w:tc>
          <w:tcPr>
            <w:tcW w:w="1274" w:type="dxa"/>
            <w:vAlign w:val="top"/>
          </w:tcPr>
          <w:p>
            <w:pPr>
              <w:ind w:right="23"/>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2"/>
              </w:rPr>
              <w:t>4.17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43"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3"/>
              <w:spacing w:before="143"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274" w:type="dxa"/>
            <w:vAlign w:val="top"/>
          </w:tcPr>
          <w:p>
            <w:pPr>
              <w:ind w:right="21"/>
              <w:spacing w:before="143"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46"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3"/>
              <w:spacing w:before="146"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274" w:type="dxa"/>
            <w:vAlign w:val="top"/>
          </w:tcPr>
          <w:p>
            <w:pPr>
              <w:ind w:right="21"/>
              <w:spacing w:before="146"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0" w:hRule="atLeast"/>
        </w:trPr>
        <w:tc>
          <w:tcPr>
            <w:tcW w:w="1431" w:type="dxa"/>
            <w:vAlign w:val="top"/>
          </w:tcPr>
          <w:p>
            <w:pPr>
              <w:ind w:left="9"/>
              <w:spacing w:before="148"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3"/>
              <w:spacing w:before="148"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274" w:type="dxa"/>
            <w:vAlign w:val="top"/>
          </w:tcPr>
          <w:p>
            <w:pPr>
              <w:ind w:right="21"/>
              <w:spacing w:before="148" w:line="184" w:lineRule="auto"/>
              <w:jc w:val="right"/>
              <w:rPr>
                <w:rFonts w:ascii="SimSun" w:hAnsi="SimSun" w:eastAsia="SimSun" w:cs="SimSun"/>
                <w:sz w:val="18"/>
                <w:szCs w:val="18"/>
              </w:rPr>
            </w:pPr>
            <w:r>
              <w:rPr>
                <w:rFonts w:ascii="SimSun" w:hAnsi="SimSun" w:eastAsia="SimSun" w:cs="SimSun"/>
                <w:sz w:val="18"/>
                <w:szCs w:val="18"/>
                <w:color w:val="212529"/>
                <w:spacing w:val="-4"/>
              </w:rPr>
              <w:t>13.41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3"/>
          <w:footerReference w:type="default" r:id="rId14"/>
          <w:pgSz w:w="16840" w:h="11900"/>
          <w:pgMar w:top="610" w:right="86" w:bottom="311" w:left="0" w:header="357" w:footer="153" w:gutter="0"/>
        </w:sectPr>
        <w:rPr/>
      </w:pPr>
    </w:p>
    <w:p>
      <w:pPr>
        <w:spacing w:before="119"/>
        <w:rPr/>
      </w:pPr>
      <w:r>
        <w:pict>
          <v:shape id="_x0000_s146" style="position:absolute;margin-left:68.2717pt;margin-top:58.2865pt;mso-position-vertical-relative:page;mso-position-horizontal-relative:page;width:128.4pt;height:10.85pt;z-index:2516623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8" w:id="44"/>
                  <w:bookmarkEnd w:id="44"/>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19"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7"/>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3"/>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6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4"/>
              <w:spacing w:before="97"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1339" w:type="dxa"/>
            <w:vAlign w:val="top"/>
          </w:tcPr>
          <w:p>
            <w:pPr>
              <w:pStyle w:val="TableText"/>
              <w:ind w:left="841"/>
              <w:spacing w:before="97" w:line="186" w:lineRule="auto"/>
              <w:rPr>
                <w:sz w:val="13"/>
                <w:szCs w:val="13"/>
              </w:rPr>
            </w:pPr>
            <w:r>
              <w:rPr>
                <w:sz w:val="13"/>
                <w:szCs w:val="13"/>
                <w:color w:val="212529"/>
                <w:spacing w:val="4"/>
              </w:rPr>
              <w:t>161.</w:t>
            </w:r>
            <w:r>
              <w:rPr>
                <w:sz w:val="13"/>
                <w:szCs w:val="13"/>
                <w:color w:val="212529"/>
                <w:spacing w:val="4"/>
              </w:rPr>
              <w:t xml:space="preserve"> </w:t>
            </w:r>
            <w:r>
              <w:rPr>
                <w:sz w:val="13"/>
                <w:szCs w:val="13"/>
                <w:color w:val="212529"/>
                <w:spacing w:val="4"/>
              </w:rPr>
              <w:t>80</w:t>
            </w:r>
          </w:p>
        </w:tc>
        <w:tc>
          <w:tcPr>
            <w:tcW w:w="1345" w:type="dxa"/>
            <w:vAlign w:val="top"/>
          </w:tcPr>
          <w:p>
            <w:pPr>
              <w:pStyle w:val="TableText"/>
              <w:ind w:left="835"/>
              <w:spacing w:before="97" w:line="186" w:lineRule="auto"/>
              <w:rPr>
                <w:sz w:val="13"/>
                <w:szCs w:val="13"/>
              </w:rPr>
            </w:pPr>
            <w:r>
              <w:rPr>
                <w:sz w:val="13"/>
                <w:szCs w:val="13"/>
                <w:color w:val="212529"/>
                <w:spacing w:val="4"/>
              </w:rPr>
              <w:t>377.</w:t>
            </w:r>
            <w:r>
              <w:rPr>
                <w:sz w:val="13"/>
                <w:szCs w:val="13"/>
                <w:color w:val="212529"/>
                <w:spacing w:val="13"/>
                <w:w w:val="102"/>
              </w:rPr>
              <w:t xml:space="preserve"> </w:t>
            </w:r>
            <w:r>
              <w:rPr>
                <w:sz w:val="13"/>
                <w:szCs w:val="13"/>
                <w:color w:val="212529"/>
                <w:spacing w:val="4"/>
              </w:rPr>
              <w:t>62</w:t>
            </w:r>
          </w:p>
        </w:tc>
      </w:tr>
      <w:tr>
        <w:trPr>
          <w:trHeight w:val="314" w:hRule="atLeast"/>
        </w:trPr>
        <w:tc>
          <w:tcPr>
            <w:tcW w:w="1755"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482.46</w:t>
            </w:r>
          </w:p>
        </w:tc>
        <w:tc>
          <w:tcPr>
            <w:tcW w:w="1339" w:type="dxa"/>
            <w:vAlign w:val="top"/>
          </w:tcPr>
          <w:p>
            <w:pPr>
              <w:pStyle w:val="TableText"/>
              <w:ind w:left="841"/>
              <w:spacing w:before="97" w:line="162" w:lineRule="auto"/>
              <w:rPr>
                <w:sz w:val="15"/>
                <w:szCs w:val="15"/>
              </w:rPr>
            </w:pPr>
            <w:r>
              <w:rPr>
                <w:sz w:val="15"/>
                <w:szCs w:val="15"/>
                <w:color w:val="212529"/>
                <w:spacing w:val="1"/>
              </w:rPr>
              <w:t>104.84</w:t>
            </w:r>
          </w:p>
        </w:tc>
        <w:tc>
          <w:tcPr>
            <w:tcW w:w="1345" w:type="dxa"/>
            <w:vAlign w:val="top"/>
          </w:tcPr>
          <w:p>
            <w:pPr>
              <w:pStyle w:val="TableText"/>
              <w:ind w:left="835"/>
              <w:spacing w:before="97" w:line="186" w:lineRule="auto"/>
              <w:rPr>
                <w:sz w:val="13"/>
                <w:szCs w:val="13"/>
              </w:rPr>
            </w:pPr>
            <w:r>
              <w:rPr>
                <w:sz w:val="13"/>
                <w:szCs w:val="13"/>
                <w:color w:val="212529"/>
                <w:spacing w:val="4"/>
              </w:rPr>
              <w:t>377.</w:t>
            </w:r>
            <w:r>
              <w:rPr>
                <w:sz w:val="13"/>
                <w:szCs w:val="13"/>
                <w:color w:val="212529"/>
                <w:spacing w:val="13"/>
                <w:w w:val="102"/>
              </w:rPr>
              <w:t xml:space="preserve"> </w:t>
            </w:r>
            <w:r>
              <w:rPr>
                <w:sz w:val="13"/>
                <w:szCs w:val="13"/>
                <w:color w:val="212529"/>
                <w:spacing w:val="4"/>
              </w:rPr>
              <w:t>62</w:t>
            </w:r>
          </w:p>
        </w:tc>
      </w:tr>
      <w:tr>
        <w:trPr>
          <w:trHeight w:val="314" w:hRule="atLeast"/>
        </w:trPr>
        <w:tc>
          <w:tcPr>
            <w:tcW w:w="1755"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326" w:type="dxa"/>
            <w:vAlign w:val="top"/>
          </w:tcPr>
          <w:p>
            <w:pPr>
              <w:ind w:left="1"/>
              <w:spacing w:before="7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448.46</w:t>
            </w:r>
          </w:p>
        </w:tc>
        <w:tc>
          <w:tcPr>
            <w:tcW w:w="1339" w:type="dxa"/>
            <w:vAlign w:val="top"/>
          </w:tcPr>
          <w:p>
            <w:pPr>
              <w:pStyle w:val="TableText"/>
              <w:ind w:left="841"/>
              <w:spacing w:before="97" w:line="162" w:lineRule="auto"/>
              <w:rPr>
                <w:sz w:val="15"/>
                <w:szCs w:val="15"/>
              </w:rPr>
            </w:pPr>
            <w:r>
              <w:rPr>
                <w:sz w:val="15"/>
                <w:szCs w:val="15"/>
                <w:color w:val="212529"/>
                <w:spacing w:val="1"/>
              </w:rPr>
              <w:t>104.84</w:t>
            </w:r>
          </w:p>
        </w:tc>
        <w:tc>
          <w:tcPr>
            <w:tcW w:w="1345" w:type="dxa"/>
            <w:vAlign w:val="top"/>
          </w:tcPr>
          <w:p>
            <w:pPr>
              <w:pStyle w:val="TableText"/>
              <w:ind w:left="835"/>
              <w:spacing w:before="97" w:line="186" w:lineRule="auto"/>
              <w:rPr>
                <w:sz w:val="13"/>
                <w:szCs w:val="13"/>
              </w:rPr>
            </w:pPr>
            <w:r>
              <w:rPr>
                <w:sz w:val="13"/>
                <w:szCs w:val="13"/>
                <w:color w:val="212529"/>
                <w:spacing w:val="4"/>
              </w:rPr>
              <w:t>343.</w:t>
            </w:r>
            <w:r>
              <w:rPr>
                <w:sz w:val="13"/>
                <w:szCs w:val="13"/>
                <w:color w:val="212529"/>
                <w:spacing w:val="13"/>
                <w:w w:val="102"/>
              </w:rPr>
              <w:t xml:space="preserve"> </w:t>
            </w:r>
            <w:r>
              <w:rPr>
                <w:sz w:val="13"/>
                <w:szCs w:val="13"/>
                <w:color w:val="212529"/>
                <w:spacing w:val="4"/>
              </w:rPr>
              <w:t>62</w:t>
            </w:r>
          </w:p>
        </w:tc>
      </w:tr>
      <w:tr>
        <w:trPr>
          <w:trHeight w:val="314" w:hRule="atLeast"/>
        </w:trPr>
        <w:tc>
          <w:tcPr>
            <w:tcW w:w="1755"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326"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339" w:type="dxa"/>
            <w:vAlign w:val="top"/>
          </w:tcPr>
          <w:p>
            <w:pPr>
              <w:ind w:right="20"/>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345" w:type="dxa"/>
            <w:vAlign w:val="top"/>
          </w:tcPr>
          <w:p>
            <w:pPr>
              <w:pStyle w:val="TableText"/>
              <w:rPr/>
            </w:pPr>
            <w:r/>
          </w:p>
        </w:tc>
      </w:tr>
      <w:tr>
        <w:trPr>
          <w:trHeight w:val="314" w:hRule="atLeast"/>
        </w:trPr>
        <w:tc>
          <w:tcPr>
            <w:tcW w:w="1755"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2010399</w:t>
            </w:r>
          </w:p>
        </w:tc>
        <w:tc>
          <w:tcPr>
            <w:tcW w:w="3326" w:type="dxa"/>
            <w:vAlign w:val="top"/>
          </w:tcPr>
          <w:p>
            <w:pPr>
              <w:spacing w:before="79"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4"/>
              </w:rPr>
              <w:t>343.62</w:t>
            </w:r>
          </w:p>
        </w:tc>
        <w:tc>
          <w:tcPr>
            <w:tcW w:w="1339" w:type="dxa"/>
            <w:vAlign w:val="top"/>
          </w:tcPr>
          <w:p>
            <w:pPr>
              <w:pStyle w:val="TableText"/>
              <w:rPr/>
            </w:pPr>
            <w:r/>
          </w:p>
        </w:tc>
        <w:tc>
          <w:tcPr>
            <w:tcW w:w="1345" w:type="dxa"/>
            <w:vAlign w:val="top"/>
          </w:tcPr>
          <w:p>
            <w:pPr>
              <w:ind w:left="835"/>
              <w:spacing w:before="104" w:line="190" w:lineRule="auto"/>
              <w:rPr>
                <w:rFonts w:ascii="SimSun" w:hAnsi="SimSun" w:eastAsia="SimSun" w:cs="SimSun"/>
                <w:sz w:val="15"/>
                <w:szCs w:val="15"/>
              </w:rPr>
            </w:pPr>
            <w:r>
              <w:rPr>
                <w:rFonts w:ascii="SimSun" w:hAnsi="SimSun" w:eastAsia="SimSun" w:cs="SimSun"/>
                <w:sz w:val="15"/>
                <w:szCs w:val="15"/>
                <w:color w:val="212529"/>
                <w:spacing w:val="4"/>
              </w:rPr>
              <w:t>343.62</w:t>
            </w:r>
          </w:p>
        </w:tc>
      </w:tr>
      <w:tr>
        <w:trPr>
          <w:trHeight w:val="314" w:hRule="atLeast"/>
        </w:trPr>
        <w:tc>
          <w:tcPr>
            <w:tcW w:w="1755"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20105</w:t>
            </w:r>
          </w:p>
        </w:tc>
        <w:tc>
          <w:tcPr>
            <w:tcW w:w="3326" w:type="dxa"/>
            <w:vAlign w:val="top"/>
          </w:tcPr>
          <w:p>
            <w:pPr>
              <w:ind w:left="2"/>
              <w:spacing w:before="79"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393" w:type="dxa"/>
            <w:vAlign w:val="top"/>
          </w:tcPr>
          <w:p>
            <w:pPr>
              <w:ind w:right="22"/>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339" w:type="dxa"/>
            <w:vAlign w:val="top"/>
          </w:tcPr>
          <w:p>
            <w:pPr>
              <w:pStyle w:val="TableText"/>
              <w:rPr/>
            </w:pPr>
            <w:r/>
          </w:p>
        </w:tc>
        <w:tc>
          <w:tcPr>
            <w:tcW w:w="1345" w:type="dxa"/>
            <w:vAlign w:val="top"/>
          </w:tcPr>
          <w:p>
            <w:pPr>
              <w:pStyle w:val="TableText"/>
              <w:ind w:left="997"/>
              <w:spacing w:before="99"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2010507</w:t>
            </w:r>
          </w:p>
        </w:tc>
        <w:tc>
          <w:tcPr>
            <w:tcW w:w="3326" w:type="dxa"/>
            <w:vAlign w:val="top"/>
          </w:tcPr>
          <w:p>
            <w:pPr>
              <w:ind w:left="1"/>
              <w:spacing w:before="80"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393" w:type="dxa"/>
            <w:vAlign w:val="top"/>
          </w:tcPr>
          <w:p>
            <w:pPr>
              <w:ind w:right="22"/>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339" w:type="dxa"/>
            <w:vAlign w:val="top"/>
          </w:tcPr>
          <w:p>
            <w:pPr>
              <w:pStyle w:val="TableText"/>
              <w:rPr/>
            </w:pPr>
            <w:r/>
          </w:p>
        </w:tc>
        <w:tc>
          <w:tcPr>
            <w:tcW w:w="1345" w:type="dxa"/>
            <w:vAlign w:val="top"/>
          </w:tcPr>
          <w:p>
            <w:pPr>
              <w:ind w:left="997"/>
              <w:spacing w:before="105" w:line="190" w:lineRule="auto"/>
              <w:rPr>
                <w:rFonts w:ascii="SimSun" w:hAnsi="SimSun" w:eastAsia="SimSun" w:cs="SimSun"/>
                <w:sz w:val="15"/>
                <w:szCs w:val="15"/>
              </w:rPr>
            </w:pPr>
            <w:r>
              <w:rPr>
                <w:rFonts w:ascii="SimSun" w:hAnsi="SimSun" w:eastAsia="SimSun" w:cs="SimSun"/>
                <w:sz w:val="15"/>
                <w:szCs w:val="15"/>
                <w:color w:val="212529"/>
                <w:spacing w:val="3"/>
              </w:rPr>
              <w:t>3.00</w:t>
            </w:r>
          </w:p>
        </w:tc>
      </w:tr>
      <w:tr>
        <w:trPr>
          <w:trHeight w:val="314" w:hRule="atLeast"/>
        </w:trPr>
        <w:tc>
          <w:tcPr>
            <w:tcW w:w="1755"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20136</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3"/>
              </w:rPr>
              <w:t>31.00</w:t>
            </w:r>
          </w:p>
        </w:tc>
        <w:tc>
          <w:tcPr>
            <w:tcW w:w="1339" w:type="dxa"/>
            <w:vAlign w:val="top"/>
          </w:tcPr>
          <w:p>
            <w:pPr>
              <w:pStyle w:val="TableText"/>
              <w:rPr/>
            </w:pPr>
            <w:r/>
          </w:p>
        </w:tc>
        <w:tc>
          <w:tcPr>
            <w:tcW w:w="1345" w:type="dxa"/>
            <w:vAlign w:val="top"/>
          </w:tcPr>
          <w:p>
            <w:pPr>
              <w:pStyle w:val="TableText"/>
              <w:ind w:left="916"/>
              <w:spacing w:before="99" w:line="187" w:lineRule="auto"/>
              <w:rPr>
                <w:sz w:val="13"/>
                <w:szCs w:val="13"/>
              </w:rPr>
            </w:pPr>
            <w:r>
              <w:rPr>
                <w:sz w:val="13"/>
                <w:szCs w:val="13"/>
                <w:color w:val="212529"/>
                <w:spacing w:val="3"/>
              </w:rPr>
              <w:t>31.</w:t>
            </w:r>
            <w:r>
              <w:rPr>
                <w:sz w:val="13"/>
                <w:szCs w:val="13"/>
                <w:color w:val="212529"/>
                <w:spacing w:val="15"/>
                <w:w w:val="101"/>
              </w:rPr>
              <w:t xml:space="preserve"> </w:t>
            </w:r>
            <w:r>
              <w:rPr>
                <w:sz w:val="13"/>
                <w:szCs w:val="13"/>
                <w:color w:val="212529"/>
                <w:spacing w:val="3"/>
              </w:rPr>
              <w:t>00</w:t>
            </w:r>
          </w:p>
        </w:tc>
      </w:tr>
      <w:tr>
        <w:trPr>
          <w:trHeight w:val="314" w:hRule="atLeast"/>
        </w:trPr>
        <w:tc>
          <w:tcPr>
            <w:tcW w:w="1755"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2013699</w:t>
            </w:r>
          </w:p>
        </w:tc>
        <w:tc>
          <w:tcPr>
            <w:tcW w:w="3326"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3"/>
              </w:rPr>
              <w:t>31.00</w:t>
            </w:r>
          </w:p>
        </w:tc>
        <w:tc>
          <w:tcPr>
            <w:tcW w:w="1339" w:type="dxa"/>
            <w:vAlign w:val="top"/>
          </w:tcPr>
          <w:p>
            <w:pPr>
              <w:pStyle w:val="TableText"/>
              <w:rPr/>
            </w:pPr>
            <w:r/>
          </w:p>
        </w:tc>
        <w:tc>
          <w:tcPr>
            <w:tcW w:w="1345" w:type="dxa"/>
            <w:vAlign w:val="top"/>
          </w:tcPr>
          <w:p>
            <w:pPr>
              <w:ind w:left="916"/>
              <w:spacing w:before="104" w:line="191" w:lineRule="auto"/>
              <w:rPr>
                <w:rFonts w:ascii="SimSun" w:hAnsi="SimSun" w:eastAsia="SimSun" w:cs="SimSun"/>
                <w:sz w:val="15"/>
                <w:szCs w:val="15"/>
              </w:rPr>
            </w:pPr>
            <w:r>
              <w:rPr>
                <w:rFonts w:ascii="SimSun" w:hAnsi="SimSun" w:eastAsia="SimSun" w:cs="SimSun"/>
                <w:sz w:val="15"/>
                <w:szCs w:val="15"/>
                <w:color w:val="212529"/>
                <w:spacing w:val="3"/>
              </w:rPr>
              <w:t>31.00</w:t>
            </w:r>
          </w:p>
        </w:tc>
      </w:tr>
      <w:tr>
        <w:trPr>
          <w:trHeight w:val="314" w:hRule="atLeast"/>
        </w:trPr>
        <w:tc>
          <w:tcPr>
            <w:tcW w:w="1755"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26"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3"/>
              </w:rPr>
              <w:t>30.16</w:t>
            </w:r>
          </w:p>
        </w:tc>
        <w:tc>
          <w:tcPr>
            <w:tcW w:w="1339" w:type="dxa"/>
            <w:vAlign w:val="top"/>
          </w:tcPr>
          <w:p>
            <w:pPr>
              <w:pStyle w:val="TableText"/>
              <w:ind w:left="914"/>
              <w:spacing w:before="99" w:line="187" w:lineRule="auto"/>
              <w:rPr>
                <w:sz w:val="13"/>
                <w:szCs w:val="13"/>
              </w:rPr>
            </w:pPr>
            <w:r>
              <w:rPr>
                <w:sz w:val="13"/>
                <w:szCs w:val="13"/>
                <w:color w:val="212529"/>
                <w:spacing w:val="4"/>
              </w:rPr>
              <w:t>30.</w:t>
            </w:r>
            <w:r>
              <w:rPr>
                <w:sz w:val="13"/>
                <w:szCs w:val="13"/>
                <w:color w:val="212529"/>
                <w:spacing w:val="10"/>
                <w:w w:val="101"/>
              </w:rPr>
              <w:t xml:space="preserve"> </w:t>
            </w:r>
            <w:r>
              <w:rPr>
                <w:sz w:val="13"/>
                <w:szCs w:val="13"/>
                <w:color w:val="212529"/>
                <w:spacing w:val="4"/>
              </w:rPr>
              <w:t>16</w:t>
            </w:r>
          </w:p>
        </w:tc>
        <w:tc>
          <w:tcPr>
            <w:tcW w:w="1345" w:type="dxa"/>
            <w:vAlign w:val="top"/>
          </w:tcPr>
          <w:p>
            <w:pPr>
              <w:pStyle w:val="TableText"/>
              <w:rPr/>
            </w:pPr>
            <w:r/>
          </w:p>
        </w:tc>
      </w:tr>
      <w:tr>
        <w:trPr>
          <w:trHeight w:val="314" w:hRule="atLeast"/>
        </w:trPr>
        <w:tc>
          <w:tcPr>
            <w:tcW w:w="1755"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26"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29.77</w:t>
            </w:r>
          </w:p>
        </w:tc>
        <w:tc>
          <w:tcPr>
            <w:tcW w:w="1339" w:type="dxa"/>
            <w:vAlign w:val="top"/>
          </w:tcPr>
          <w:p>
            <w:pPr>
              <w:pStyle w:val="TableText"/>
              <w:ind w:left="912"/>
              <w:spacing w:before="100" w:line="186" w:lineRule="auto"/>
              <w:rPr>
                <w:sz w:val="13"/>
                <w:szCs w:val="13"/>
              </w:rPr>
            </w:pPr>
            <w:r>
              <w:rPr>
                <w:sz w:val="13"/>
                <w:szCs w:val="13"/>
                <w:color w:val="212529"/>
                <w:spacing w:val="4"/>
              </w:rPr>
              <w:t>29.</w:t>
            </w:r>
            <w:r>
              <w:rPr>
                <w:sz w:val="13"/>
                <w:szCs w:val="13"/>
                <w:color w:val="212529"/>
                <w:spacing w:val="10"/>
                <w:w w:val="101"/>
              </w:rPr>
              <w:t xml:space="preserve"> </w:t>
            </w:r>
            <w:r>
              <w:rPr>
                <w:sz w:val="13"/>
                <w:szCs w:val="13"/>
                <w:color w:val="212529"/>
                <w:spacing w:val="4"/>
              </w:rPr>
              <w:t>77</w:t>
            </w:r>
          </w:p>
        </w:tc>
        <w:tc>
          <w:tcPr>
            <w:tcW w:w="1345" w:type="dxa"/>
            <w:vAlign w:val="top"/>
          </w:tcPr>
          <w:p>
            <w:pPr>
              <w:pStyle w:val="TableText"/>
              <w:rPr/>
            </w:pPr>
            <w:r/>
          </w:p>
        </w:tc>
      </w:tr>
      <w:tr>
        <w:trPr>
          <w:trHeight w:val="314" w:hRule="atLeast"/>
        </w:trPr>
        <w:tc>
          <w:tcPr>
            <w:tcW w:w="1755"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326"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339" w:type="dxa"/>
            <w:vAlign w:val="top"/>
          </w:tcPr>
          <w:p>
            <w:pPr>
              <w:ind w:right="20"/>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345" w:type="dxa"/>
            <w:vAlign w:val="top"/>
          </w:tcPr>
          <w:p>
            <w:pPr>
              <w:pStyle w:val="TableText"/>
              <w:rPr/>
            </w:pPr>
            <w:r/>
          </w:p>
        </w:tc>
      </w:tr>
      <w:tr>
        <w:trPr>
          <w:trHeight w:val="314" w:hRule="atLeast"/>
        </w:trPr>
        <w:tc>
          <w:tcPr>
            <w:tcW w:w="1755"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339" w:type="dxa"/>
            <w:vAlign w:val="top"/>
          </w:tcPr>
          <w:p>
            <w:pPr>
              <w:ind w:right="20"/>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345" w:type="dxa"/>
            <w:vAlign w:val="top"/>
          </w:tcPr>
          <w:p>
            <w:pPr>
              <w:pStyle w:val="TableText"/>
              <w:rPr/>
            </w:pPr>
            <w:r/>
          </w:p>
        </w:tc>
      </w:tr>
      <w:tr>
        <w:trPr>
          <w:trHeight w:val="314" w:hRule="atLeast"/>
        </w:trPr>
        <w:tc>
          <w:tcPr>
            <w:tcW w:w="1755"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339" w:type="dxa"/>
            <w:vAlign w:val="top"/>
          </w:tcPr>
          <w:p>
            <w:pPr>
              <w:ind w:right="20"/>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345" w:type="dxa"/>
            <w:vAlign w:val="top"/>
          </w:tcPr>
          <w:p>
            <w:pPr>
              <w:pStyle w:val="TableText"/>
              <w:rPr/>
            </w:pPr>
            <w:r/>
          </w:p>
        </w:tc>
      </w:tr>
      <w:tr>
        <w:trPr>
          <w:trHeight w:val="314" w:hRule="atLeast"/>
        </w:trPr>
        <w:tc>
          <w:tcPr>
            <w:tcW w:w="1755"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339" w:type="dxa"/>
            <w:vAlign w:val="top"/>
          </w:tcPr>
          <w:p>
            <w:pPr>
              <w:pStyle w:val="TableText"/>
              <w:ind w:left="993"/>
              <w:spacing w:before="102"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38</w:t>
            </w:r>
          </w:p>
        </w:tc>
        <w:tc>
          <w:tcPr>
            <w:tcW w:w="1345" w:type="dxa"/>
            <w:vAlign w:val="top"/>
          </w:tcPr>
          <w:p>
            <w:pPr>
              <w:pStyle w:val="TableText"/>
              <w:rPr/>
            </w:pPr>
            <w:r/>
          </w:p>
        </w:tc>
      </w:tr>
      <w:tr>
        <w:trPr>
          <w:trHeight w:val="314" w:hRule="atLeast"/>
        </w:trPr>
        <w:tc>
          <w:tcPr>
            <w:tcW w:w="1755" w:type="dxa"/>
            <w:vAlign w:val="top"/>
          </w:tcPr>
          <w:p>
            <w:pPr>
              <w:ind w:left="8"/>
              <w:spacing w:before="108"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339" w:type="dxa"/>
            <w:vAlign w:val="top"/>
          </w:tcPr>
          <w:p>
            <w:pPr>
              <w:ind w:right="20"/>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345" w:type="dxa"/>
            <w:vAlign w:val="top"/>
          </w:tcPr>
          <w:p>
            <w:pPr>
              <w:pStyle w:val="TableText"/>
              <w:rPr/>
            </w:pPr>
            <w:r/>
          </w:p>
        </w:tc>
      </w:tr>
      <w:tr>
        <w:trPr>
          <w:trHeight w:val="314" w:hRule="atLeast"/>
        </w:trPr>
        <w:tc>
          <w:tcPr>
            <w:tcW w:w="1755"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26"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339" w:type="dxa"/>
            <w:vAlign w:val="top"/>
          </w:tcPr>
          <w:p>
            <w:pPr>
              <w:pStyle w:val="TableText"/>
              <w:ind w:left="922"/>
              <w:spacing w:before="102" w:line="162" w:lineRule="auto"/>
              <w:rPr>
                <w:sz w:val="15"/>
                <w:szCs w:val="15"/>
              </w:rPr>
            </w:pPr>
            <w:r>
              <w:rPr>
                <w:sz w:val="15"/>
                <w:szCs w:val="15"/>
                <w:color w:val="212529"/>
                <w:spacing w:val="1"/>
              </w:rPr>
              <w:t>13.39</w:t>
            </w:r>
          </w:p>
        </w:tc>
        <w:tc>
          <w:tcPr>
            <w:tcW w:w="1345" w:type="dxa"/>
            <w:vAlign w:val="top"/>
          </w:tcPr>
          <w:p>
            <w:pPr>
              <w:pStyle w:val="TableText"/>
              <w:rPr/>
            </w:pPr>
            <w:r/>
          </w:p>
        </w:tc>
      </w:tr>
      <w:tr>
        <w:trPr>
          <w:trHeight w:val="314" w:hRule="atLeast"/>
        </w:trPr>
        <w:tc>
          <w:tcPr>
            <w:tcW w:w="1755"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26" w:type="dxa"/>
            <w:vAlign w:val="top"/>
          </w:tcPr>
          <w:p>
            <w:pPr>
              <w:ind w:left="1"/>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339" w:type="dxa"/>
            <w:vAlign w:val="top"/>
          </w:tcPr>
          <w:p>
            <w:pPr>
              <w:pStyle w:val="TableText"/>
              <w:ind w:left="922"/>
              <w:spacing w:before="102" w:line="162" w:lineRule="auto"/>
              <w:rPr>
                <w:sz w:val="15"/>
                <w:szCs w:val="15"/>
              </w:rPr>
            </w:pPr>
            <w:r>
              <w:rPr>
                <w:sz w:val="15"/>
                <w:szCs w:val="15"/>
                <w:color w:val="212529"/>
                <w:spacing w:val="1"/>
              </w:rPr>
              <w:t>13.39</w:t>
            </w:r>
          </w:p>
        </w:tc>
        <w:tc>
          <w:tcPr>
            <w:tcW w:w="1345" w:type="dxa"/>
            <w:vAlign w:val="top"/>
          </w:tcPr>
          <w:p>
            <w:pPr>
              <w:pStyle w:val="TableText"/>
              <w:rPr/>
            </w:pPr>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26"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9.22</w:t>
            </w:r>
          </w:p>
        </w:tc>
        <w:tc>
          <w:tcPr>
            <w:tcW w:w="1339" w:type="dxa"/>
            <w:vAlign w:val="top"/>
          </w:tcPr>
          <w:p>
            <w:pPr>
              <w:ind w:right="20"/>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9.22</w:t>
            </w:r>
          </w:p>
        </w:tc>
        <w:tc>
          <w:tcPr>
            <w:tcW w:w="1345" w:type="dxa"/>
            <w:vAlign w:val="top"/>
          </w:tcPr>
          <w:p>
            <w:pPr>
              <w:pStyle w:val="TableText"/>
              <w:rPr/>
            </w:pPr>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326"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339" w:type="dxa"/>
            <w:vAlign w:val="top"/>
          </w:tcPr>
          <w:p>
            <w:pPr>
              <w:ind w:right="20"/>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345" w:type="dxa"/>
            <w:vAlign w:val="top"/>
          </w:tcPr>
          <w:p>
            <w:pPr>
              <w:pStyle w:val="TableText"/>
              <w:rPr/>
            </w:pPr>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39" w:type="dxa"/>
            <w:vAlign w:val="top"/>
          </w:tcPr>
          <w:p>
            <w:pPr>
              <w:pStyle w:val="TableText"/>
              <w:ind w:left="922"/>
              <w:spacing w:before="103" w:line="187" w:lineRule="auto"/>
              <w:rPr>
                <w:sz w:val="13"/>
                <w:szCs w:val="13"/>
              </w:rPr>
            </w:pPr>
            <w:r>
              <w:rPr>
                <w:sz w:val="13"/>
                <w:szCs w:val="13"/>
                <w:color w:val="212529"/>
                <w:spacing w:val="1"/>
              </w:rPr>
              <w:t>13.</w:t>
            </w:r>
            <w:r>
              <w:rPr>
                <w:sz w:val="13"/>
                <w:szCs w:val="13"/>
                <w:color w:val="212529"/>
                <w:spacing w:val="9"/>
              </w:rPr>
              <w:t xml:space="preserve"> </w:t>
            </w:r>
            <w:r>
              <w:rPr>
                <w:sz w:val="13"/>
                <w:szCs w:val="13"/>
                <w:color w:val="212529"/>
                <w:spacing w:val="1"/>
              </w:rPr>
              <w:t>41</w:t>
            </w:r>
          </w:p>
        </w:tc>
        <w:tc>
          <w:tcPr>
            <w:tcW w:w="1345" w:type="dxa"/>
            <w:vAlign w:val="top"/>
          </w:tcPr>
          <w:p>
            <w:pPr>
              <w:pStyle w:val="TableText"/>
              <w:rPr/>
            </w:pPr>
            <w:r/>
          </w:p>
        </w:tc>
      </w:tr>
      <w:tr>
        <w:trPr>
          <w:trHeight w:val="314" w:hRule="atLeast"/>
        </w:trPr>
        <w:tc>
          <w:tcPr>
            <w:tcW w:w="1755"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39" w:type="dxa"/>
            <w:vAlign w:val="top"/>
          </w:tcPr>
          <w:p>
            <w:pPr>
              <w:pStyle w:val="TableText"/>
              <w:ind w:left="922"/>
              <w:spacing w:before="104" w:line="186" w:lineRule="auto"/>
              <w:rPr>
                <w:sz w:val="13"/>
                <w:szCs w:val="13"/>
              </w:rPr>
            </w:pPr>
            <w:r>
              <w:rPr>
                <w:sz w:val="13"/>
                <w:szCs w:val="13"/>
                <w:color w:val="212529"/>
                <w:spacing w:val="1"/>
              </w:rPr>
              <w:t>13.</w:t>
            </w:r>
            <w:r>
              <w:rPr>
                <w:sz w:val="13"/>
                <w:szCs w:val="13"/>
                <w:color w:val="212529"/>
                <w:spacing w:val="9"/>
              </w:rPr>
              <w:t xml:space="preserve"> </w:t>
            </w:r>
            <w:r>
              <w:rPr>
                <w:sz w:val="13"/>
                <w:szCs w:val="13"/>
                <w:color w:val="212529"/>
                <w:spacing w:val="1"/>
              </w:rPr>
              <w:t>41</w:t>
            </w:r>
          </w:p>
        </w:tc>
        <w:tc>
          <w:tcPr>
            <w:tcW w:w="1345" w:type="dxa"/>
            <w:vAlign w:val="top"/>
          </w:tcPr>
          <w:p>
            <w:pPr>
              <w:pStyle w:val="TableText"/>
              <w:rPr/>
            </w:pPr>
            <w:r/>
          </w:p>
        </w:tc>
      </w:tr>
      <w:tr>
        <w:trPr>
          <w:trHeight w:val="319" w:hRule="atLeast"/>
        </w:trPr>
        <w:tc>
          <w:tcPr>
            <w:tcW w:w="1755"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39" w:type="dxa"/>
            <w:vAlign w:val="top"/>
          </w:tcPr>
          <w:p>
            <w:pPr>
              <w:ind w:right="20"/>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45" w:type="dxa"/>
            <w:vAlign w:val="top"/>
          </w:tcPr>
          <w:p>
            <w:pPr>
              <w:pStyle w:val="TableText"/>
              <w:rPr/>
            </w:pPr>
            <w:r/>
          </w:p>
        </w:tc>
      </w:tr>
    </w:tbl>
    <w:p>
      <w:pPr>
        <w:pStyle w:val="BodyText"/>
        <w:rPr/>
      </w:pPr>
      <w:r/>
    </w:p>
    <w:p>
      <w:pPr>
        <w:sectPr>
          <w:headerReference w:type="default" r:id="rId15"/>
          <w:footerReference w:type="default" r:id="rId16"/>
          <w:pgSz w:w="11900" w:h="16840"/>
          <w:pgMar w:top="610" w:right="86" w:bottom="312" w:left="0" w:header="357" w:footer="153" w:gutter="0"/>
        </w:sectPr>
        <w:rPr/>
      </w:pPr>
    </w:p>
    <w:p>
      <w:pPr>
        <w:spacing w:before="119"/>
        <w:rPr/>
      </w:pPr>
      <w:r>
        <w:pict>
          <v:shape id="_x0000_s164" style="position:absolute;margin-left:68.2717pt;margin-top:58.2865pt;mso-position-vertical-relative:page;mso-position-horizontal-relative:page;width:141.4pt;height:10.85pt;z-index:25166336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9" w:id="46"/>
                  <w:bookmarkEnd w:id="46"/>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79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3"/>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074" w:type="dxa"/>
            <w:vAlign w:val="top"/>
          </w:tcPr>
          <w:p>
            <w:pPr>
              <w:ind w:left="361" w:right="58"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539.42</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left="534"/>
              <w:spacing w:before="134" w:line="190" w:lineRule="auto"/>
              <w:rPr>
                <w:rFonts w:ascii="SimSun" w:hAnsi="SimSun" w:eastAsia="SimSun" w:cs="SimSun"/>
                <w:sz w:val="15"/>
                <w:szCs w:val="15"/>
              </w:rPr>
            </w:pPr>
            <w:r>
              <w:rPr>
                <w:rFonts w:ascii="SimSun" w:hAnsi="SimSun" w:eastAsia="SimSun" w:cs="SimSun"/>
                <w:sz w:val="15"/>
                <w:szCs w:val="15"/>
                <w:color w:val="212529"/>
                <w:spacing w:val="4"/>
              </w:rPr>
              <w:t>482.46</w:t>
            </w:r>
          </w:p>
        </w:tc>
        <w:tc>
          <w:tcPr>
            <w:tcW w:w="1069" w:type="dxa"/>
            <w:vAlign w:val="top"/>
          </w:tcPr>
          <w:p>
            <w:pPr>
              <w:ind w:right="17"/>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482.46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19"/>
              <w:spacing w:before="136" w:line="191" w:lineRule="auto"/>
              <w:rPr>
                <w:rFonts w:ascii="SimSun" w:hAnsi="SimSun" w:eastAsia="SimSun" w:cs="SimSun"/>
                <w:sz w:val="15"/>
                <w:szCs w:val="15"/>
              </w:rPr>
            </w:pPr>
            <w:r>
              <w:rPr>
                <w:rFonts w:ascii="SimSun" w:hAnsi="SimSun" w:eastAsia="SimSun" w:cs="SimSun"/>
                <w:sz w:val="15"/>
                <w:szCs w:val="15"/>
                <w:color w:val="212529"/>
                <w:spacing w:val="3"/>
              </w:rPr>
              <w:t>30.16</w:t>
            </w:r>
          </w:p>
        </w:tc>
        <w:tc>
          <w:tcPr>
            <w:tcW w:w="1069" w:type="dxa"/>
            <w:vAlign w:val="top"/>
          </w:tcPr>
          <w:p>
            <w:pPr>
              <w:ind w:right="17"/>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3"/>
              </w:rPr>
              <w:t>30.16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628"/>
              <w:spacing w:before="137" w:line="191" w:lineRule="auto"/>
              <w:rPr>
                <w:rFonts w:ascii="SimSun" w:hAnsi="SimSun" w:eastAsia="SimSun" w:cs="SimSun"/>
                <w:sz w:val="15"/>
                <w:szCs w:val="15"/>
              </w:rPr>
            </w:pPr>
            <w:r>
              <w:rPr>
                <w:rFonts w:ascii="SimSun" w:hAnsi="SimSun" w:eastAsia="SimSun" w:cs="SimSun"/>
                <w:sz w:val="15"/>
                <w:szCs w:val="15"/>
                <w:color w:val="212529"/>
                <w:spacing w:val="2"/>
              </w:rPr>
              <w:t>13.39</w:t>
            </w:r>
          </w:p>
        </w:tc>
        <w:tc>
          <w:tcPr>
            <w:tcW w:w="1069" w:type="dxa"/>
            <w:vAlign w:val="top"/>
          </w:tcPr>
          <w:p>
            <w:pPr>
              <w:ind w:right="17"/>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28"/>
              <w:spacing w:before="140" w:line="191" w:lineRule="auto"/>
              <w:rPr>
                <w:rFonts w:ascii="SimSun" w:hAnsi="SimSun" w:eastAsia="SimSun" w:cs="SimSun"/>
                <w:sz w:val="15"/>
                <w:szCs w:val="15"/>
              </w:rPr>
            </w:pPr>
            <w:r>
              <w:rPr>
                <w:rFonts w:ascii="SimSun" w:hAnsi="SimSun" w:eastAsia="SimSun" w:cs="SimSun"/>
                <w:sz w:val="15"/>
                <w:szCs w:val="15"/>
                <w:color w:val="212529"/>
                <w:spacing w:val="2"/>
              </w:rPr>
              <w:t>13.41</w:t>
            </w:r>
          </w:p>
        </w:tc>
        <w:tc>
          <w:tcPr>
            <w:tcW w:w="1069" w:type="dxa"/>
            <w:vAlign w:val="top"/>
          </w:tcPr>
          <w:p>
            <w:pPr>
              <w:ind w:right="17"/>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7"/>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7" w:line="186" w:lineRule="auto"/>
              <w:rPr>
                <w:sz w:val="13"/>
                <w:szCs w:val="13"/>
              </w:rPr>
            </w:pPr>
            <w:r>
              <w:rPr>
                <w:sz w:val="13"/>
                <w:szCs w:val="13"/>
                <w:color w:val="212529"/>
                <w:spacing w:val="4"/>
              </w:rPr>
              <w:t>539.</w:t>
            </w:r>
            <w:r>
              <w:rPr>
                <w:sz w:val="13"/>
                <w:szCs w:val="13"/>
                <w:color w:val="212529"/>
                <w:spacing w:val="14"/>
              </w:rPr>
              <w:t xml:space="preserve"> </w:t>
            </w:r>
            <w:r>
              <w:rPr>
                <w:sz w:val="13"/>
                <w:szCs w:val="13"/>
                <w:color w:val="212529"/>
                <w:spacing w:val="4"/>
              </w:rPr>
              <w:t>42</w:t>
            </w:r>
          </w:p>
        </w:tc>
        <w:tc>
          <w:tcPr>
            <w:tcW w:w="1069" w:type="dxa"/>
            <w:vAlign w:val="top"/>
          </w:tcPr>
          <w:p>
            <w:pPr>
              <w:pStyle w:val="TableText"/>
              <w:ind w:left="287"/>
              <w:spacing w:before="137"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10" w:right="86" w:bottom="311" w:left="0" w:header="357" w:footer="153" w:gutter="0"/>
        </w:sectPr>
        <w:rPr/>
      </w:pPr>
    </w:p>
    <w:p>
      <w:pPr>
        <w:spacing w:before="54"/>
        <w:rPr/>
      </w:pPr>
      <w:r/>
    </w:p>
    <w:p>
      <w:pPr>
        <w:spacing w:before="54"/>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539.</w:t>
            </w:r>
            <w:r>
              <w:rPr>
                <w:sz w:val="13"/>
                <w:szCs w:val="13"/>
                <w:color w:val="212529"/>
                <w:spacing w:val="14"/>
              </w:rPr>
              <w:t xml:space="preserve"> </w:t>
            </w:r>
            <w:r>
              <w:rPr>
                <w:sz w:val="13"/>
                <w:szCs w:val="13"/>
                <w:color w:val="212529"/>
                <w:spacing w:val="4"/>
              </w:rPr>
              <w:t>42</w:t>
            </w:r>
          </w:p>
        </w:tc>
        <w:tc>
          <w:tcPr>
            <w:tcW w:w="1069" w:type="dxa"/>
            <w:vAlign w:val="top"/>
          </w:tcPr>
          <w:p>
            <w:pPr>
              <w:pStyle w:val="TableText"/>
              <w:ind w:left="287"/>
              <w:spacing w:before="136"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9"/>
          <w:footerReference w:type="default" r:id="rId20"/>
          <w:pgSz w:w="11900" w:h="16840"/>
          <w:pgMar w:top="610" w:right="86" w:bottom="312" w:left="0" w:header="357" w:footer="153" w:gutter="0"/>
        </w:sectPr>
        <w:rPr/>
      </w:pPr>
    </w:p>
    <w:p>
      <w:pPr>
        <w:spacing w:before="119"/>
        <w:rPr/>
      </w:pPr>
      <w:r>
        <w:pict>
          <v:shape id="_x0000_s182" style="position:absolute;margin-left:68.2717pt;margin-top:58.2865pt;mso-position-vertical-relative:page;mso-position-horizontal-relative:page;width:212.75pt;height:10.85pt;z-index:25166540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1" w:id="49"/>
                  <w:bookmarkEnd w:id="49"/>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1"/>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3"/>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5"/>
              <w:spacing w:before="87" w:line="186" w:lineRule="auto"/>
              <w:rPr>
                <w:sz w:val="13"/>
                <w:szCs w:val="13"/>
              </w:rPr>
            </w:pPr>
            <w:r>
              <w:rPr>
                <w:sz w:val="13"/>
                <w:szCs w:val="13"/>
                <w:color w:val="212529"/>
                <w:spacing w:val="4"/>
              </w:rPr>
              <w:t>539.</w:t>
            </w:r>
            <w:r>
              <w:rPr>
                <w:sz w:val="13"/>
                <w:szCs w:val="13"/>
                <w:color w:val="212529"/>
                <w:spacing w:val="13"/>
                <w:w w:val="102"/>
              </w:rPr>
              <w:t xml:space="preserve"> </w:t>
            </w:r>
            <w:r>
              <w:rPr>
                <w:sz w:val="13"/>
                <w:szCs w:val="13"/>
                <w:color w:val="212529"/>
                <w:spacing w:val="4"/>
              </w:rPr>
              <w:t>42</w:t>
            </w:r>
          </w:p>
        </w:tc>
        <w:tc>
          <w:tcPr>
            <w:tcW w:w="1361" w:type="dxa"/>
            <w:vAlign w:val="top"/>
          </w:tcPr>
          <w:p>
            <w:pPr>
              <w:pStyle w:val="TableText"/>
              <w:ind w:left="866"/>
              <w:spacing w:before="87" w:line="186" w:lineRule="auto"/>
              <w:rPr>
                <w:sz w:val="13"/>
                <w:szCs w:val="13"/>
              </w:rPr>
            </w:pPr>
            <w:r>
              <w:rPr>
                <w:sz w:val="13"/>
                <w:szCs w:val="13"/>
                <w:color w:val="212529"/>
                <w:spacing w:val="3"/>
              </w:rPr>
              <w:t>161.</w:t>
            </w:r>
            <w:r>
              <w:rPr>
                <w:sz w:val="13"/>
                <w:szCs w:val="13"/>
                <w:color w:val="212529"/>
                <w:spacing w:val="12"/>
                <w:w w:val="101"/>
              </w:rPr>
              <w:t xml:space="preserve"> </w:t>
            </w:r>
            <w:r>
              <w:rPr>
                <w:sz w:val="13"/>
                <w:szCs w:val="13"/>
                <w:color w:val="212529"/>
                <w:spacing w:val="3"/>
              </w:rPr>
              <w:t>80</w:t>
            </w:r>
          </w:p>
        </w:tc>
        <w:tc>
          <w:tcPr>
            <w:tcW w:w="1409" w:type="dxa"/>
            <w:vAlign w:val="top"/>
          </w:tcPr>
          <w:p>
            <w:pPr>
              <w:pStyle w:val="TableText"/>
              <w:ind w:left="899"/>
              <w:spacing w:before="87" w:line="186" w:lineRule="auto"/>
              <w:rPr>
                <w:sz w:val="13"/>
                <w:szCs w:val="13"/>
              </w:rPr>
            </w:pPr>
            <w:r>
              <w:rPr>
                <w:sz w:val="13"/>
                <w:szCs w:val="13"/>
                <w:color w:val="212529"/>
                <w:spacing w:val="4"/>
              </w:rPr>
              <w:t>377.</w:t>
            </w:r>
            <w:r>
              <w:rPr>
                <w:sz w:val="13"/>
                <w:szCs w:val="13"/>
                <w:color w:val="212529"/>
                <w:spacing w:val="13"/>
                <w:w w:val="102"/>
              </w:rPr>
              <w:t xml:space="preserve"> </w:t>
            </w:r>
            <w:r>
              <w:rPr>
                <w:sz w:val="13"/>
                <w:szCs w:val="13"/>
                <w:color w:val="212529"/>
                <w:spacing w:val="4"/>
              </w:rPr>
              <w:t>62</w:t>
            </w:r>
          </w:p>
        </w:tc>
      </w:tr>
      <w:tr>
        <w:trPr>
          <w:trHeight w:val="292" w:hRule="atLeast"/>
        </w:trPr>
        <w:tc>
          <w:tcPr>
            <w:tcW w:w="1614"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294" w:type="dxa"/>
            <w:vAlign w:val="top"/>
          </w:tcPr>
          <w:p>
            <w:pPr>
              <w:ind w:left="4"/>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8"/>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482.46</w:t>
            </w:r>
          </w:p>
        </w:tc>
        <w:tc>
          <w:tcPr>
            <w:tcW w:w="1361" w:type="dxa"/>
            <w:vAlign w:val="top"/>
          </w:tcPr>
          <w:p>
            <w:pPr>
              <w:ind w:right="17"/>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409" w:type="dxa"/>
            <w:vAlign w:val="top"/>
          </w:tcPr>
          <w:p>
            <w:pPr>
              <w:ind w:left="899"/>
              <w:spacing w:before="93" w:line="190" w:lineRule="auto"/>
              <w:rPr>
                <w:rFonts w:ascii="SimSun" w:hAnsi="SimSun" w:eastAsia="SimSun" w:cs="SimSun"/>
                <w:sz w:val="15"/>
                <w:szCs w:val="15"/>
              </w:rPr>
            </w:pPr>
            <w:r>
              <w:rPr>
                <w:rFonts w:ascii="SimSun" w:hAnsi="SimSun" w:eastAsia="SimSun" w:cs="SimSun"/>
                <w:sz w:val="15"/>
                <w:szCs w:val="15"/>
                <w:color w:val="212529"/>
                <w:spacing w:val="4"/>
              </w:rPr>
              <w:t>377.62</w:t>
            </w:r>
          </w:p>
        </w:tc>
      </w:tr>
      <w:tr>
        <w:trPr>
          <w:trHeight w:val="292" w:hRule="atLeast"/>
        </w:trPr>
        <w:tc>
          <w:tcPr>
            <w:tcW w:w="1614"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294" w:type="dxa"/>
            <w:vAlign w:val="top"/>
          </w:tcPr>
          <w:p>
            <w:pPr>
              <w:ind w:left="3"/>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8"/>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448.46</w:t>
            </w:r>
          </w:p>
        </w:tc>
        <w:tc>
          <w:tcPr>
            <w:tcW w:w="1361" w:type="dxa"/>
            <w:vAlign w:val="top"/>
          </w:tcPr>
          <w:p>
            <w:pPr>
              <w:ind w:right="17"/>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409" w:type="dxa"/>
            <w:vAlign w:val="top"/>
          </w:tcPr>
          <w:p>
            <w:pPr>
              <w:ind w:left="899"/>
              <w:spacing w:before="94" w:line="190" w:lineRule="auto"/>
              <w:rPr>
                <w:rFonts w:ascii="SimSun" w:hAnsi="SimSun" w:eastAsia="SimSun" w:cs="SimSun"/>
                <w:sz w:val="15"/>
                <w:szCs w:val="15"/>
              </w:rPr>
            </w:pPr>
            <w:r>
              <w:rPr>
                <w:rFonts w:ascii="SimSun" w:hAnsi="SimSun" w:eastAsia="SimSun" w:cs="SimSun"/>
                <w:sz w:val="15"/>
                <w:szCs w:val="15"/>
                <w:color w:val="212529"/>
                <w:spacing w:val="4"/>
              </w:rPr>
              <w:t>343.62</w:t>
            </w:r>
          </w:p>
        </w:tc>
      </w:tr>
      <w:tr>
        <w:trPr>
          <w:trHeight w:val="292" w:hRule="atLeast"/>
        </w:trPr>
        <w:tc>
          <w:tcPr>
            <w:tcW w:w="1614"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8"/>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361" w:type="dxa"/>
            <w:vAlign w:val="top"/>
          </w:tcPr>
          <w:p>
            <w:pPr>
              <w:ind w:right="17"/>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104.84</w:t>
            </w:r>
          </w:p>
        </w:tc>
        <w:tc>
          <w:tcPr>
            <w:tcW w:w="1409" w:type="dxa"/>
            <w:vAlign w:val="top"/>
          </w:tcPr>
          <w:p>
            <w:pPr>
              <w:pStyle w:val="TableText"/>
              <w:rPr/>
            </w:pPr>
            <w:r/>
          </w:p>
        </w:tc>
      </w:tr>
      <w:tr>
        <w:trPr>
          <w:trHeight w:val="292" w:hRule="atLeast"/>
        </w:trPr>
        <w:tc>
          <w:tcPr>
            <w:tcW w:w="1614"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8"/>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343.62</w:t>
            </w:r>
          </w:p>
        </w:tc>
        <w:tc>
          <w:tcPr>
            <w:tcW w:w="1361" w:type="dxa"/>
            <w:vAlign w:val="top"/>
          </w:tcPr>
          <w:p>
            <w:pPr>
              <w:pStyle w:val="TableText"/>
              <w:rPr/>
            </w:pPr>
            <w:r/>
          </w:p>
        </w:tc>
        <w:tc>
          <w:tcPr>
            <w:tcW w:w="1409" w:type="dxa"/>
            <w:vAlign w:val="top"/>
          </w:tcPr>
          <w:p>
            <w:pPr>
              <w:ind w:left="899"/>
              <w:spacing w:before="95" w:line="190" w:lineRule="auto"/>
              <w:rPr>
                <w:rFonts w:ascii="SimSun" w:hAnsi="SimSun" w:eastAsia="SimSun" w:cs="SimSun"/>
                <w:sz w:val="15"/>
                <w:szCs w:val="15"/>
              </w:rPr>
            </w:pPr>
            <w:r>
              <w:rPr>
                <w:rFonts w:ascii="SimSun" w:hAnsi="SimSun" w:eastAsia="SimSun" w:cs="SimSun"/>
                <w:sz w:val="15"/>
                <w:szCs w:val="15"/>
                <w:color w:val="212529"/>
                <w:spacing w:val="4"/>
              </w:rPr>
              <w:t>343.62</w:t>
            </w:r>
          </w:p>
        </w:tc>
      </w:tr>
      <w:tr>
        <w:trPr>
          <w:trHeight w:val="292" w:hRule="atLeast"/>
        </w:trPr>
        <w:tc>
          <w:tcPr>
            <w:tcW w:w="1614"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20105</w:t>
            </w:r>
          </w:p>
        </w:tc>
        <w:tc>
          <w:tcPr>
            <w:tcW w:w="3294" w:type="dxa"/>
            <w:vAlign w:val="top"/>
          </w:tcPr>
          <w:p>
            <w:pPr>
              <w:ind w:left="4"/>
              <w:spacing w:before="71"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80" w:type="dxa"/>
            <w:vAlign w:val="top"/>
          </w:tcPr>
          <w:p>
            <w:pPr>
              <w:ind w:right="18"/>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361" w:type="dxa"/>
            <w:vAlign w:val="top"/>
          </w:tcPr>
          <w:p>
            <w:pPr>
              <w:pStyle w:val="TableText"/>
              <w:rPr/>
            </w:pPr>
            <w:r/>
          </w:p>
        </w:tc>
        <w:tc>
          <w:tcPr>
            <w:tcW w:w="1409" w:type="dxa"/>
            <w:vAlign w:val="top"/>
          </w:tcPr>
          <w:p>
            <w:pPr>
              <w:ind w:left="1061"/>
              <w:spacing w:before="96" w:line="190" w:lineRule="auto"/>
              <w:rPr>
                <w:rFonts w:ascii="SimSun" w:hAnsi="SimSun" w:eastAsia="SimSun" w:cs="SimSun"/>
                <w:sz w:val="15"/>
                <w:szCs w:val="15"/>
              </w:rPr>
            </w:pPr>
            <w:r>
              <w:rPr>
                <w:rFonts w:ascii="SimSun" w:hAnsi="SimSun" w:eastAsia="SimSun" w:cs="SimSun"/>
                <w:sz w:val="15"/>
                <w:szCs w:val="15"/>
                <w:color w:val="212529"/>
                <w:spacing w:val="3"/>
              </w:rPr>
              <w:t>3.00</w:t>
            </w:r>
          </w:p>
        </w:tc>
      </w:tr>
      <w:tr>
        <w:trPr>
          <w:trHeight w:val="292"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2010507</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80"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361" w:type="dxa"/>
            <w:vAlign w:val="top"/>
          </w:tcPr>
          <w:p>
            <w:pPr>
              <w:pStyle w:val="TableText"/>
              <w:rPr/>
            </w:pPr>
            <w:r/>
          </w:p>
        </w:tc>
        <w:tc>
          <w:tcPr>
            <w:tcW w:w="1409" w:type="dxa"/>
            <w:vAlign w:val="top"/>
          </w:tcPr>
          <w:p>
            <w:pPr>
              <w:ind w:left="1061"/>
              <w:spacing w:before="97" w:line="190" w:lineRule="auto"/>
              <w:rPr>
                <w:rFonts w:ascii="SimSun" w:hAnsi="SimSun" w:eastAsia="SimSun" w:cs="SimSun"/>
                <w:sz w:val="15"/>
                <w:szCs w:val="15"/>
              </w:rPr>
            </w:pPr>
            <w:r>
              <w:rPr>
                <w:rFonts w:ascii="SimSun" w:hAnsi="SimSun" w:eastAsia="SimSun" w:cs="SimSun"/>
                <w:sz w:val="15"/>
                <w:szCs w:val="15"/>
                <w:color w:val="212529"/>
                <w:spacing w:val="3"/>
              </w:rPr>
              <w:t>3.00</w:t>
            </w:r>
          </w:p>
        </w:tc>
      </w:tr>
      <w:tr>
        <w:trPr>
          <w:trHeight w:val="293"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20136</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8"/>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31.00</w:t>
            </w:r>
          </w:p>
        </w:tc>
        <w:tc>
          <w:tcPr>
            <w:tcW w:w="1361" w:type="dxa"/>
            <w:vAlign w:val="top"/>
          </w:tcPr>
          <w:p>
            <w:pPr>
              <w:pStyle w:val="TableText"/>
              <w:rPr/>
            </w:pPr>
            <w:r/>
          </w:p>
        </w:tc>
        <w:tc>
          <w:tcPr>
            <w:tcW w:w="1409" w:type="dxa"/>
            <w:vAlign w:val="top"/>
          </w:tcPr>
          <w:p>
            <w:pPr>
              <w:ind w:left="980"/>
              <w:spacing w:before="97" w:line="191" w:lineRule="auto"/>
              <w:rPr>
                <w:rFonts w:ascii="SimSun" w:hAnsi="SimSun" w:eastAsia="SimSun" w:cs="SimSun"/>
                <w:sz w:val="15"/>
                <w:szCs w:val="15"/>
              </w:rPr>
            </w:pPr>
            <w:r>
              <w:rPr>
                <w:rFonts w:ascii="SimSun" w:hAnsi="SimSun" w:eastAsia="SimSun" w:cs="SimSun"/>
                <w:sz w:val="15"/>
                <w:szCs w:val="15"/>
                <w:color w:val="212529"/>
                <w:spacing w:val="3"/>
              </w:rPr>
              <w:t>31.00</w:t>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2013699</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31.00</w:t>
            </w:r>
          </w:p>
        </w:tc>
        <w:tc>
          <w:tcPr>
            <w:tcW w:w="1361" w:type="dxa"/>
            <w:vAlign w:val="top"/>
          </w:tcPr>
          <w:p>
            <w:pPr>
              <w:pStyle w:val="TableText"/>
              <w:rPr/>
            </w:pPr>
            <w:r/>
          </w:p>
        </w:tc>
        <w:tc>
          <w:tcPr>
            <w:tcW w:w="1409" w:type="dxa"/>
            <w:vAlign w:val="top"/>
          </w:tcPr>
          <w:p>
            <w:pPr>
              <w:ind w:left="980"/>
              <w:spacing w:before="96" w:line="191" w:lineRule="auto"/>
              <w:rPr>
                <w:rFonts w:ascii="SimSun" w:hAnsi="SimSun" w:eastAsia="SimSun" w:cs="SimSun"/>
                <w:sz w:val="15"/>
                <w:szCs w:val="15"/>
              </w:rPr>
            </w:pPr>
            <w:r>
              <w:rPr>
                <w:rFonts w:ascii="SimSun" w:hAnsi="SimSun" w:eastAsia="SimSun" w:cs="SimSun"/>
                <w:sz w:val="15"/>
                <w:szCs w:val="15"/>
                <w:color w:val="212529"/>
                <w:spacing w:val="3"/>
              </w:rPr>
              <w:t>31.00</w:t>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294"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30.16</w:t>
            </w:r>
          </w:p>
        </w:tc>
        <w:tc>
          <w:tcPr>
            <w:tcW w:w="1361"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30.16</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29.77</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29.77</w:t>
            </w:r>
          </w:p>
        </w:tc>
        <w:tc>
          <w:tcPr>
            <w:tcW w:w="1409" w:type="dxa"/>
            <w:vAlign w:val="top"/>
          </w:tcPr>
          <w:p>
            <w:pPr>
              <w:pStyle w:val="TableText"/>
              <w:rPr/>
            </w:pPr>
            <w:r/>
          </w:p>
        </w:tc>
      </w:tr>
      <w:tr>
        <w:trPr>
          <w:trHeight w:val="293" w:hRule="atLeast"/>
        </w:trPr>
        <w:tc>
          <w:tcPr>
            <w:tcW w:w="1614"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361"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409" w:type="dxa"/>
            <w:vAlign w:val="top"/>
          </w:tcPr>
          <w:p>
            <w:pPr>
              <w:pStyle w:val="TableText"/>
              <w:rPr/>
            </w:pPr>
            <w:r/>
          </w:p>
        </w:tc>
      </w:tr>
      <w:tr>
        <w:trPr>
          <w:trHeight w:val="292" w:hRule="atLeast"/>
        </w:trPr>
        <w:tc>
          <w:tcPr>
            <w:tcW w:w="1614"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8"/>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361"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409" w:type="dxa"/>
            <w:vAlign w:val="top"/>
          </w:tcPr>
          <w:p>
            <w:pPr>
              <w:pStyle w:val="TableText"/>
              <w:rPr/>
            </w:pPr>
            <w:r/>
          </w:p>
        </w:tc>
      </w:tr>
      <w:tr>
        <w:trPr>
          <w:trHeight w:val="292"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0.38</w:t>
            </w:r>
          </w:p>
        </w:tc>
        <w:tc>
          <w:tcPr>
            <w:tcW w:w="1409" w:type="dxa"/>
            <w:vAlign w:val="top"/>
          </w:tcPr>
          <w:p>
            <w:pPr>
              <w:pStyle w:val="TableText"/>
              <w:rPr/>
            </w:pPr>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361"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409" w:type="dxa"/>
            <w:vAlign w:val="top"/>
          </w:tcPr>
          <w:p>
            <w:pPr>
              <w:pStyle w:val="TableText"/>
              <w:rPr/>
            </w:pPr>
            <w:r/>
          </w:p>
        </w:tc>
      </w:tr>
      <w:tr>
        <w:trPr>
          <w:trHeight w:val="292"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294"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361"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13.39</w:t>
            </w:r>
          </w:p>
        </w:tc>
        <w:tc>
          <w:tcPr>
            <w:tcW w:w="1409" w:type="dxa"/>
            <w:vAlign w:val="top"/>
          </w:tcPr>
          <w:p>
            <w:pPr>
              <w:pStyle w:val="TableText"/>
              <w:rPr/>
            </w:pPr>
            <w:r/>
          </w:p>
        </w:tc>
      </w:tr>
      <w:tr>
        <w:trPr>
          <w:trHeight w:val="292"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294" w:type="dxa"/>
            <w:vAlign w:val="top"/>
          </w:tcPr>
          <w:p>
            <w:pPr>
              <w:ind w:left="3"/>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8"/>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9.22</w:t>
            </w:r>
          </w:p>
        </w:tc>
        <w:tc>
          <w:tcPr>
            <w:tcW w:w="1361" w:type="dxa"/>
            <w:vAlign w:val="top"/>
          </w:tcPr>
          <w:p>
            <w:pPr>
              <w:ind w:right="17"/>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9.22</w:t>
            </w:r>
          </w:p>
        </w:tc>
        <w:tc>
          <w:tcPr>
            <w:tcW w:w="1409" w:type="dxa"/>
            <w:vAlign w:val="top"/>
          </w:tcPr>
          <w:p>
            <w:pPr>
              <w:pStyle w:val="TableText"/>
              <w:rPr/>
            </w:pPr>
            <w:r/>
          </w:p>
        </w:tc>
      </w:tr>
      <w:tr>
        <w:trPr>
          <w:trHeight w:val="293"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294"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8"/>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361"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409" w:type="dxa"/>
            <w:vAlign w:val="top"/>
          </w:tcPr>
          <w:p>
            <w:pPr>
              <w:pStyle w:val="TableText"/>
              <w:rPr/>
            </w:pPr>
            <w:r/>
          </w:p>
        </w:tc>
      </w:tr>
      <w:tr>
        <w:trPr>
          <w:trHeight w:val="292"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8"/>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61"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409" w:type="dxa"/>
            <w:vAlign w:val="top"/>
          </w:tcPr>
          <w:p>
            <w:pPr>
              <w:pStyle w:val="TableText"/>
              <w:rPr/>
            </w:pPr>
            <w:r/>
          </w:p>
        </w:tc>
      </w:tr>
      <w:tr>
        <w:trPr>
          <w:trHeight w:val="292" w:hRule="atLeast"/>
        </w:trPr>
        <w:tc>
          <w:tcPr>
            <w:tcW w:w="1614"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294" w:type="dxa"/>
            <w:vAlign w:val="top"/>
          </w:tcPr>
          <w:p>
            <w:pPr>
              <w:ind w:left="3"/>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8"/>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61" w:type="dxa"/>
            <w:vAlign w:val="top"/>
          </w:tcPr>
          <w:p>
            <w:pPr>
              <w:ind w:right="17"/>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409" w:type="dxa"/>
            <w:vAlign w:val="top"/>
          </w:tcPr>
          <w:p>
            <w:pPr>
              <w:pStyle w:val="TableText"/>
              <w:rPr/>
            </w:pPr>
            <w:r/>
          </w:p>
        </w:tc>
      </w:tr>
      <w:tr>
        <w:trPr>
          <w:trHeight w:val="298" w:hRule="atLeast"/>
        </w:trPr>
        <w:tc>
          <w:tcPr>
            <w:tcW w:w="1614"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294"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8"/>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361" w:type="dxa"/>
            <w:vAlign w:val="top"/>
          </w:tcPr>
          <w:p>
            <w:pPr>
              <w:ind w:right="17"/>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409" w:type="dxa"/>
            <w:vAlign w:val="top"/>
          </w:tcPr>
          <w:p>
            <w:pPr>
              <w:pStyle w:val="TableText"/>
              <w:rPr/>
            </w:pPr>
            <w:r/>
          </w:p>
        </w:tc>
      </w:tr>
    </w:tbl>
    <w:p>
      <w:pPr>
        <w:pStyle w:val="BodyText"/>
        <w:rPr/>
      </w:pPr>
      <w:r/>
    </w:p>
    <w:p>
      <w:pPr>
        <w:sectPr>
          <w:headerReference w:type="default" r:id="rId9"/>
          <w:footerReference w:type="default" r:id="rId21"/>
          <w:pgSz w:w="11900" w:h="16840"/>
          <w:pgMar w:top="610" w:right="86" w:bottom="312" w:left="0" w:header="357" w:footer="153" w:gutter="0"/>
        </w:sectPr>
        <w:rPr/>
      </w:pPr>
    </w:p>
    <w:p>
      <w:pPr>
        <w:spacing w:before="119"/>
        <w:rPr/>
      </w:pPr>
      <w:r>
        <w:pict>
          <v:shape id="_x0000_s200" style="position:absolute;margin-left:68.2717pt;margin-top:58.2865pt;mso-position-vertical-relative:page;mso-position-horizontal-relative:page;width:258.15pt;height:10.85pt;z-index:25166643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2" w:id="52"/>
                  <w:bookmarkEnd w:id="52"/>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6"/>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3"/>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9"/>
              <w:spacing w:before="86" w:line="162" w:lineRule="auto"/>
              <w:rPr>
                <w:sz w:val="15"/>
                <w:szCs w:val="15"/>
              </w:rPr>
            </w:pPr>
            <w:r>
              <w:rPr>
                <w:sz w:val="15"/>
                <w:szCs w:val="15"/>
                <w:color w:val="212529"/>
                <w:spacing w:val="1"/>
              </w:rPr>
              <w:t>161.80</w:t>
            </w:r>
          </w:p>
        </w:tc>
        <w:tc>
          <w:tcPr>
            <w:tcW w:w="1188" w:type="dxa"/>
            <w:vAlign w:val="top"/>
          </w:tcPr>
          <w:p>
            <w:pPr>
              <w:pStyle w:val="TableText"/>
              <w:ind w:left="693"/>
              <w:spacing w:before="86" w:line="162" w:lineRule="auto"/>
              <w:rPr>
                <w:sz w:val="15"/>
                <w:szCs w:val="15"/>
              </w:rPr>
            </w:pPr>
            <w:r>
              <w:rPr>
                <w:sz w:val="15"/>
                <w:szCs w:val="15"/>
                <w:color w:val="212529"/>
              </w:rPr>
              <w:t>149.98</w:t>
            </w:r>
          </w:p>
        </w:tc>
        <w:tc>
          <w:tcPr>
            <w:tcW w:w="1118" w:type="dxa"/>
            <w:vAlign w:val="top"/>
          </w:tcPr>
          <w:p>
            <w:pPr>
              <w:pStyle w:val="TableText"/>
              <w:ind w:left="699"/>
              <w:spacing w:before="87" w:line="186"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83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21"/>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143.76</w:t>
            </w:r>
          </w:p>
        </w:tc>
        <w:tc>
          <w:tcPr>
            <w:tcW w:w="1188" w:type="dxa"/>
            <w:vAlign w:val="top"/>
          </w:tcPr>
          <w:p>
            <w:pPr>
              <w:ind w:right="17"/>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143.76</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50.27</w:t>
            </w:r>
          </w:p>
        </w:tc>
        <w:tc>
          <w:tcPr>
            <w:tcW w:w="1188" w:type="dxa"/>
            <w:vAlign w:val="top"/>
          </w:tcPr>
          <w:p>
            <w:pPr>
              <w:ind w:right="17"/>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50.27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6.38</w:t>
            </w:r>
          </w:p>
        </w:tc>
        <w:tc>
          <w:tcPr>
            <w:tcW w:w="1188"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6.38</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32.42</w:t>
            </w:r>
          </w:p>
        </w:tc>
        <w:tc>
          <w:tcPr>
            <w:tcW w:w="1188"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32.42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6"/>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188"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17.19</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188"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6.49</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9.08</w:t>
            </w:r>
          </w:p>
        </w:tc>
        <w:tc>
          <w:tcPr>
            <w:tcW w:w="1188" w:type="dxa"/>
            <w:vAlign w:val="top"/>
          </w:tcPr>
          <w:p>
            <w:pPr>
              <w:ind w:right="17"/>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9.08</w:t>
            </w:r>
          </w:p>
        </w:tc>
        <w:tc>
          <w:tcPr>
            <w:tcW w:w="1118" w:type="dxa"/>
            <w:vAlign w:val="top"/>
          </w:tcPr>
          <w:p>
            <w:pPr>
              <w:pStyle w:val="TableText"/>
              <w:rPr/>
            </w:pPr>
            <w:r/>
          </w:p>
        </w:tc>
      </w:tr>
      <w:tr>
        <w:trPr>
          <w:trHeight w:val="293"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188"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4.17</w:t>
            </w:r>
          </w:p>
        </w:tc>
        <w:tc>
          <w:tcPr>
            <w:tcW w:w="1118" w:type="dxa"/>
            <w:vAlign w:val="top"/>
          </w:tcPr>
          <w:p>
            <w:pPr>
              <w:pStyle w:val="TableText"/>
              <w:rPr/>
            </w:pPr>
            <w:r/>
          </w:p>
        </w:tc>
      </w:tr>
      <w:tr>
        <w:trPr>
          <w:trHeight w:val="293" w:hRule="atLeast"/>
        </w:trPr>
        <w:tc>
          <w:tcPr>
            <w:tcW w:w="3310" w:type="dxa"/>
            <w:vAlign w:val="top"/>
          </w:tcPr>
          <w:p>
            <w:pPr>
              <w:ind w:left="330"/>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0.53</w:t>
            </w:r>
          </w:p>
        </w:tc>
        <w:tc>
          <w:tcPr>
            <w:tcW w:w="1188" w:type="dxa"/>
            <w:vAlign w:val="top"/>
          </w:tcPr>
          <w:p>
            <w:pPr>
              <w:ind w:right="17"/>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0.53</w:t>
            </w:r>
          </w:p>
        </w:tc>
        <w:tc>
          <w:tcPr>
            <w:tcW w:w="1118" w:type="dxa"/>
            <w:vAlign w:val="top"/>
          </w:tcPr>
          <w:p>
            <w:pPr>
              <w:pStyle w:val="TableText"/>
              <w:rPr/>
            </w:pPr>
            <w:r/>
          </w:p>
        </w:tc>
      </w:tr>
      <w:tr>
        <w:trPr>
          <w:trHeight w:val="293"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188"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13.41</w:t>
            </w:r>
          </w:p>
        </w:tc>
        <w:tc>
          <w:tcPr>
            <w:tcW w:w="1118" w:type="dxa"/>
            <w:vAlign w:val="top"/>
          </w:tcPr>
          <w:p>
            <w:pPr>
              <w:pStyle w:val="TableText"/>
              <w:rPr/>
            </w:pPr>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3.82</w:t>
            </w:r>
          </w:p>
        </w:tc>
        <w:tc>
          <w:tcPr>
            <w:tcW w:w="1188"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3.82</w:t>
            </w:r>
          </w:p>
        </w:tc>
        <w:tc>
          <w:tcPr>
            <w:tcW w:w="1118" w:type="dxa"/>
            <w:vAlign w:val="top"/>
          </w:tcPr>
          <w:p>
            <w:pPr>
              <w:pStyle w:val="TableText"/>
              <w:rPr/>
            </w:pPr>
            <w:r/>
          </w:p>
        </w:tc>
      </w:tr>
      <w:tr>
        <w:trPr>
          <w:trHeight w:val="292" w:hRule="atLeast"/>
        </w:trPr>
        <w:tc>
          <w:tcPr>
            <w:tcW w:w="3310"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10.83</w:t>
            </w:r>
          </w:p>
        </w:tc>
        <w:tc>
          <w:tcPr>
            <w:tcW w:w="1188" w:type="dxa"/>
            <w:vAlign w:val="top"/>
          </w:tcPr>
          <w:p>
            <w:pPr>
              <w:pStyle w:val="TableText"/>
              <w:rPr/>
            </w:pPr>
            <w:r/>
          </w:p>
        </w:tc>
        <w:tc>
          <w:tcPr>
            <w:tcW w:w="1118"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10.83</w:t>
            </w:r>
          </w:p>
        </w:tc>
      </w:tr>
      <w:tr>
        <w:trPr>
          <w:trHeight w:val="293" w:hRule="atLeast"/>
        </w:trPr>
        <w:tc>
          <w:tcPr>
            <w:tcW w:w="3310" w:type="dxa"/>
            <w:vAlign w:val="top"/>
          </w:tcPr>
          <w:p>
            <w:pPr>
              <w:ind w:left="334"/>
              <w:spacing w:before="73"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3.10</w:t>
            </w:r>
          </w:p>
        </w:tc>
        <w:tc>
          <w:tcPr>
            <w:tcW w:w="1188" w:type="dxa"/>
            <w:vAlign w:val="top"/>
          </w:tcPr>
          <w:p>
            <w:pPr>
              <w:pStyle w:val="TableText"/>
              <w:rPr/>
            </w:pPr>
            <w:r/>
          </w:p>
        </w:tc>
        <w:tc>
          <w:tcPr>
            <w:tcW w:w="1118"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3.10</w:t>
            </w:r>
          </w:p>
        </w:tc>
      </w:tr>
      <w:tr>
        <w:trPr>
          <w:trHeight w:val="292" w:hRule="atLeast"/>
        </w:trPr>
        <w:tc>
          <w:tcPr>
            <w:tcW w:w="3310" w:type="dxa"/>
            <w:vAlign w:val="top"/>
          </w:tcPr>
          <w:p>
            <w:pPr>
              <w:ind w:left="343"/>
              <w:spacing w:before="73"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0.10</w:t>
            </w:r>
          </w:p>
        </w:tc>
        <w:tc>
          <w:tcPr>
            <w:tcW w:w="1188" w:type="dxa"/>
            <w:vAlign w:val="top"/>
          </w:tcPr>
          <w:p>
            <w:pPr>
              <w:pStyle w:val="TableText"/>
              <w:rPr/>
            </w:pPr>
            <w:r/>
          </w:p>
        </w:tc>
        <w:tc>
          <w:tcPr>
            <w:tcW w:w="1118"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0.10</w:t>
            </w:r>
          </w:p>
        </w:tc>
      </w:tr>
      <w:tr>
        <w:trPr>
          <w:trHeight w:val="293" w:hRule="atLeast"/>
        </w:trPr>
        <w:tc>
          <w:tcPr>
            <w:tcW w:w="3310" w:type="dxa"/>
            <w:vAlign w:val="top"/>
          </w:tcPr>
          <w:p>
            <w:pPr>
              <w:ind w:left="333"/>
              <w:spacing w:before="73"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7"/>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188" w:type="dxa"/>
            <w:vAlign w:val="top"/>
          </w:tcPr>
          <w:p>
            <w:pPr>
              <w:pStyle w:val="TableText"/>
              <w:rPr/>
            </w:pPr>
            <w:r/>
          </w:p>
        </w:tc>
        <w:tc>
          <w:tcPr>
            <w:tcW w:w="1118"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r>
      <w:tr>
        <w:trPr>
          <w:trHeight w:val="293"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188" w:type="dxa"/>
            <w:vAlign w:val="top"/>
          </w:tcPr>
          <w:p>
            <w:pPr>
              <w:pStyle w:val="TableText"/>
              <w:rPr/>
            </w:pPr>
            <w:r/>
          </w:p>
        </w:tc>
        <w:tc>
          <w:tcPr>
            <w:tcW w:w="1118"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3.36</w:t>
            </w:r>
          </w:p>
        </w:tc>
        <w:tc>
          <w:tcPr>
            <w:tcW w:w="1188" w:type="dxa"/>
            <w:vAlign w:val="top"/>
          </w:tcPr>
          <w:p>
            <w:pPr>
              <w:pStyle w:val="TableText"/>
              <w:rPr/>
            </w:pPr>
            <w:r/>
          </w:p>
        </w:tc>
        <w:tc>
          <w:tcPr>
            <w:tcW w:w="1118"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3.36</w:t>
            </w:r>
          </w:p>
        </w:tc>
      </w:tr>
      <w:tr>
        <w:trPr>
          <w:trHeight w:val="292" w:hRule="atLeast"/>
        </w:trPr>
        <w:tc>
          <w:tcPr>
            <w:tcW w:w="331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7"/>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21"/>
              <w:spacing w:before="98" w:line="191" w:lineRule="auto"/>
              <w:jc w:val="right"/>
              <w:rPr>
                <w:rFonts w:ascii="SimSun" w:hAnsi="SimSun" w:eastAsia="SimSun" w:cs="SimSun"/>
                <w:sz w:val="15"/>
                <w:szCs w:val="15"/>
              </w:rPr>
            </w:pPr>
            <w:r>
              <w:rPr>
                <w:rFonts w:ascii="SimSun" w:hAnsi="SimSun" w:eastAsia="SimSun" w:cs="SimSun"/>
                <w:sz w:val="15"/>
                <w:szCs w:val="15"/>
                <w:color w:val="212529"/>
                <w:spacing w:val="1"/>
              </w:rPr>
              <w:t>1.27</w:t>
            </w:r>
          </w:p>
        </w:tc>
        <w:tc>
          <w:tcPr>
            <w:tcW w:w="1188" w:type="dxa"/>
            <w:vAlign w:val="top"/>
          </w:tcPr>
          <w:p>
            <w:pPr>
              <w:pStyle w:val="TableText"/>
              <w:rPr/>
            </w:pPr>
            <w:r/>
          </w:p>
        </w:tc>
        <w:tc>
          <w:tcPr>
            <w:tcW w:w="1118" w:type="dxa"/>
            <w:vAlign w:val="top"/>
          </w:tcPr>
          <w:p>
            <w:pPr>
              <w:ind w:right="22"/>
              <w:spacing w:before="98" w:line="191" w:lineRule="auto"/>
              <w:jc w:val="right"/>
              <w:rPr>
                <w:rFonts w:ascii="SimSun" w:hAnsi="SimSun" w:eastAsia="SimSun" w:cs="SimSun"/>
                <w:sz w:val="15"/>
                <w:szCs w:val="15"/>
              </w:rPr>
            </w:pPr>
            <w:r>
              <w:rPr>
                <w:rFonts w:ascii="SimSun" w:hAnsi="SimSun" w:eastAsia="SimSun" w:cs="SimSun"/>
                <w:sz w:val="15"/>
                <w:szCs w:val="15"/>
                <w:color w:val="212529"/>
                <w:spacing w:val="1"/>
              </w:rPr>
              <w:t>1.27</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6.22</w:t>
            </w:r>
          </w:p>
        </w:tc>
        <w:tc>
          <w:tcPr>
            <w:tcW w:w="1188"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6.22</w:t>
            </w:r>
          </w:p>
        </w:tc>
        <w:tc>
          <w:tcPr>
            <w:tcW w:w="1118" w:type="dxa"/>
            <w:vAlign w:val="top"/>
          </w:tcPr>
          <w:p>
            <w:pPr>
              <w:pStyle w:val="TableText"/>
              <w:rPr/>
            </w:pPr>
            <w:r/>
          </w:p>
        </w:tc>
      </w:tr>
      <w:tr>
        <w:trPr>
          <w:trHeight w:val="292"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7"/>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21"/>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188" w:type="dxa"/>
            <w:vAlign w:val="top"/>
          </w:tcPr>
          <w:p>
            <w:pPr>
              <w:ind w:right="17"/>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6.10</w:t>
            </w:r>
          </w:p>
        </w:tc>
        <w:tc>
          <w:tcPr>
            <w:tcW w:w="1118" w:type="dxa"/>
            <w:vAlign w:val="top"/>
          </w:tcPr>
          <w:p>
            <w:pPr>
              <w:pStyle w:val="TableText"/>
              <w:rPr/>
            </w:pPr>
            <w:r/>
          </w:p>
        </w:tc>
      </w:tr>
      <w:tr>
        <w:trPr>
          <w:trHeight w:val="292" w:hRule="atLeast"/>
        </w:trPr>
        <w:tc>
          <w:tcPr>
            <w:tcW w:w="3310"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5"/>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21"/>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0.12</w:t>
            </w:r>
          </w:p>
        </w:tc>
        <w:tc>
          <w:tcPr>
            <w:tcW w:w="1188" w:type="dxa"/>
            <w:vAlign w:val="top"/>
          </w:tcPr>
          <w:p>
            <w:pPr>
              <w:ind w:right="17"/>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0.12</w:t>
            </w:r>
          </w:p>
        </w:tc>
        <w:tc>
          <w:tcPr>
            <w:tcW w:w="1118" w:type="dxa"/>
            <w:vAlign w:val="top"/>
          </w:tcPr>
          <w:p>
            <w:pPr>
              <w:pStyle w:val="TableText"/>
              <w:rPr/>
            </w:pPr>
            <w:r/>
          </w:p>
        </w:tc>
      </w:tr>
      <w:tr>
        <w:trPr>
          <w:trHeight w:val="293" w:hRule="atLeast"/>
        </w:trPr>
        <w:tc>
          <w:tcPr>
            <w:tcW w:w="3310" w:type="dxa"/>
            <w:vAlign w:val="top"/>
          </w:tcPr>
          <w:p>
            <w:pPr>
              <w:ind w:left="13"/>
              <w:spacing w:before="76"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2278" w:type="dxa"/>
            <w:vAlign w:val="top"/>
          </w:tcPr>
          <w:p>
            <w:pPr>
              <w:pStyle w:val="TableText"/>
              <w:rPr/>
            </w:pPr>
            <w:r/>
          </w:p>
        </w:tc>
        <w:tc>
          <w:tcPr>
            <w:tcW w:w="1188" w:type="dxa"/>
            <w:vAlign w:val="top"/>
          </w:tcPr>
          <w:p>
            <w:pPr>
              <w:ind w:right="21"/>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188" w:type="dxa"/>
            <w:vAlign w:val="top"/>
          </w:tcPr>
          <w:p>
            <w:pPr>
              <w:pStyle w:val="TableText"/>
              <w:rPr/>
            </w:pPr>
            <w:r/>
          </w:p>
        </w:tc>
        <w:tc>
          <w:tcPr>
            <w:tcW w:w="1118" w:type="dxa"/>
            <w:vAlign w:val="top"/>
          </w:tcPr>
          <w:p>
            <w:pPr>
              <w:ind w:right="22"/>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r>
      <w:tr>
        <w:trPr>
          <w:trHeight w:val="298"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2278" w:type="dxa"/>
            <w:vAlign w:val="top"/>
          </w:tcPr>
          <w:p>
            <w:pPr>
              <w:ind w:left="330"/>
              <w:spacing w:before="76"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1188" w:type="dxa"/>
            <w:vAlign w:val="top"/>
          </w:tcPr>
          <w:p>
            <w:pPr>
              <w:ind w:right="21"/>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r>
    </w:tbl>
    <w:p>
      <w:pPr>
        <w:pStyle w:val="BodyText"/>
        <w:rPr/>
      </w:pPr>
      <w:r/>
    </w:p>
    <w:p>
      <w:pPr>
        <w:sectPr>
          <w:headerReference w:type="default" r:id="rId22"/>
          <w:footerReference w:type="default" r:id="rId23"/>
          <w:pgSz w:w="11900" w:h="16840"/>
          <w:pgMar w:top="610" w:right="86" w:bottom="312" w:left="0" w:header="357" w:footer="153" w:gutter="0"/>
        </w:sectPr>
        <w:rPr/>
      </w:pPr>
    </w:p>
    <w:p>
      <w:pPr>
        <w:spacing w:before="119"/>
        <w:rPr/>
      </w:pPr>
      <w:r>
        <w:pict>
          <v:shape id="_x0000_s218"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3" w:id="55"/>
                  <w:bookmarkEnd w:id="55"/>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79"/>
        <w:gridCol w:w="4784"/>
        <w:gridCol w:w="1895"/>
      </w:tblGrid>
      <w:tr>
        <w:trPr>
          <w:trHeight w:val="383" w:hRule="atLeast"/>
        </w:trPr>
        <w:tc>
          <w:tcPr>
            <w:tcW w:w="247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8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79" w:type="dxa"/>
            <w:vAlign w:val="top"/>
          </w:tcPr>
          <w:p>
            <w:pPr>
              <w:ind w:left="743"/>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84" w:type="dxa"/>
            <w:vAlign w:val="top"/>
          </w:tcPr>
          <w:p>
            <w:pPr>
              <w:ind w:left="205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79" w:type="dxa"/>
            <w:vAlign w:val="top"/>
          </w:tcPr>
          <w:p>
            <w:pPr>
              <w:pStyle w:val="TableText"/>
              <w:rPr/>
            </w:pPr>
            <w:r/>
          </w:p>
        </w:tc>
        <w:tc>
          <w:tcPr>
            <w:tcW w:w="4784"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10" w:right="86" w:bottom="312" w:left="0" w:header="357" w:footer="153" w:gutter="0"/>
        </w:sectPr>
        <w:rPr/>
      </w:pPr>
    </w:p>
    <w:p>
      <w:pPr>
        <w:spacing w:before="119"/>
        <w:rPr/>
      </w:pPr>
      <w:r>
        <w:pict>
          <v:shape id="_x0000_s220" style="position:absolute;margin-left:68.2717pt;margin-top:58.2865pt;mso-position-vertical-relative:page;mso-position-horizontal-relative:page;width:206.25pt;height:10.85pt;z-index:25166848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4" w:id="57"/>
                  <w:bookmarkEnd w:id="57"/>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45"/>
        <w:gridCol w:w="1134"/>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3"/>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29"/>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34"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45" w:type="dxa"/>
            <w:vAlign w:val="top"/>
          </w:tcPr>
          <w:p>
            <w:pPr>
              <w:pStyle w:val="TableText"/>
              <w:rPr/>
            </w:pPr>
            <w:r/>
          </w:p>
        </w:tc>
        <w:tc>
          <w:tcPr>
            <w:tcW w:w="1134"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6"/>
          <w:pgSz w:w="11900" w:h="16840"/>
          <w:pgMar w:top="610" w:right="86" w:bottom="312" w:left="0" w:header="357" w:footer="153" w:gutter="0"/>
        </w:sectPr>
        <w:rPr/>
      </w:pPr>
    </w:p>
    <w:p>
      <w:pPr>
        <w:spacing w:before="119"/>
        <w:rPr/>
      </w:pPr>
      <w:r>
        <w:pict>
          <v:shape id="_x0000_s222" style="position:absolute;margin-left:68.2717pt;margin-top:58.2865pt;mso-position-vertical-relative:page;mso-position-horizontal-relative:page;width:225.7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5" w:id="59"/>
                  <w:bookmarkEnd w:id="59"/>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ict>
          <v:shape id="_x0000_s224" style="position:absolute;margin-left:68.2717pt;margin-top:246.947pt;mso-position-vertical-relative:page;mso-position-horizontal-relative:page;width:191.15pt;height:10.85pt;z-index:25166950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6"/>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0"/>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1"/>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13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pStyle w:val="BodyText"/>
        <w:rPr/>
      </w:pPr>
      <w:r/>
    </w:p>
    <w:p>
      <w:pPr>
        <w:sectPr>
          <w:headerReference w:type="default" r:id="rId9"/>
          <w:footerReference w:type="default" r:id="rId27"/>
          <w:pgSz w:w="11900" w:h="16840"/>
          <w:pgMar w:top="610" w:right="86" w:bottom="312" w:left="0" w:header="357" w:footer="153" w:gutter="0"/>
        </w:sectPr>
        <w:rPr/>
      </w:pPr>
    </w:p>
    <w:p>
      <w:pPr>
        <w:spacing w:before="119"/>
        <w:rPr/>
      </w:pPr>
      <w:r>
        <w:pict>
          <v:shape id="_x0000_s226" style="position:absolute;margin-left:68.2717pt;margin-top:58.2865pt;mso-position-vertical-relative:page;mso-position-horizontal-relative:page;width:28.65pt;height:10.85pt;z-index:25167155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6" w:id="61"/>
                  <w:bookmarkEnd w:id="61"/>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23"/>
        <w:gridCol w:w="1609"/>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0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23" w:type="dxa"/>
            <w:vAlign w:val="top"/>
            <w:tcBorders>
              <w:left w:val="single" w:color="FFFFFF" w:sz="2" w:space="0"/>
              <w:right w:val="single" w:color="FFFFFF" w:sz="2" w:space="0"/>
              <w:top w:val="single" w:color="FFFFFF" w:sz="4" w:space="0"/>
            </w:tcBorders>
          </w:tcPr>
          <w:p>
            <w:pPr>
              <w:pStyle w:val="TableText"/>
              <w:rPr/>
            </w:pPr>
            <w:r/>
          </w:p>
        </w:tc>
        <w:tc>
          <w:tcPr>
            <w:tcW w:w="1609"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23"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09" w:type="dxa"/>
            <w:vAlign w:val="top"/>
          </w:tcPr>
          <w:p>
            <w:pPr>
              <w:ind w:left="2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23" w:type="dxa"/>
            <w:vAlign w:val="top"/>
          </w:tcPr>
          <w:p>
            <w:pPr>
              <w:pStyle w:val="TableText"/>
              <w:rPr/>
            </w:pPr>
            <w:r/>
          </w:p>
        </w:tc>
        <w:tc>
          <w:tcPr>
            <w:tcW w:w="1609"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23" w:type="dxa"/>
            <w:vAlign w:val="top"/>
          </w:tcPr>
          <w:p>
            <w:pPr>
              <w:pStyle w:val="TableText"/>
              <w:rPr/>
            </w:pPr>
            <w:r/>
          </w:p>
        </w:tc>
        <w:tc>
          <w:tcPr>
            <w:tcW w:w="1609"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23" w:type="dxa"/>
            <w:vAlign w:val="top"/>
            <w:tcBorders>
              <w:left w:val="single" w:color="FFFFFF" w:sz="2" w:space="0"/>
              <w:right w:val="single" w:color="FFFFFF" w:sz="2" w:space="0"/>
              <w:bottom w:val="single" w:color="FFFFFF" w:sz="4" w:space="0"/>
            </w:tcBorders>
          </w:tcPr>
          <w:p>
            <w:pPr>
              <w:pStyle w:val="TableText"/>
              <w:rPr/>
            </w:pPr>
            <w:r/>
          </w:p>
        </w:tc>
        <w:tc>
          <w:tcPr>
            <w:tcW w:w="1609"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4"/>
          <w:footerReference w:type="default" r:id="rId28"/>
          <w:pgSz w:w="11900" w:h="16840"/>
          <w:pgMar w:top="610" w:right="86" w:bottom="312" w:left="0" w:header="357" w:footer="153" w:gutter="0"/>
        </w:sectPr>
        <w:rPr/>
      </w:pPr>
    </w:p>
    <w:p>
      <w:pPr>
        <w:spacing w:before="119"/>
        <w:rPr/>
      </w:pPr>
      <w:r>
        <w:pict>
          <v:shape id="_x0000_s244" style="position:absolute;margin-left:68.2717pt;margin-top:58.2865pt;mso-position-vertical-relative:page;mso-position-horizontal-relative:page;width:180.3pt;height:10.85pt;z-index:25167360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7" w:id="63"/>
                  <w:bookmarkEnd w:id="63"/>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27"/>
        <w:gridCol w:w="1188"/>
        <w:gridCol w:w="1188"/>
        <w:gridCol w:w="788"/>
        <w:gridCol w:w="1285"/>
        <w:gridCol w:w="1102"/>
        <w:gridCol w:w="880"/>
      </w:tblGrid>
      <w:tr>
        <w:trPr>
          <w:trHeight w:val="384" w:hRule="atLeast"/>
        </w:trPr>
        <w:tc>
          <w:tcPr>
            <w:tcW w:w="272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82" w:type="dxa"/>
            <w:vAlign w:val="top"/>
            <w:gridSpan w:val="2"/>
            <w:tcBorders>
              <w:bottom w:val="single" w:color="FFFFFF" w:sz="4" w:space="0"/>
              <w:top w:val="single" w:color="FFFFFF" w:sz="4" w:space="0"/>
              <w:left w:val="single" w:color="FFFFFF" w:sz="2" w:space="0"/>
              <w:right w:val="single" w:color="FFFFFF" w:sz="2" w:space="0"/>
            </w:tcBorders>
          </w:tcPr>
          <w:p>
            <w:pPr>
              <w:ind w:left="117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76"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982" w:type="dxa"/>
            <w:vAlign w:val="top"/>
            <w:gridSpan w:val="2"/>
            <w:tcBorders>
              <w:top w:val="single" w:color="FFFFFF" w:sz="4" w:space="0"/>
              <w:left w:val="single" w:color="FFFFFF" w:sz="2" w:space="0"/>
              <w:right w:val="single" w:color="FFFFFF" w:sz="2" w:space="0"/>
            </w:tcBorders>
          </w:tcPr>
          <w:p>
            <w:pPr>
              <w:ind w:left="1309"/>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27" w:type="dxa"/>
            <w:vAlign w:val="top"/>
            <w:vMerge w:val="restart"/>
            <w:tcBorders>
              <w:bottom w:val="nil"/>
            </w:tcBorders>
          </w:tcPr>
          <w:p>
            <w:pPr>
              <w:ind w:left="102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88" w:type="dxa"/>
            <w:vAlign w:val="top"/>
            <w:vMerge w:val="restart"/>
            <w:tcBorders>
              <w:bottom w:val="nil"/>
            </w:tcBorders>
          </w:tcPr>
          <w:p>
            <w:pPr>
              <w:ind w:left="41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387" w:right="65" w:hanging="329"/>
              <w:spacing w:before="217"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80" w:type="dxa"/>
            <w:vAlign w:val="top"/>
            <w:vMerge w:val="restart"/>
            <w:tcBorders>
              <w:bottom w:val="nil"/>
            </w:tcBorders>
          </w:tcPr>
          <w:p>
            <w:pPr>
              <w:ind w:left="107"/>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727" w:type="dxa"/>
            <w:vAlign w:val="top"/>
            <w:vMerge w:val="continue"/>
            <w:tcBorders>
              <w:top w:val="nil"/>
            </w:tcBorders>
          </w:tcPr>
          <w:p>
            <w:pPr>
              <w:pStyle w:val="TableText"/>
              <w:rPr/>
            </w:pPr>
            <w:r/>
          </w:p>
        </w:tc>
        <w:tc>
          <w:tcPr>
            <w:tcW w:w="1188" w:type="dxa"/>
            <w:vAlign w:val="top"/>
            <w:vMerge w:val="continue"/>
            <w:tcBorders>
              <w:top w:val="nil"/>
            </w:tcBorders>
          </w:tcPr>
          <w:p>
            <w:pPr>
              <w:pStyle w:val="TableText"/>
              <w:rPr/>
            </w:pPr>
            <w:r/>
          </w:p>
        </w:tc>
        <w:tc>
          <w:tcPr>
            <w:tcW w:w="1188" w:type="dxa"/>
            <w:vAlign w:val="top"/>
          </w:tcPr>
          <w:p>
            <w:pPr>
              <w:ind w:left="9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88" w:type="dxa"/>
            <w:vAlign w:val="top"/>
          </w:tcPr>
          <w:p>
            <w:pPr>
              <w:ind w:left="136" w:right="76"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85" w:type="dxa"/>
            <w:vAlign w:val="top"/>
          </w:tcPr>
          <w:p>
            <w:pPr>
              <w:ind w:left="546" w:right="80" w:hanging="466"/>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80" w:type="dxa"/>
            <w:vAlign w:val="top"/>
            <w:vMerge w:val="continue"/>
            <w:tcBorders>
              <w:top w:val="nil"/>
            </w:tcBorders>
          </w:tcPr>
          <w:p>
            <w:pPr>
              <w:pStyle w:val="TableText"/>
              <w:rPr/>
            </w:pPr>
            <w:r/>
          </w:p>
        </w:tc>
      </w:tr>
      <w:tr>
        <w:trPr>
          <w:trHeight w:val="379" w:hRule="atLeast"/>
        </w:trPr>
        <w:tc>
          <w:tcPr>
            <w:tcW w:w="2727" w:type="dxa"/>
            <w:vAlign w:val="top"/>
          </w:tcPr>
          <w:p>
            <w:pPr>
              <w:ind w:left="1322"/>
              <w:spacing w:before="136" w:line="191" w:lineRule="auto"/>
              <w:rPr>
                <w:rFonts w:ascii="SimSun" w:hAnsi="SimSun" w:eastAsia="SimSun" w:cs="SimSun"/>
                <w:sz w:val="15"/>
                <w:szCs w:val="15"/>
              </w:rPr>
            </w:pPr>
            <w:r>
              <w:rPr>
                <w:rFonts w:ascii="SimSun" w:hAnsi="SimSun" w:eastAsia="SimSun" w:cs="SimSun"/>
                <w:sz w:val="15"/>
                <w:szCs w:val="15"/>
                <w:color w:val="212529"/>
              </w:rPr>
              <w:t>1</w:t>
            </w:r>
          </w:p>
        </w:tc>
        <w:tc>
          <w:tcPr>
            <w:tcW w:w="1188" w:type="dxa"/>
            <w:vAlign w:val="top"/>
          </w:tcPr>
          <w:p>
            <w:pPr>
              <w:ind w:left="540"/>
              <w:spacing w:before="137" w:line="190" w:lineRule="auto"/>
              <w:rPr>
                <w:rFonts w:ascii="SimSun" w:hAnsi="SimSun" w:eastAsia="SimSun" w:cs="SimSun"/>
                <w:sz w:val="15"/>
                <w:szCs w:val="15"/>
              </w:rPr>
            </w:pPr>
            <w:r>
              <w:rPr>
                <w:rFonts w:ascii="SimSun" w:hAnsi="SimSun" w:eastAsia="SimSun" w:cs="SimSun"/>
                <w:sz w:val="15"/>
                <w:szCs w:val="15"/>
                <w:color w:val="212529"/>
              </w:rPr>
              <w:t>2</w:t>
            </w:r>
          </w:p>
        </w:tc>
        <w:tc>
          <w:tcPr>
            <w:tcW w:w="1188" w:type="dxa"/>
            <w:vAlign w:val="top"/>
          </w:tcPr>
          <w:p>
            <w:pPr>
              <w:ind w:left="543"/>
              <w:spacing w:before="137" w:line="190" w:lineRule="auto"/>
              <w:rPr>
                <w:rFonts w:ascii="SimSun" w:hAnsi="SimSun" w:eastAsia="SimSun" w:cs="SimSun"/>
                <w:sz w:val="15"/>
                <w:szCs w:val="15"/>
              </w:rPr>
            </w:pPr>
            <w:r>
              <w:rPr>
                <w:rFonts w:ascii="SimSun" w:hAnsi="SimSun" w:eastAsia="SimSun" w:cs="SimSun"/>
                <w:sz w:val="15"/>
                <w:szCs w:val="15"/>
                <w:color w:val="212529"/>
              </w:rPr>
              <w:t>3</w:t>
            </w:r>
          </w:p>
        </w:tc>
        <w:tc>
          <w:tcPr>
            <w:tcW w:w="788" w:type="dxa"/>
            <w:vAlign w:val="top"/>
          </w:tcPr>
          <w:p>
            <w:pPr>
              <w:ind w:left="342"/>
              <w:spacing w:before="137" w:line="190" w:lineRule="auto"/>
              <w:rPr>
                <w:rFonts w:ascii="SimSun" w:hAnsi="SimSun" w:eastAsia="SimSun" w:cs="SimSun"/>
                <w:sz w:val="15"/>
                <w:szCs w:val="15"/>
              </w:rPr>
            </w:pPr>
            <w:r>
              <w:rPr>
                <w:rFonts w:ascii="SimSun" w:hAnsi="SimSun" w:eastAsia="SimSun" w:cs="SimSun"/>
                <w:sz w:val="15"/>
                <w:szCs w:val="15"/>
                <w:color w:val="212529"/>
              </w:rPr>
              <w:t>4</w:t>
            </w:r>
          </w:p>
        </w:tc>
        <w:tc>
          <w:tcPr>
            <w:tcW w:w="1285" w:type="dxa"/>
            <w:vAlign w:val="top"/>
          </w:tcPr>
          <w:p>
            <w:pPr>
              <w:ind w:left="595"/>
              <w:spacing w:before="138" w:line="189" w:lineRule="auto"/>
              <w:rPr>
                <w:rFonts w:ascii="SimSun" w:hAnsi="SimSun" w:eastAsia="SimSun" w:cs="SimSun"/>
                <w:sz w:val="15"/>
                <w:szCs w:val="15"/>
              </w:rPr>
            </w:pPr>
            <w:r>
              <w:rPr>
                <w:rFonts w:ascii="SimSun" w:hAnsi="SimSun" w:eastAsia="SimSun" w:cs="SimSun"/>
                <w:sz w:val="15"/>
                <w:szCs w:val="15"/>
                <w:color w:val="212529"/>
              </w:rPr>
              <w:t>5</w:t>
            </w:r>
          </w:p>
        </w:tc>
        <w:tc>
          <w:tcPr>
            <w:tcW w:w="1102" w:type="dxa"/>
            <w:vAlign w:val="top"/>
          </w:tcPr>
          <w:p>
            <w:pPr>
              <w:ind w:left="505"/>
              <w:spacing w:before="137" w:line="190" w:lineRule="auto"/>
              <w:rPr>
                <w:rFonts w:ascii="SimSun" w:hAnsi="SimSun" w:eastAsia="SimSun" w:cs="SimSun"/>
                <w:sz w:val="15"/>
                <w:szCs w:val="15"/>
              </w:rPr>
            </w:pPr>
            <w:r>
              <w:rPr>
                <w:rFonts w:ascii="SimSun" w:hAnsi="SimSun" w:eastAsia="SimSun" w:cs="SimSun"/>
                <w:sz w:val="15"/>
                <w:szCs w:val="15"/>
                <w:color w:val="212529"/>
              </w:rPr>
              <w:t>6</w:t>
            </w:r>
          </w:p>
        </w:tc>
        <w:tc>
          <w:tcPr>
            <w:tcW w:w="880" w:type="dxa"/>
            <w:vAlign w:val="top"/>
          </w:tcPr>
          <w:p>
            <w:pPr>
              <w:ind w:left="398"/>
              <w:spacing w:before="138"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9" w:hRule="atLeast"/>
        </w:trPr>
        <w:tc>
          <w:tcPr>
            <w:tcW w:w="2727" w:type="dxa"/>
            <w:vAlign w:val="top"/>
          </w:tcPr>
          <w:p>
            <w:pPr>
              <w:ind w:left="6" w:right="44" w:firstLine="81"/>
              <w:spacing w:before="26" w:line="211" w:lineRule="auto"/>
              <w:rPr>
                <w:rFonts w:ascii="SimSun" w:hAnsi="SimSun" w:eastAsia="SimSun" w:cs="SimSun"/>
                <w:sz w:val="15"/>
                <w:szCs w:val="15"/>
              </w:rPr>
            </w:pPr>
            <w:r>
              <w:rPr>
                <w:rFonts w:ascii="SimSun" w:hAnsi="SimSun" w:eastAsia="SimSun" w:cs="SimSun"/>
                <w:sz w:val="15"/>
                <w:szCs w:val="15"/>
                <w:color w:val="212529"/>
                <w:spacing w:val="11"/>
              </w:rPr>
              <w:t>长治高新区老顶山物流园事业服务中</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2"/>
              </w:rPr>
              <w:t>心</w:t>
            </w:r>
          </w:p>
        </w:tc>
        <w:tc>
          <w:tcPr>
            <w:tcW w:w="1188" w:type="dxa"/>
            <w:vAlign w:val="top"/>
          </w:tcPr>
          <w:p>
            <w:pPr>
              <w:ind w:left="674"/>
              <w:spacing w:before="137" w:line="190" w:lineRule="auto"/>
              <w:rPr>
                <w:rFonts w:ascii="SimSun" w:hAnsi="SimSun" w:eastAsia="SimSun" w:cs="SimSun"/>
                <w:sz w:val="15"/>
                <w:szCs w:val="15"/>
              </w:rPr>
            </w:pPr>
            <w:r>
              <w:rPr>
                <w:rFonts w:ascii="SimSun" w:hAnsi="SimSun" w:eastAsia="SimSun" w:cs="SimSun"/>
                <w:sz w:val="15"/>
                <w:szCs w:val="15"/>
                <w:color w:val="212529"/>
                <w:spacing w:val="4"/>
              </w:rPr>
              <w:t>377.62</w:t>
            </w:r>
          </w:p>
        </w:tc>
        <w:tc>
          <w:tcPr>
            <w:tcW w:w="1188" w:type="dxa"/>
            <w:vAlign w:val="top"/>
          </w:tcPr>
          <w:p>
            <w:pPr>
              <w:ind w:left="676"/>
              <w:spacing w:before="137" w:line="190" w:lineRule="auto"/>
              <w:rPr>
                <w:rFonts w:ascii="SimSun" w:hAnsi="SimSun" w:eastAsia="SimSun" w:cs="SimSun"/>
                <w:sz w:val="15"/>
                <w:szCs w:val="15"/>
              </w:rPr>
            </w:pPr>
            <w:r>
              <w:rPr>
                <w:rFonts w:ascii="SimSun" w:hAnsi="SimSun" w:eastAsia="SimSun" w:cs="SimSun"/>
                <w:sz w:val="15"/>
                <w:szCs w:val="15"/>
                <w:color w:val="212529"/>
                <w:spacing w:val="4"/>
              </w:rPr>
              <w:t>377.62</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71"/>
              <w:spacing w:before="113"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88" w:type="dxa"/>
            <w:vAlign w:val="top"/>
          </w:tcPr>
          <w:p>
            <w:pPr>
              <w:ind w:left="683"/>
              <w:spacing w:before="137" w:line="191" w:lineRule="auto"/>
              <w:rPr>
                <w:rFonts w:ascii="SimSun" w:hAnsi="SimSun" w:eastAsia="SimSun" w:cs="SimSun"/>
                <w:sz w:val="15"/>
                <w:szCs w:val="15"/>
              </w:rPr>
            </w:pPr>
            <w:r>
              <w:rPr>
                <w:rFonts w:ascii="SimSun" w:hAnsi="SimSun" w:eastAsia="SimSun" w:cs="SimSun"/>
                <w:sz w:val="15"/>
                <w:szCs w:val="15"/>
                <w:color w:val="212529"/>
                <w:spacing w:val="2"/>
              </w:rPr>
              <w:t>107.00</w:t>
            </w:r>
          </w:p>
        </w:tc>
        <w:tc>
          <w:tcPr>
            <w:tcW w:w="1188" w:type="dxa"/>
            <w:vAlign w:val="top"/>
          </w:tcPr>
          <w:p>
            <w:pPr>
              <w:ind w:left="684"/>
              <w:spacing w:before="137" w:line="191" w:lineRule="auto"/>
              <w:rPr>
                <w:rFonts w:ascii="SimSun" w:hAnsi="SimSun" w:eastAsia="SimSun" w:cs="SimSun"/>
                <w:sz w:val="15"/>
                <w:szCs w:val="15"/>
              </w:rPr>
            </w:pPr>
            <w:r>
              <w:rPr>
                <w:rFonts w:ascii="SimSun" w:hAnsi="SimSun" w:eastAsia="SimSun" w:cs="SimSun"/>
                <w:sz w:val="15"/>
                <w:szCs w:val="15"/>
                <w:color w:val="212529"/>
                <w:spacing w:val="2"/>
              </w:rPr>
              <w:t>107.00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82"/>
              <w:spacing w:before="113" w:line="229" w:lineRule="auto"/>
              <w:rPr>
                <w:rFonts w:ascii="SimSun" w:hAnsi="SimSun" w:eastAsia="SimSun" w:cs="SimSun"/>
                <w:sz w:val="15"/>
                <w:szCs w:val="15"/>
              </w:rPr>
            </w:pPr>
            <w:r>
              <w:rPr>
                <w:rFonts w:ascii="SimSun" w:hAnsi="SimSun" w:eastAsia="SimSun" w:cs="SimSun"/>
                <w:sz w:val="15"/>
                <w:szCs w:val="15"/>
                <w:color w:val="212529"/>
                <w:spacing w:val="10"/>
              </w:rPr>
              <w:t>园区党群活动中心房屋租赁费</w:t>
            </w:r>
          </w:p>
        </w:tc>
        <w:tc>
          <w:tcPr>
            <w:tcW w:w="1188" w:type="dxa"/>
            <w:vAlign w:val="top"/>
          </w:tcPr>
          <w:p>
            <w:pPr>
              <w:ind w:left="753"/>
              <w:spacing w:before="138" w:line="190" w:lineRule="auto"/>
              <w:rPr>
                <w:rFonts w:ascii="SimSun" w:hAnsi="SimSun" w:eastAsia="SimSun" w:cs="SimSun"/>
                <w:sz w:val="15"/>
                <w:szCs w:val="15"/>
              </w:rPr>
            </w:pPr>
            <w:r>
              <w:rPr>
                <w:rFonts w:ascii="SimSun" w:hAnsi="SimSun" w:eastAsia="SimSun" w:cs="SimSun"/>
                <w:sz w:val="15"/>
                <w:szCs w:val="15"/>
                <w:color w:val="212529"/>
                <w:spacing w:val="4"/>
              </w:rPr>
              <w:t>68.00</w:t>
            </w:r>
          </w:p>
        </w:tc>
        <w:tc>
          <w:tcPr>
            <w:tcW w:w="1188" w:type="dxa"/>
            <w:vAlign w:val="top"/>
          </w:tcPr>
          <w:p>
            <w:pPr>
              <w:ind w:left="755"/>
              <w:spacing w:before="138" w:line="190" w:lineRule="auto"/>
              <w:rPr>
                <w:rFonts w:ascii="SimSun" w:hAnsi="SimSun" w:eastAsia="SimSun" w:cs="SimSun"/>
                <w:sz w:val="15"/>
                <w:szCs w:val="15"/>
              </w:rPr>
            </w:pPr>
            <w:r>
              <w:rPr>
                <w:rFonts w:ascii="SimSun" w:hAnsi="SimSun" w:eastAsia="SimSun" w:cs="SimSun"/>
                <w:sz w:val="15"/>
                <w:szCs w:val="15"/>
                <w:color w:val="212529"/>
                <w:spacing w:val="4"/>
              </w:rPr>
              <w:t>68.00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72"/>
              <w:spacing w:before="113" w:line="229" w:lineRule="auto"/>
              <w:rPr>
                <w:rFonts w:ascii="SimSun" w:hAnsi="SimSun" w:eastAsia="SimSun" w:cs="SimSun"/>
                <w:sz w:val="15"/>
                <w:szCs w:val="15"/>
              </w:rPr>
            </w:pPr>
            <w:r>
              <w:rPr>
                <w:rFonts w:ascii="SimSun" w:hAnsi="SimSun" w:eastAsia="SimSun" w:cs="SimSun"/>
                <w:sz w:val="15"/>
                <w:szCs w:val="15"/>
                <w:color w:val="212529"/>
                <w:spacing w:val="10"/>
              </w:rPr>
              <w:t>办公用房租赁费</w:t>
            </w:r>
          </w:p>
        </w:tc>
        <w:tc>
          <w:tcPr>
            <w:tcW w:w="1188" w:type="dxa"/>
            <w:vAlign w:val="top"/>
          </w:tcPr>
          <w:p>
            <w:pPr>
              <w:ind w:left="755"/>
              <w:spacing w:before="138" w:line="190" w:lineRule="auto"/>
              <w:rPr>
                <w:rFonts w:ascii="SimSun" w:hAnsi="SimSun" w:eastAsia="SimSun" w:cs="SimSun"/>
                <w:sz w:val="15"/>
                <w:szCs w:val="15"/>
              </w:rPr>
            </w:pPr>
            <w:r>
              <w:rPr>
                <w:rFonts w:ascii="SimSun" w:hAnsi="SimSun" w:eastAsia="SimSun" w:cs="SimSun"/>
                <w:sz w:val="15"/>
                <w:szCs w:val="15"/>
                <w:color w:val="212529"/>
                <w:spacing w:val="3"/>
              </w:rPr>
              <w:t>39.40</w:t>
            </w:r>
          </w:p>
        </w:tc>
        <w:tc>
          <w:tcPr>
            <w:tcW w:w="1188" w:type="dxa"/>
            <w:vAlign w:val="top"/>
          </w:tcPr>
          <w:p>
            <w:pPr>
              <w:ind w:left="757"/>
              <w:spacing w:before="138" w:line="190" w:lineRule="auto"/>
              <w:rPr>
                <w:rFonts w:ascii="SimSun" w:hAnsi="SimSun" w:eastAsia="SimSun" w:cs="SimSun"/>
                <w:sz w:val="15"/>
                <w:szCs w:val="15"/>
              </w:rPr>
            </w:pPr>
            <w:r>
              <w:rPr>
                <w:rFonts w:ascii="SimSun" w:hAnsi="SimSun" w:eastAsia="SimSun" w:cs="SimSun"/>
                <w:sz w:val="15"/>
                <w:szCs w:val="15"/>
                <w:color w:val="212529"/>
                <w:spacing w:val="3"/>
              </w:rPr>
              <w:t>39.40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82"/>
              <w:spacing w:before="114" w:line="229" w:lineRule="auto"/>
              <w:rPr>
                <w:rFonts w:ascii="SimSun" w:hAnsi="SimSun" w:eastAsia="SimSun" w:cs="SimSun"/>
                <w:sz w:val="15"/>
                <w:szCs w:val="15"/>
              </w:rPr>
            </w:pPr>
            <w:r>
              <w:rPr>
                <w:rFonts w:ascii="SimSun" w:hAnsi="SimSun" w:eastAsia="SimSun" w:cs="SimSun"/>
                <w:sz w:val="15"/>
                <w:szCs w:val="15"/>
                <w:color w:val="212529"/>
                <w:spacing w:val="8"/>
              </w:rPr>
              <w:t>园区办公电费</w:t>
            </w:r>
          </w:p>
        </w:tc>
        <w:tc>
          <w:tcPr>
            <w:tcW w:w="1188" w:type="dxa"/>
            <w:vAlign w:val="top"/>
          </w:tcPr>
          <w:p>
            <w:pPr>
              <w:ind w:left="835"/>
              <w:spacing w:before="138" w:line="190" w:lineRule="auto"/>
              <w:rPr>
                <w:rFonts w:ascii="SimSun" w:hAnsi="SimSun" w:eastAsia="SimSun" w:cs="SimSun"/>
                <w:sz w:val="15"/>
                <w:szCs w:val="15"/>
              </w:rPr>
            </w:pPr>
            <w:r>
              <w:rPr>
                <w:rFonts w:ascii="SimSun" w:hAnsi="SimSun" w:eastAsia="SimSun" w:cs="SimSun"/>
                <w:sz w:val="15"/>
                <w:szCs w:val="15"/>
                <w:color w:val="212529"/>
                <w:spacing w:val="3"/>
              </w:rPr>
              <w:t>2.50</w:t>
            </w:r>
          </w:p>
        </w:tc>
        <w:tc>
          <w:tcPr>
            <w:tcW w:w="1188" w:type="dxa"/>
            <w:vAlign w:val="top"/>
          </w:tcPr>
          <w:p>
            <w:pPr>
              <w:ind w:left="837"/>
              <w:spacing w:before="138" w:line="190" w:lineRule="auto"/>
              <w:rPr>
                <w:rFonts w:ascii="SimSun" w:hAnsi="SimSun" w:eastAsia="SimSun" w:cs="SimSun"/>
                <w:sz w:val="15"/>
                <w:szCs w:val="15"/>
              </w:rPr>
            </w:pPr>
            <w:r>
              <w:rPr>
                <w:rFonts w:ascii="SimSun" w:hAnsi="SimSun" w:eastAsia="SimSun" w:cs="SimSun"/>
                <w:sz w:val="15"/>
                <w:szCs w:val="15"/>
                <w:color w:val="212529"/>
                <w:spacing w:val="3"/>
              </w:rPr>
              <w:t>2.50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75"/>
              <w:spacing w:before="114" w:line="230" w:lineRule="auto"/>
              <w:rPr>
                <w:rFonts w:ascii="SimSun" w:hAnsi="SimSun" w:eastAsia="SimSun" w:cs="SimSun"/>
                <w:sz w:val="15"/>
                <w:szCs w:val="15"/>
              </w:rPr>
            </w:pPr>
            <w:r>
              <w:rPr>
                <w:rFonts w:ascii="SimSun" w:hAnsi="SimSun" w:eastAsia="SimSun" w:cs="SimSun"/>
                <w:sz w:val="15"/>
                <w:szCs w:val="15"/>
                <w:color w:val="212529"/>
                <w:spacing w:val="6"/>
              </w:rPr>
              <w:t>暖气费</w:t>
            </w:r>
          </w:p>
        </w:tc>
        <w:tc>
          <w:tcPr>
            <w:tcW w:w="1188" w:type="dxa"/>
            <w:vAlign w:val="top"/>
          </w:tcPr>
          <w:p>
            <w:pPr>
              <w:ind w:left="845"/>
              <w:spacing w:before="138" w:line="191" w:lineRule="auto"/>
              <w:rPr>
                <w:rFonts w:ascii="SimSun" w:hAnsi="SimSun" w:eastAsia="SimSun" w:cs="SimSun"/>
                <w:sz w:val="15"/>
                <w:szCs w:val="15"/>
              </w:rPr>
            </w:pPr>
            <w:r>
              <w:rPr>
                <w:rFonts w:ascii="SimSun" w:hAnsi="SimSun" w:eastAsia="SimSun" w:cs="SimSun"/>
                <w:sz w:val="15"/>
                <w:szCs w:val="15"/>
                <w:color w:val="212529"/>
                <w:spacing w:val="1"/>
              </w:rPr>
              <w:t>1.32</w:t>
            </w:r>
          </w:p>
        </w:tc>
        <w:tc>
          <w:tcPr>
            <w:tcW w:w="1188" w:type="dxa"/>
            <w:vAlign w:val="top"/>
          </w:tcPr>
          <w:p>
            <w:pPr>
              <w:ind w:left="847"/>
              <w:spacing w:before="138" w:line="191" w:lineRule="auto"/>
              <w:rPr>
                <w:rFonts w:ascii="SimSun" w:hAnsi="SimSun" w:eastAsia="SimSun" w:cs="SimSun"/>
                <w:sz w:val="15"/>
                <w:szCs w:val="15"/>
              </w:rPr>
            </w:pPr>
            <w:r>
              <w:rPr>
                <w:rFonts w:ascii="SimSun" w:hAnsi="SimSun" w:eastAsia="SimSun" w:cs="SimSun"/>
                <w:sz w:val="15"/>
                <w:szCs w:val="15"/>
                <w:color w:val="212529"/>
                <w:spacing w:val="1"/>
              </w:rPr>
              <w:t>1.32</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8" w:hRule="atLeast"/>
        </w:trPr>
        <w:tc>
          <w:tcPr>
            <w:tcW w:w="2727"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11"/>
              </w:rPr>
              <w:t>市级开发区考核奖励资金</w:t>
            </w:r>
          </w:p>
        </w:tc>
        <w:tc>
          <w:tcPr>
            <w:tcW w:w="1188" w:type="dxa"/>
            <w:vAlign w:val="top"/>
          </w:tcPr>
          <w:p>
            <w:pPr>
              <w:ind w:left="836"/>
              <w:spacing w:before="139"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1188" w:type="dxa"/>
            <w:vAlign w:val="top"/>
          </w:tcPr>
          <w:p>
            <w:pPr>
              <w:ind w:left="838"/>
              <w:spacing w:before="139"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79"/>
              <w:spacing w:before="115" w:line="229" w:lineRule="auto"/>
              <w:rPr>
                <w:rFonts w:ascii="SimSun" w:hAnsi="SimSun" w:eastAsia="SimSun" w:cs="SimSun"/>
                <w:sz w:val="15"/>
                <w:szCs w:val="15"/>
              </w:rPr>
            </w:pPr>
            <w:r>
              <w:rPr>
                <w:rFonts w:ascii="SimSun" w:hAnsi="SimSun" w:eastAsia="SimSun" w:cs="SimSun"/>
                <w:sz w:val="15"/>
                <w:szCs w:val="15"/>
                <w:color w:val="212529"/>
                <w:spacing w:val="9"/>
              </w:rPr>
              <w:t>临聘人员工作经费</w:t>
            </w:r>
          </w:p>
        </w:tc>
        <w:tc>
          <w:tcPr>
            <w:tcW w:w="1188" w:type="dxa"/>
            <w:vAlign w:val="top"/>
          </w:tcPr>
          <w:p>
            <w:pPr>
              <w:ind w:left="845"/>
              <w:spacing w:before="139" w:line="191" w:lineRule="auto"/>
              <w:rPr>
                <w:rFonts w:ascii="SimSun" w:hAnsi="SimSun" w:eastAsia="SimSun" w:cs="SimSun"/>
                <w:sz w:val="15"/>
                <w:szCs w:val="15"/>
              </w:rPr>
            </w:pPr>
            <w:r>
              <w:rPr>
                <w:rFonts w:ascii="SimSun" w:hAnsi="SimSun" w:eastAsia="SimSun" w:cs="SimSun"/>
                <w:sz w:val="15"/>
                <w:szCs w:val="15"/>
                <w:color w:val="212529"/>
                <w:spacing w:val="1"/>
              </w:rPr>
              <w:t>1.80</w:t>
            </w:r>
          </w:p>
        </w:tc>
        <w:tc>
          <w:tcPr>
            <w:tcW w:w="1188" w:type="dxa"/>
            <w:vAlign w:val="top"/>
          </w:tcPr>
          <w:p>
            <w:pPr>
              <w:ind w:left="847"/>
              <w:spacing w:before="139" w:line="191" w:lineRule="auto"/>
              <w:rPr>
                <w:rFonts w:ascii="SimSun" w:hAnsi="SimSun" w:eastAsia="SimSun" w:cs="SimSun"/>
                <w:sz w:val="15"/>
                <w:szCs w:val="15"/>
              </w:rPr>
            </w:pPr>
            <w:r>
              <w:rPr>
                <w:rFonts w:ascii="SimSun" w:hAnsi="SimSun" w:eastAsia="SimSun" w:cs="SimSun"/>
                <w:sz w:val="15"/>
                <w:szCs w:val="15"/>
                <w:color w:val="212529"/>
                <w:spacing w:val="1"/>
              </w:rPr>
              <w:t>1.80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0"/>
              </w:rPr>
              <w:t>安全专家劳务费</w:t>
            </w:r>
          </w:p>
        </w:tc>
        <w:tc>
          <w:tcPr>
            <w:tcW w:w="1188" w:type="dxa"/>
            <w:vAlign w:val="top"/>
          </w:tcPr>
          <w:p>
            <w:pPr>
              <w:ind w:left="836"/>
              <w:spacing w:before="140" w:line="190" w:lineRule="auto"/>
              <w:rPr>
                <w:rFonts w:ascii="SimSun" w:hAnsi="SimSun" w:eastAsia="SimSun" w:cs="SimSun"/>
                <w:sz w:val="15"/>
                <w:szCs w:val="15"/>
              </w:rPr>
            </w:pPr>
            <w:r>
              <w:rPr>
                <w:rFonts w:ascii="SimSun" w:hAnsi="SimSun" w:eastAsia="SimSun" w:cs="SimSun"/>
                <w:sz w:val="15"/>
                <w:szCs w:val="15"/>
                <w:color w:val="212529"/>
                <w:spacing w:val="3"/>
              </w:rPr>
              <w:t>3.60</w:t>
            </w:r>
          </w:p>
        </w:tc>
        <w:tc>
          <w:tcPr>
            <w:tcW w:w="1188" w:type="dxa"/>
            <w:vAlign w:val="top"/>
          </w:tcPr>
          <w:p>
            <w:pPr>
              <w:ind w:left="838"/>
              <w:spacing w:before="140" w:line="190" w:lineRule="auto"/>
              <w:rPr>
                <w:rFonts w:ascii="SimSun" w:hAnsi="SimSun" w:eastAsia="SimSun" w:cs="SimSun"/>
                <w:sz w:val="15"/>
                <w:szCs w:val="15"/>
              </w:rPr>
            </w:pPr>
            <w:r>
              <w:rPr>
                <w:rFonts w:ascii="SimSun" w:hAnsi="SimSun" w:eastAsia="SimSun" w:cs="SimSun"/>
                <w:sz w:val="15"/>
                <w:szCs w:val="15"/>
                <w:color w:val="212529"/>
                <w:spacing w:val="3"/>
              </w:rPr>
              <w:t>3.60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82"/>
              <w:spacing w:before="116" w:line="229" w:lineRule="auto"/>
              <w:rPr>
                <w:rFonts w:ascii="SimSun" w:hAnsi="SimSun" w:eastAsia="SimSun" w:cs="SimSun"/>
                <w:sz w:val="15"/>
                <w:szCs w:val="15"/>
              </w:rPr>
            </w:pPr>
            <w:r>
              <w:rPr>
                <w:rFonts w:ascii="SimSun" w:hAnsi="SimSun" w:eastAsia="SimSun" w:cs="SimSun"/>
                <w:sz w:val="15"/>
                <w:szCs w:val="15"/>
                <w:color w:val="212529"/>
                <w:spacing w:val="9"/>
              </w:rPr>
              <w:t>园区非公党委水电暖费</w:t>
            </w:r>
          </w:p>
        </w:tc>
        <w:tc>
          <w:tcPr>
            <w:tcW w:w="1188" w:type="dxa"/>
            <w:vAlign w:val="top"/>
          </w:tcPr>
          <w:p>
            <w:pPr>
              <w:ind w:left="764"/>
              <w:spacing w:before="140" w:line="191" w:lineRule="auto"/>
              <w:rPr>
                <w:rFonts w:ascii="SimSun" w:hAnsi="SimSun" w:eastAsia="SimSun" w:cs="SimSun"/>
                <w:sz w:val="15"/>
                <w:szCs w:val="15"/>
              </w:rPr>
            </w:pPr>
            <w:r>
              <w:rPr>
                <w:rFonts w:ascii="SimSun" w:hAnsi="SimSun" w:eastAsia="SimSun" w:cs="SimSun"/>
                <w:sz w:val="15"/>
                <w:szCs w:val="15"/>
                <w:color w:val="212529"/>
                <w:spacing w:val="2"/>
              </w:rPr>
              <w:t>11.00</w:t>
            </w:r>
          </w:p>
        </w:tc>
        <w:tc>
          <w:tcPr>
            <w:tcW w:w="1188" w:type="dxa"/>
            <w:vAlign w:val="top"/>
          </w:tcPr>
          <w:p>
            <w:pPr>
              <w:ind w:left="766"/>
              <w:spacing w:before="140" w:line="191" w:lineRule="auto"/>
              <w:rPr>
                <w:rFonts w:ascii="SimSun" w:hAnsi="SimSun" w:eastAsia="SimSun" w:cs="SimSun"/>
                <w:sz w:val="15"/>
                <w:szCs w:val="15"/>
              </w:rPr>
            </w:pPr>
            <w:r>
              <w:rPr>
                <w:rFonts w:ascii="SimSun" w:hAnsi="SimSun" w:eastAsia="SimSun" w:cs="SimSun"/>
                <w:sz w:val="15"/>
                <w:szCs w:val="15"/>
                <w:color w:val="212529"/>
                <w:spacing w:val="2"/>
              </w:rPr>
              <w:t>11.00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8" w:hRule="atLeast"/>
        </w:trPr>
        <w:tc>
          <w:tcPr>
            <w:tcW w:w="2727" w:type="dxa"/>
            <w:vAlign w:val="top"/>
          </w:tcPr>
          <w:p>
            <w:pPr>
              <w:ind w:left="7" w:right="152" w:firstLine="164"/>
              <w:spacing w:before="29" w:line="208" w:lineRule="auto"/>
              <w:rPr>
                <w:rFonts w:ascii="SimSun" w:hAnsi="SimSun" w:eastAsia="SimSun" w:cs="SimSun"/>
                <w:sz w:val="15"/>
                <w:szCs w:val="15"/>
              </w:rPr>
            </w:pPr>
            <w:r>
              <w:rPr>
                <w:rFonts w:ascii="SimSun" w:hAnsi="SimSun" w:eastAsia="SimSun" w:cs="SimSun"/>
                <w:sz w:val="15"/>
                <w:szCs w:val="15"/>
                <w:color w:val="212529"/>
                <w:spacing w:val="9"/>
              </w:rPr>
              <w:t>非公党支部工作经费、支部书记、</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11"/>
              </w:rPr>
              <w:t>党务工作者补助党支部活动经费</w:t>
            </w:r>
          </w:p>
        </w:tc>
        <w:tc>
          <w:tcPr>
            <w:tcW w:w="1188" w:type="dxa"/>
            <w:vAlign w:val="top"/>
          </w:tcPr>
          <w:p>
            <w:pPr>
              <w:ind w:left="764"/>
              <w:spacing w:before="140"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188" w:type="dxa"/>
            <w:vAlign w:val="top"/>
          </w:tcPr>
          <w:p>
            <w:pPr>
              <w:ind w:left="766"/>
              <w:spacing w:before="140"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82"/>
              <w:spacing w:before="117" w:line="229" w:lineRule="auto"/>
              <w:rPr>
                <w:rFonts w:ascii="SimSun" w:hAnsi="SimSun" w:eastAsia="SimSun" w:cs="SimSun"/>
                <w:sz w:val="15"/>
                <w:szCs w:val="15"/>
              </w:rPr>
            </w:pPr>
            <w:r>
              <w:rPr>
                <w:rFonts w:ascii="SimSun" w:hAnsi="SimSun" w:eastAsia="SimSun" w:cs="SimSun"/>
                <w:sz w:val="15"/>
                <w:szCs w:val="15"/>
                <w:color w:val="212529"/>
                <w:spacing w:val="10"/>
              </w:rPr>
              <w:t>园区非公党委党群中心修缮费</w:t>
            </w:r>
          </w:p>
        </w:tc>
        <w:tc>
          <w:tcPr>
            <w:tcW w:w="1188" w:type="dxa"/>
            <w:vAlign w:val="top"/>
          </w:tcPr>
          <w:p>
            <w:pPr>
              <w:ind w:left="835"/>
              <w:spacing w:before="142" w:line="190" w:lineRule="auto"/>
              <w:rPr>
                <w:rFonts w:ascii="SimSun" w:hAnsi="SimSun" w:eastAsia="SimSun" w:cs="SimSun"/>
                <w:sz w:val="15"/>
                <w:szCs w:val="15"/>
              </w:rPr>
            </w:pPr>
            <w:r>
              <w:rPr>
                <w:rFonts w:ascii="SimSun" w:hAnsi="SimSun" w:eastAsia="SimSun" w:cs="SimSun"/>
                <w:sz w:val="15"/>
                <w:szCs w:val="15"/>
                <w:color w:val="212529"/>
                <w:spacing w:val="3"/>
              </w:rPr>
              <w:t>2.50</w:t>
            </w:r>
          </w:p>
        </w:tc>
        <w:tc>
          <w:tcPr>
            <w:tcW w:w="1188" w:type="dxa"/>
            <w:vAlign w:val="top"/>
          </w:tcPr>
          <w:p>
            <w:pPr>
              <w:ind w:left="837"/>
              <w:spacing w:before="142" w:line="190" w:lineRule="auto"/>
              <w:rPr>
                <w:rFonts w:ascii="SimSun" w:hAnsi="SimSun" w:eastAsia="SimSun" w:cs="SimSun"/>
                <w:sz w:val="15"/>
                <w:szCs w:val="15"/>
              </w:rPr>
            </w:pPr>
            <w:r>
              <w:rPr>
                <w:rFonts w:ascii="SimSun" w:hAnsi="SimSun" w:eastAsia="SimSun" w:cs="SimSun"/>
                <w:sz w:val="15"/>
                <w:szCs w:val="15"/>
                <w:color w:val="212529"/>
                <w:spacing w:val="3"/>
              </w:rPr>
              <w:t>2.50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79" w:hRule="atLeast"/>
        </w:trPr>
        <w:tc>
          <w:tcPr>
            <w:tcW w:w="2727" w:type="dxa"/>
            <w:vAlign w:val="top"/>
          </w:tcPr>
          <w:p>
            <w:pPr>
              <w:ind w:left="11" w:right="125" w:firstLine="170"/>
              <w:spacing w:before="31" w:line="208" w:lineRule="auto"/>
              <w:rPr>
                <w:rFonts w:ascii="SimSun" w:hAnsi="SimSun" w:eastAsia="SimSun" w:cs="SimSun"/>
                <w:sz w:val="15"/>
                <w:szCs w:val="15"/>
              </w:rPr>
            </w:pPr>
            <w:r>
              <w:rPr>
                <w:rFonts w:ascii="SimSun" w:hAnsi="SimSun" w:eastAsia="SimSun" w:cs="SimSun"/>
                <w:sz w:val="15"/>
                <w:szCs w:val="15"/>
                <w:color w:val="212529"/>
                <w:spacing w:val="10"/>
              </w:rPr>
              <w:t>园区非公党委经费党群活动中心办</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9"/>
              </w:rPr>
              <w:t>公及运行费</w:t>
            </w:r>
          </w:p>
        </w:tc>
        <w:tc>
          <w:tcPr>
            <w:tcW w:w="1188" w:type="dxa"/>
            <w:vAlign w:val="top"/>
          </w:tcPr>
          <w:p>
            <w:pPr>
              <w:ind w:left="837"/>
              <w:spacing w:before="142"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1188" w:type="dxa"/>
            <w:vAlign w:val="top"/>
          </w:tcPr>
          <w:p>
            <w:pPr>
              <w:ind w:left="839"/>
              <w:spacing w:before="142"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r>
        <w:trPr>
          <w:trHeight w:val="384" w:hRule="atLeast"/>
        </w:trPr>
        <w:tc>
          <w:tcPr>
            <w:tcW w:w="2727" w:type="dxa"/>
            <w:vAlign w:val="top"/>
          </w:tcPr>
          <w:p>
            <w:pPr>
              <w:ind w:left="5" w:right="125" w:firstLine="163"/>
              <w:spacing w:before="31" w:line="211" w:lineRule="auto"/>
              <w:rPr>
                <w:rFonts w:ascii="SimSun" w:hAnsi="SimSun" w:eastAsia="SimSun" w:cs="SimSun"/>
                <w:sz w:val="15"/>
                <w:szCs w:val="15"/>
              </w:rPr>
            </w:pPr>
            <w:r>
              <w:rPr>
                <w:rFonts w:ascii="SimSun" w:hAnsi="SimSun" w:eastAsia="SimSun" w:cs="SimSun"/>
                <w:sz w:val="15"/>
                <w:szCs w:val="15"/>
                <w:color w:val="212529"/>
                <w:spacing w:val="11"/>
              </w:rPr>
              <w:t>创新药物研发和产业化项目活动策</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划经费</w:t>
            </w:r>
          </w:p>
        </w:tc>
        <w:tc>
          <w:tcPr>
            <w:tcW w:w="1188" w:type="dxa"/>
            <w:vAlign w:val="top"/>
          </w:tcPr>
          <w:p>
            <w:pPr>
              <w:ind w:left="683"/>
              <w:spacing w:before="141" w:line="191" w:lineRule="auto"/>
              <w:rPr>
                <w:rFonts w:ascii="SimSun" w:hAnsi="SimSun" w:eastAsia="SimSun" w:cs="SimSun"/>
                <w:sz w:val="15"/>
                <w:szCs w:val="15"/>
              </w:rPr>
            </w:pPr>
            <w:r>
              <w:rPr>
                <w:rFonts w:ascii="SimSun" w:hAnsi="SimSun" w:eastAsia="SimSun" w:cs="SimSun"/>
                <w:sz w:val="15"/>
                <w:szCs w:val="15"/>
                <w:color w:val="212529"/>
                <w:spacing w:val="2"/>
              </w:rPr>
              <w:t>120.00</w:t>
            </w:r>
          </w:p>
        </w:tc>
        <w:tc>
          <w:tcPr>
            <w:tcW w:w="1188" w:type="dxa"/>
            <w:vAlign w:val="top"/>
          </w:tcPr>
          <w:p>
            <w:pPr>
              <w:ind w:left="684"/>
              <w:spacing w:before="141" w:line="191" w:lineRule="auto"/>
              <w:rPr>
                <w:rFonts w:ascii="SimSun" w:hAnsi="SimSun" w:eastAsia="SimSun" w:cs="SimSun"/>
                <w:sz w:val="15"/>
                <w:szCs w:val="15"/>
              </w:rPr>
            </w:pPr>
            <w:r>
              <w:rPr>
                <w:rFonts w:ascii="SimSun" w:hAnsi="SimSun" w:eastAsia="SimSun" w:cs="SimSun"/>
                <w:sz w:val="15"/>
                <w:szCs w:val="15"/>
                <w:color w:val="212529"/>
                <w:spacing w:val="2"/>
              </w:rPr>
              <w:t>120.00</w:t>
            </w:r>
          </w:p>
        </w:tc>
        <w:tc>
          <w:tcPr>
            <w:tcW w:w="788" w:type="dxa"/>
            <w:vAlign w:val="top"/>
          </w:tcPr>
          <w:p>
            <w:pPr>
              <w:pStyle w:val="TableText"/>
              <w:rPr/>
            </w:pPr>
            <w:r/>
          </w:p>
        </w:tc>
        <w:tc>
          <w:tcPr>
            <w:tcW w:w="1285" w:type="dxa"/>
            <w:vAlign w:val="top"/>
          </w:tcPr>
          <w:p>
            <w:pPr>
              <w:pStyle w:val="TableText"/>
              <w:rPr/>
            </w:pPr>
            <w:r/>
          </w:p>
        </w:tc>
        <w:tc>
          <w:tcPr>
            <w:tcW w:w="1102" w:type="dxa"/>
            <w:vAlign w:val="top"/>
          </w:tcPr>
          <w:p>
            <w:pPr>
              <w:pStyle w:val="TableText"/>
              <w:rPr/>
            </w:pPr>
            <w:r/>
          </w:p>
        </w:tc>
        <w:tc>
          <w:tcPr>
            <w:tcW w:w="880" w:type="dxa"/>
            <w:vAlign w:val="top"/>
          </w:tcPr>
          <w:p>
            <w:pPr>
              <w:pStyle w:val="TableText"/>
              <w:rPr/>
            </w:pPr>
            <w:r/>
          </w:p>
        </w:tc>
      </w:tr>
    </w:tbl>
    <w:p>
      <w:pPr>
        <w:pStyle w:val="BodyText"/>
        <w:rPr/>
      </w:pPr>
      <w:r/>
    </w:p>
    <w:p>
      <w:pPr>
        <w:sectPr>
          <w:headerReference w:type="default" r:id="rId29"/>
          <w:footerReference w:type="default" r:id="rId30"/>
          <w:pgSz w:w="11900" w:h="16840"/>
          <w:pgMar w:top="610" w:right="86" w:bottom="312" w:left="0" w:header="357" w:footer="153" w:gutter="0"/>
        </w:sectPr>
        <w:rPr/>
      </w:pPr>
    </w:p>
    <w:p>
      <w:pPr>
        <w:spacing w:before="119"/>
        <w:rPr/>
      </w:pPr>
      <w:r>
        <w:pict>
          <v:shape id="_x0000_s246" style="position:absolute;margin-left:68.2717pt;margin-top:58.2865pt;mso-position-vertical-relative:page;mso-position-horizontal-relative:page;width:180.3pt;height:10.85pt;z-index:25167564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6"/>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4"/>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7"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4"/>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598"/>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0"/>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4"/>
          <w:footerReference w:type="default" r:id="rId31"/>
          <w:pgSz w:w="11900" w:h="16840"/>
          <w:pgMar w:top="610" w:right="86" w:bottom="312" w:left="0" w:header="357" w:footer="153" w:gutter="0"/>
        </w:sectPr>
        <w:rPr/>
      </w:pPr>
    </w:p>
    <w:p>
      <w:pPr>
        <w:pStyle w:val="BodyText"/>
        <w:spacing w:line="350" w:lineRule="auto"/>
        <w:rPr/>
      </w:pPr>
      <w:r/>
    </w:p>
    <w:p>
      <w:pPr>
        <w:pStyle w:val="BodyText"/>
        <w:spacing w:line="351"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1263" w:right="1136" w:firstLine="456"/>
        <w:spacing w:before="184" w:line="318" w:lineRule="auto"/>
        <w:rPr>
          <w:rFonts w:ascii="FangSong" w:hAnsi="FangSong" w:eastAsia="FangSong" w:cs="FangSong"/>
          <w:sz w:val="23"/>
          <w:szCs w:val="23"/>
        </w:rPr>
      </w:pPr>
      <w:r>
        <w:rPr>
          <w:rFonts w:ascii="FangSong" w:hAnsi="FangSong" w:eastAsia="FangSong" w:cs="FangSong"/>
          <w:sz w:val="23"/>
          <w:szCs w:val="23"/>
          <w:spacing w:val="5"/>
        </w:rPr>
        <w:t>2025年度长治高新区老顶山物流园事业服务中心预算收入总计539.42万元，其中：本年</w:t>
      </w:r>
      <w:r>
        <w:rPr>
          <w:rFonts w:ascii="FangSong" w:hAnsi="FangSong" w:eastAsia="FangSong" w:cs="FangSong"/>
          <w:sz w:val="23"/>
          <w:szCs w:val="23"/>
        </w:rPr>
        <w:t xml:space="preserve"> </w:t>
      </w:r>
      <w:r>
        <w:rPr>
          <w:rFonts w:ascii="FangSong" w:hAnsi="FangSong" w:eastAsia="FangSong" w:cs="FangSong"/>
          <w:sz w:val="23"/>
          <w:szCs w:val="23"/>
          <w:spacing w:val="2"/>
        </w:rPr>
        <w:t>收入539.42万元，上年结转0万元，比上年增加225.64万元，增长71.91%，主要原因</w:t>
      </w:r>
      <w:r>
        <w:rPr>
          <w:rFonts w:ascii="FangSong" w:hAnsi="FangSong" w:eastAsia="FangSong" w:cs="FangSong"/>
          <w:sz w:val="23"/>
          <w:szCs w:val="23"/>
          <w:spacing w:val="1"/>
        </w:rPr>
        <w:t>是在职员</w:t>
      </w:r>
      <w:r>
        <w:rPr>
          <w:rFonts w:ascii="FangSong" w:hAnsi="FangSong" w:eastAsia="FangSong" w:cs="FangSong"/>
          <w:sz w:val="23"/>
          <w:szCs w:val="23"/>
        </w:rPr>
        <w:t xml:space="preserve"> </w:t>
      </w:r>
      <w:r>
        <w:rPr>
          <w:rFonts w:ascii="FangSong" w:hAnsi="FangSong" w:eastAsia="FangSong" w:cs="FangSong"/>
          <w:sz w:val="23"/>
          <w:szCs w:val="23"/>
          <w:spacing w:val="4"/>
        </w:rPr>
        <w:t>工工资福利上调，公积金基数调整。其次今年新增“</w:t>
      </w:r>
      <w:r>
        <w:rPr>
          <w:rFonts w:ascii="FangSong" w:hAnsi="FangSong" w:eastAsia="FangSong" w:cs="FangSong"/>
          <w:sz w:val="23"/>
          <w:szCs w:val="23"/>
          <w:spacing w:val="-88"/>
        </w:rPr>
        <w:t xml:space="preserve"> </w:t>
      </w:r>
      <w:r>
        <w:rPr>
          <w:rFonts w:ascii="FangSong" w:hAnsi="FangSong" w:eastAsia="FangSong" w:cs="FangSong"/>
          <w:sz w:val="23"/>
          <w:szCs w:val="23"/>
          <w:spacing w:val="4"/>
        </w:rPr>
        <w:t>三个一批</w:t>
      </w:r>
      <w:r>
        <w:rPr>
          <w:rFonts w:ascii="FangSong" w:hAnsi="FangSong" w:eastAsia="FangSong" w:cs="FangSong"/>
          <w:sz w:val="23"/>
          <w:szCs w:val="23"/>
          <w:spacing w:val="-79"/>
        </w:rPr>
        <w:t xml:space="preserve"> </w:t>
      </w:r>
      <w:r>
        <w:rPr>
          <w:rFonts w:ascii="FangSong" w:hAnsi="FangSong" w:eastAsia="FangSong" w:cs="FangSong"/>
          <w:sz w:val="23"/>
          <w:szCs w:val="23"/>
          <w:spacing w:val="4"/>
        </w:rPr>
        <w:t>”</w:t>
      </w:r>
      <w:r>
        <w:rPr>
          <w:rFonts w:ascii="FangSong" w:hAnsi="FangSong" w:eastAsia="FangSong" w:cs="FangSong"/>
          <w:sz w:val="23"/>
          <w:szCs w:val="23"/>
          <w:spacing w:val="3"/>
        </w:rPr>
        <w:t>项目预算，故较上年有所增</w:t>
      </w:r>
      <w:r>
        <w:rPr>
          <w:rFonts w:ascii="FangSong" w:hAnsi="FangSong" w:eastAsia="FangSong" w:cs="FangSong"/>
          <w:sz w:val="23"/>
          <w:szCs w:val="23"/>
        </w:rPr>
        <w:t xml:space="preserve"> </w:t>
      </w:r>
      <w:r>
        <w:rPr>
          <w:rFonts w:ascii="FangSong" w:hAnsi="FangSong" w:eastAsia="FangSong" w:cs="FangSong"/>
          <w:sz w:val="23"/>
          <w:szCs w:val="23"/>
          <w:spacing w:val="2"/>
        </w:rPr>
        <w:t>长；本年单位预算支出总计539.42万元，其中：本年预算安排539.42万元，上年结转0万元，</w:t>
      </w:r>
      <w:r>
        <w:rPr>
          <w:rFonts w:ascii="FangSong" w:hAnsi="FangSong" w:eastAsia="FangSong" w:cs="FangSong"/>
          <w:sz w:val="23"/>
          <w:szCs w:val="23"/>
          <w:spacing w:val="2"/>
        </w:rPr>
        <w:t xml:space="preserve"> </w:t>
      </w:r>
      <w:r>
        <w:rPr>
          <w:rFonts w:ascii="FangSong" w:hAnsi="FangSong" w:eastAsia="FangSong" w:cs="FangSong"/>
          <w:sz w:val="23"/>
          <w:szCs w:val="23"/>
          <w:spacing w:val="10"/>
        </w:rPr>
        <w:t>比上年增加225.64万元，增长71.91%，主要原因是在职员工工资福利</w:t>
      </w:r>
      <w:r>
        <w:rPr>
          <w:rFonts w:ascii="FangSong" w:hAnsi="FangSong" w:eastAsia="FangSong" w:cs="FangSong"/>
          <w:sz w:val="23"/>
          <w:szCs w:val="23"/>
          <w:spacing w:val="9"/>
        </w:rPr>
        <w:t>上调，公积金基数调</w:t>
      </w:r>
      <w:r>
        <w:rPr>
          <w:rFonts w:ascii="FangSong" w:hAnsi="FangSong" w:eastAsia="FangSong" w:cs="FangSong"/>
          <w:sz w:val="23"/>
          <w:szCs w:val="23"/>
        </w:rPr>
        <w:t xml:space="preserve"> </w:t>
      </w:r>
      <w:r>
        <w:rPr>
          <w:rFonts w:ascii="FangSong" w:hAnsi="FangSong" w:eastAsia="FangSong" w:cs="FangSong"/>
          <w:sz w:val="23"/>
          <w:szCs w:val="23"/>
          <w:spacing w:val="-1"/>
        </w:rPr>
        <w:t>整。其次今年新增“三个一批</w:t>
      </w:r>
      <w:r>
        <w:rPr>
          <w:rFonts w:ascii="FangSong" w:hAnsi="FangSong" w:eastAsia="FangSong" w:cs="FangSong"/>
          <w:sz w:val="23"/>
          <w:szCs w:val="23"/>
          <w:spacing w:val="-85"/>
        </w:rPr>
        <w:t xml:space="preserve"> </w:t>
      </w:r>
      <w:r>
        <w:rPr>
          <w:rFonts w:ascii="FangSong" w:hAnsi="FangSong" w:eastAsia="FangSong" w:cs="FangSong"/>
          <w:sz w:val="23"/>
          <w:szCs w:val="23"/>
          <w:spacing w:val="-1"/>
        </w:rPr>
        <w:t>”项目预算，故较上年</w:t>
      </w:r>
      <w:r>
        <w:rPr>
          <w:rFonts w:ascii="FangSong" w:hAnsi="FangSong" w:eastAsia="FangSong" w:cs="FangSong"/>
          <w:sz w:val="23"/>
          <w:szCs w:val="23"/>
          <w:spacing w:val="-2"/>
        </w:rPr>
        <w:t>有所增长</w:t>
      </w:r>
    </w:p>
    <w:p>
      <w:pPr>
        <w:ind w:left="1261"/>
        <w:spacing w:before="42"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1258" w:right="1137" w:firstLine="462"/>
        <w:spacing w:before="172" w:line="316"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2025年度长治高新区老顶山物流园事业服务中心预算收入539.42万元，主要包括一般公</w:t>
      </w:r>
      <w:r>
        <w:rPr>
          <w:rFonts w:ascii="FangSong" w:hAnsi="FangSong" w:eastAsia="FangSong" w:cs="FangSong"/>
          <w:sz w:val="23"/>
          <w:szCs w:val="23"/>
        </w:rPr>
        <w:t xml:space="preserve"> </w:t>
      </w:r>
      <w:r>
        <w:rPr>
          <w:rFonts w:ascii="FangSong" w:hAnsi="FangSong" w:eastAsia="FangSong" w:cs="FangSong"/>
          <w:sz w:val="23"/>
          <w:szCs w:val="23"/>
          <w:spacing w:val="1"/>
        </w:rPr>
        <w:t>共预算拨款收入539.42万元，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w:t>
      </w:r>
      <w:r>
        <w:rPr>
          <w:rFonts w:ascii="FangSong" w:hAnsi="FangSong" w:eastAsia="FangSong" w:cs="FangSong"/>
          <w:sz w:val="23"/>
          <w:szCs w:val="23"/>
        </w:rPr>
        <w:t>有资本</w:t>
      </w:r>
      <w:r>
        <w:rPr>
          <w:rFonts w:ascii="FangSong" w:hAnsi="FangSong" w:eastAsia="FangSong" w:cs="FangSong"/>
          <w:sz w:val="23"/>
          <w:szCs w:val="23"/>
        </w:rPr>
        <w:t xml:space="preserve"> </w:t>
      </w:r>
      <w:r>
        <w:rPr>
          <w:rFonts w:ascii="FangSong" w:hAnsi="FangSong" w:eastAsia="FangSong" w:cs="FangSong"/>
          <w:sz w:val="23"/>
          <w:szCs w:val="23"/>
          <w:spacing w:val="3"/>
        </w:rPr>
        <w:t>经营预算拨款收入0万元，</w:t>
      </w:r>
      <w:r>
        <w:rPr>
          <w:rFonts w:ascii="FangSong" w:hAnsi="FangSong" w:eastAsia="FangSong" w:cs="FangSong"/>
          <w:sz w:val="23"/>
          <w:szCs w:val="23"/>
          <w:spacing w:val="-40"/>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w:t>
      </w:r>
      <w:r>
        <w:rPr>
          <w:rFonts w:ascii="FangSong" w:hAnsi="FangSong" w:eastAsia="FangSong" w:cs="FangSong"/>
          <w:sz w:val="23"/>
          <w:szCs w:val="23"/>
        </w:rPr>
        <w:t xml:space="preserve"> </w:t>
      </w:r>
      <w:r>
        <w:rPr>
          <w:rFonts w:ascii="FangSong" w:hAnsi="FangSong" w:eastAsia="FangSong" w:cs="FangSong"/>
          <w:sz w:val="23"/>
          <w:szCs w:val="23"/>
          <w:spacing w:val="-4"/>
        </w:rPr>
        <w:t>0%；上年结转0万元，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firstLine="5454"/>
        <w:spacing w:line="917" w:lineRule="exact"/>
        <w:rPr/>
      </w:pPr>
      <w:r>
        <w:rPr>
          <w:position w:val="-18"/>
        </w:rPr>
        <w:drawing>
          <wp:inline distT="0" distB="0" distL="0" distR="0">
            <wp:extent cx="608106" cy="582069"/>
            <wp:effectExtent l="0" t="0" r="0" b="0"/>
            <wp:docPr id="4" name="IM 4"/>
            <wp:cNvGraphicFramePr/>
            <a:graphic>
              <a:graphicData uri="http://schemas.openxmlformats.org/drawingml/2006/picture">
                <pic:pic>
                  <pic:nvPicPr>
                    <pic:cNvPr id="4" name="IM 4"/>
                    <pic:cNvPicPr/>
                  </pic:nvPicPr>
                  <pic:blipFill>
                    <a:blip r:embed="rId34"/>
                    <a:stretch>
                      <a:fillRect/>
                    </a:stretch>
                  </pic:blipFill>
                  <pic:spPr>
                    <a:xfrm rot="0">
                      <a:off x="0" y="0"/>
                      <a:ext cx="608106" cy="582069"/>
                    </a:xfrm>
                    <a:prstGeom prst="rect">
                      <a:avLst/>
                    </a:prstGeom>
                  </pic:spPr>
                </pic:pic>
              </a:graphicData>
            </a:graphic>
          </wp:inline>
        </w:drawing>
      </w: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273" w:right="1137" w:firstLine="446"/>
        <w:spacing w:before="186" w:line="306" w:lineRule="auto"/>
        <w:rPr>
          <w:rFonts w:ascii="FangSong" w:hAnsi="FangSong" w:eastAsia="FangSong" w:cs="FangSong"/>
          <w:sz w:val="23"/>
          <w:szCs w:val="23"/>
        </w:rPr>
      </w:pPr>
      <w:r>
        <w:rPr>
          <w:rFonts w:ascii="FangSong" w:hAnsi="FangSong" w:eastAsia="FangSong" w:cs="FangSong"/>
          <w:sz w:val="23"/>
          <w:szCs w:val="23"/>
          <w:spacing w:val="5"/>
        </w:rPr>
        <w:t>2025年度长治高新区老顶山物流园事业服务中心支出预算539.42万元，其中：基本支出</w:t>
      </w:r>
      <w:r>
        <w:rPr>
          <w:rFonts w:ascii="FangSong" w:hAnsi="FangSong" w:eastAsia="FangSong" w:cs="FangSong"/>
          <w:sz w:val="23"/>
          <w:szCs w:val="23"/>
        </w:rPr>
        <w:t xml:space="preserve"> </w:t>
      </w:r>
      <w:r>
        <w:rPr>
          <w:rFonts w:ascii="FangSong" w:hAnsi="FangSong" w:eastAsia="FangSong" w:cs="FangSong"/>
          <w:sz w:val="23"/>
          <w:szCs w:val="23"/>
          <w:spacing w:val="-3"/>
        </w:rPr>
        <w:t>161.8万元，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占30.00%；项目支出377.6</w:t>
      </w:r>
      <w:r>
        <w:rPr>
          <w:rFonts w:ascii="FangSong" w:hAnsi="FangSong" w:eastAsia="FangSong" w:cs="FangSong"/>
          <w:sz w:val="23"/>
          <w:szCs w:val="23"/>
          <w:spacing w:val="-4"/>
        </w:rPr>
        <w:t>2万元，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占70.00%。</w:t>
      </w:r>
    </w:p>
    <w:p>
      <w:pPr>
        <w:ind w:left="1271"/>
        <w:spacing w:before="33"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1255" w:right="1137" w:firstLine="464"/>
        <w:spacing w:before="182" w:line="318" w:lineRule="auto"/>
        <w:jc w:val="both"/>
        <w:rPr>
          <w:rFonts w:ascii="FangSong" w:hAnsi="FangSong" w:eastAsia="FangSong" w:cs="FangSong"/>
          <w:sz w:val="23"/>
          <w:szCs w:val="23"/>
        </w:rPr>
      </w:pPr>
      <w:r>
        <w:rPr>
          <w:rFonts w:ascii="FangSong" w:hAnsi="FangSong" w:eastAsia="FangSong" w:cs="FangSong"/>
          <w:sz w:val="23"/>
          <w:szCs w:val="23"/>
          <w:spacing w:val="11"/>
        </w:rPr>
        <w:t>2025年度长治高新区老顶山物流园事业服务中心财</w:t>
      </w:r>
      <w:r>
        <w:rPr>
          <w:rFonts w:ascii="FangSong" w:hAnsi="FangSong" w:eastAsia="FangSong" w:cs="FangSong"/>
          <w:sz w:val="23"/>
          <w:szCs w:val="23"/>
          <w:spacing w:val="10"/>
        </w:rPr>
        <w:t>政拨款收支总预算539.42万元。其</w:t>
      </w:r>
      <w:r>
        <w:rPr>
          <w:rFonts w:ascii="FangSong" w:hAnsi="FangSong" w:eastAsia="FangSong" w:cs="FangSong"/>
          <w:sz w:val="23"/>
          <w:szCs w:val="23"/>
        </w:rPr>
        <w:t xml:space="preserve"> </w:t>
      </w:r>
      <w:r>
        <w:rPr>
          <w:rFonts w:ascii="FangSong" w:hAnsi="FangSong" w:eastAsia="FangSong" w:cs="FangSong"/>
          <w:sz w:val="23"/>
          <w:szCs w:val="23"/>
          <w:spacing w:val="4"/>
        </w:rPr>
        <w:t>中：一般公共预算拨款539.42万元，政府性基金预算拨款0万元，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国有资本经营预算</w:t>
      </w:r>
      <w:r>
        <w:rPr>
          <w:rFonts w:ascii="FangSong" w:hAnsi="FangSong" w:eastAsia="FangSong" w:cs="FangSong"/>
          <w:sz w:val="23"/>
          <w:szCs w:val="23"/>
          <w:spacing w:val="3"/>
        </w:rPr>
        <w:t>拨款0万</w:t>
      </w:r>
      <w:r>
        <w:rPr>
          <w:rFonts w:ascii="FangSong" w:hAnsi="FangSong" w:eastAsia="FangSong" w:cs="FangSong"/>
          <w:sz w:val="23"/>
          <w:szCs w:val="23"/>
        </w:rPr>
        <w:t xml:space="preserve"> </w:t>
      </w:r>
      <w:r>
        <w:rPr>
          <w:rFonts w:ascii="FangSong" w:hAnsi="FangSong" w:eastAsia="FangSong" w:cs="FangSong"/>
          <w:sz w:val="23"/>
          <w:szCs w:val="23"/>
          <w:spacing w:val="7"/>
        </w:rPr>
        <w:t>元。其中：</w:t>
      </w:r>
      <w:r>
        <w:rPr>
          <w:rFonts w:ascii="FangSong" w:hAnsi="FangSong" w:eastAsia="FangSong" w:cs="FangSong"/>
          <w:sz w:val="23"/>
          <w:szCs w:val="23"/>
          <w:spacing w:val="-58"/>
        </w:rPr>
        <w:t xml:space="preserve"> </w:t>
      </w:r>
      <w:r>
        <w:rPr>
          <w:rFonts w:ascii="FangSong" w:hAnsi="FangSong" w:eastAsia="FangSong" w:cs="FangSong"/>
          <w:sz w:val="23"/>
          <w:szCs w:val="23"/>
          <w:spacing w:val="7"/>
        </w:rPr>
        <w:t>当年拨款收入539.42万元</w:t>
      </w:r>
      <w:r>
        <w:rPr>
          <w:rFonts w:ascii="FangSong" w:hAnsi="FangSong" w:eastAsia="FangSong" w:cs="FangSong"/>
          <w:sz w:val="23"/>
          <w:szCs w:val="23"/>
          <w:spacing w:val="6"/>
        </w:rPr>
        <w:t>，上年结转收入0万元。支出包括：一般公共服务支出</w:t>
      </w:r>
      <w:r>
        <w:rPr>
          <w:rFonts w:ascii="FangSong" w:hAnsi="FangSong" w:eastAsia="FangSong" w:cs="FangSong"/>
          <w:sz w:val="23"/>
          <w:szCs w:val="23"/>
        </w:rPr>
        <w:t xml:space="preserve"> </w:t>
      </w:r>
      <w:r>
        <w:rPr>
          <w:rFonts w:ascii="FangSong" w:hAnsi="FangSong" w:eastAsia="FangSong" w:cs="FangSong"/>
          <w:sz w:val="23"/>
          <w:szCs w:val="23"/>
          <w:spacing w:val="2"/>
        </w:rPr>
        <w:t>482.46万元、社会保障和就业支出30.16万元、卫生健康支出13.39万元、住房保障支出13.41</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万元等。</w:t>
      </w:r>
    </w:p>
    <w:p>
      <w:pPr>
        <w:ind w:left="1264"/>
        <w:spacing w:before="28"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8" w:right="1137" w:firstLine="452"/>
        <w:spacing w:before="124" w:line="306" w:lineRule="auto"/>
        <w:rPr>
          <w:rFonts w:ascii="FangSong" w:hAnsi="FangSong" w:eastAsia="FangSong" w:cs="FangSong"/>
          <w:sz w:val="23"/>
          <w:szCs w:val="23"/>
        </w:rPr>
      </w:pPr>
      <w:r>
        <w:rPr>
          <w:rFonts w:ascii="FangSong" w:hAnsi="FangSong" w:eastAsia="FangSong" w:cs="FangSong"/>
          <w:sz w:val="23"/>
          <w:szCs w:val="23"/>
          <w:spacing w:val="2"/>
        </w:rPr>
        <w:t>2025年度长治高新区老顶山物流园事业服务中心一般公共预算当年支出539.42万元,比上</w:t>
      </w:r>
      <w:r>
        <w:rPr>
          <w:rFonts w:ascii="FangSong" w:hAnsi="FangSong" w:eastAsia="FangSong" w:cs="FangSong"/>
          <w:sz w:val="23"/>
          <w:szCs w:val="23"/>
          <w:spacing w:val="11"/>
        </w:rPr>
        <w:t xml:space="preserve"> </w:t>
      </w:r>
      <w:r>
        <w:rPr>
          <w:rFonts w:ascii="FangSong" w:hAnsi="FangSong" w:eastAsia="FangSong" w:cs="FangSong"/>
          <w:sz w:val="23"/>
          <w:szCs w:val="23"/>
          <w:spacing w:val="-1"/>
        </w:rPr>
        <w:t>年增加225.64万元，增长71.91%。</w:t>
      </w:r>
    </w:p>
    <w:p>
      <w:pPr>
        <w:ind w:left="1725"/>
        <w:spacing w:before="47"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2"/>
          <w:footerReference w:type="default" r:id="rId33"/>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3" w:right="1137" w:firstLine="456"/>
        <w:spacing w:before="75" w:line="315" w:lineRule="auto"/>
        <w:rPr>
          <w:rFonts w:ascii="FangSong" w:hAnsi="FangSong" w:eastAsia="FangSong" w:cs="FangSong"/>
          <w:sz w:val="23"/>
          <w:szCs w:val="23"/>
        </w:rPr>
      </w:pPr>
      <w:r>
        <w:rPr>
          <w:rFonts w:ascii="FangSong" w:hAnsi="FangSong" w:eastAsia="FangSong" w:cs="FangSong"/>
          <w:sz w:val="23"/>
          <w:szCs w:val="23"/>
          <w:spacing w:val="2"/>
        </w:rPr>
        <w:t>2025年度长治高新区老顶山物流园事业服务中心一般公共预算当年支出539.42万元,主要</w:t>
      </w:r>
      <w:r>
        <w:rPr>
          <w:rFonts w:ascii="FangSong" w:hAnsi="FangSong" w:eastAsia="FangSong" w:cs="FangSong"/>
          <w:sz w:val="23"/>
          <w:szCs w:val="23"/>
          <w:spacing w:val="11"/>
        </w:rPr>
        <w:t xml:space="preserve"> </w:t>
      </w:r>
      <w:r>
        <w:rPr>
          <w:rFonts w:ascii="FangSong" w:hAnsi="FangSong" w:eastAsia="FangSong" w:cs="FangSong"/>
          <w:sz w:val="23"/>
          <w:szCs w:val="23"/>
          <w:spacing w:val="1"/>
        </w:rPr>
        <w:t>用于以下方面：一般公共服务支出482.46万元，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占89.44%；社会保障和就</w:t>
      </w:r>
      <w:r>
        <w:rPr>
          <w:rFonts w:ascii="FangSong" w:hAnsi="FangSong" w:eastAsia="FangSong" w:cs="FangSong"/>
          <w:sz w:val="23"/>
          <w:szCs w:val="23"/>
        </w:rPr>
        <w:t>业支出30.16万元，</w:t>
      </w:r>
      <w:r>
        <w:rPr>
          <w:rFonts w:ascii="FangSong" w:hAnsi="FangSong" w:eastAsia="FangSong" w:cs="FangSong"/>
          <w:sz w:val="23"/>
          <w:szCs w:val="23"/>
        </w:rPr>
        <w:t xml:space="preserve"> </w:t>
      </w:r>
      <w:r>
        <w:rPr>
          <w:rFonts w:ascii="FangSong" w:hAnsi="FangSong" w:eastAsia="FangSong" w:cs="FangSong"/>
          <w:sz w:val="23"/>
          <w:szCs w:val="23"/>
          <w:spacing w:val="-2"/>
        </w:rPr>
        <w:t>占5.59%；卫生健康支出13.39万元，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占2.48%；住房保障支出13.41万元，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w:t>
      </w:r>
      <w:r>
        <w:rPr>
          <w:rFonts w:ascii="FangSong" w:hAnsi="FangSong" w:eastAsia="FangSong" w:cs="FangSong"/>
          <w:sz w:val="23"/>
          <w:szCs w:val="23"/>
          <w:spacing w:val="-3"/>
        </w:rPr>
        <w:t>49%等。</w:t>
      </w:r>
    </w:p>
    <w:p>
      <w:pPr>
        <w:ind w:firstLine="3825"/>
        <w:spacing w:before="129" w:line="2507" w:lineRule="exact"/>
        <w:rPr/>
      </w:pPr>
      <w:r>
        <w:rPr>
          <w:position w:val="-50"/>
        </w:rPr>
        <w:drawing>
          <wp:inline distT="0" distB="0" distL="0" distR="0">
            <wp:extent cx="2422519" cy="1592074"/>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2422519" cy="1592074"/>
                    </a:xfrm>
                    <a:prstGeom prst="rect">
                      <a:avLst/>
                    </a:prstGeom>
                  </pic:spPr>
                </pic:pic>
              </a:graphicData>
            </a:graphic>
          </wp:inline>
        </w:drawing>
      </w:r>
    </w:p>
    <w:p>
      <w:pPr>
        <w:pStyle w:val="BodyText"/>
        <w:spacing w:line="269" w:lineRule="auto"/>
        <w:rPr/>
      </w:pPr>
      <w:r/>
    </w:p>
    <w:p>
      <w:pPr>
        <w:pStyle w:val="BodyText"/>
        <w:spacing w:line="26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72"/>
      <w:bookmarkEnd w:id="72"/>
      <w:r>
        <w:rPr>
          <w:rFonts w:ascii="Microsoft YaHei" w:hAnsi="Microsoft YaHei" w:eastAsia="Microsoft YaHei" w:cs="Microsoft YaHei"/>
          <w:sz w:val="22"/>
          <w:szCs w:val="22"/>
          <w:spacing w:val="8"/>
          <w:position w:val="-1"/>
        </w:rPr>
        <w:t>六、一般公共预算基本支出情况说明</w:t>
      </w:r>
    </w:p>
    <w:p>
      <w:pPr>
        <w:ind w:left="1267" w:right="1137" w:firstLine="453"/>
        <w:spacing w:before="174" w:line="315" w:lineRule="auto"/>
        <w:rPr>
          <w:rFonts w:ascii="FangSong" w:hAnsi="FangSong" w:eastAsia="FangSong" w:cs="FangSong"/>
          <w:sz w:val="23"/>
          <w:szCs w:val="23"/>
        </w:rPr>
      </w:pPr>
      <w:r>
        <w:rPr>
          <w:rFonts w:ascii="FangSong" w:hAnsi="FangSong" w:eastAsia="FangSong" w:cs="FangSong"/>
          <w:sz w:val="23"/>
          <w:szCs w:val="23"/>
          <w:spacing w:val="11"/>
        </w:rPr>
        <w:t>2025年度长治高新区老顶山物流园事业服务中心一</w:t>
      </w:r>
      <w:r>
        <w:rPr>
          <w:rFonts w:ascii="FangSong" w:hAnsi="FangSong" w:eastAsia="FangSong" w:cs="FangSong"/>
          <w:sz w:val="23"/>
          <w:szCs w:val="23"/>
          <w:spacing w:val="10"/>
        </w:rPr>
        <w:t>般公共预算安排基本支出161.80万</w:t>
      </w:r>
      <w:r>
        <w:rPr>
          <w:rFonts w:ascii="FangSong" w:hAnsi="FangSong" w:eastAsia="FangSong" w:cs="FangSong"/>
          <w:sz w:val="23"/>
          <w:szCs w:val="23"/>
        </w:rPr>
        <w:t xml:space="preserve"> </w:t>
      </w:r>
      <w:r>
        <w:rPr>
          <w:rFonts w:ascii="FangSong" w:hAnsi="FangSong" w:eastAsia="FangSong" w:cs="FangSong"/>
          <w:sz w:val="23"/>
          <w:szCs w:val="23"/>
          <w:spacing w:val="-4"/>
        </w:rPr>
        <w:t>元，其中：</w:t>
      </w:r>
    </w:p>
    <w:p>
      <w:pPr>
        <w:ind w:left="1267" w:right="1136" w:firstLine="461"/>
        <w:spacing w:before="26" w:line="315" w:lineRule="auto"/>
        <w:rPr>
          <w:rFonts w:ascii="FangSong" w:hAnsi="FangSong" w:eastAsia="FangSong" w:cs="FangSong"/>
          <w:sz w:val="23"/>
          <w:szCs w:val="23"/>
        </w:rPr>
      </w:pPr>
      <w:r>
        <w:rPr>
          <w:rFonts w:ascii="FangSong" w:hAnsi="FangSong" w:eastAsia="FangSong" w:cs="FangSong"/>
          <w:sz w:val="23"/>
          <w:szCs w:val="23"/>
          <w:spacing w:val="5"/>
        </w:rPr>
        <w:t>人员经费149.98万元，主要包括：其他工资福利支出、其他社会保障缴费、公务员医疗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8"/>
        </w:rPr>
        <w:t xml:space="preserve"> </w:t>
      </w:r>
      <w:r>
        <w:rPr>
          <w:rFonts w:ascii="FangSong" w:hAnsi="FangSong" w:eastAsia="FangSong" w:cs="FangSong"/>
          <w:sz w:val="23"/>
          <w:szCs w:val="23"/>
        </w:rPr>
        <w:t>奖励金、职业年金缴费、职工基本医疗保险缴费、津贴</w:t>
      </w:r>
      <w:r>
        <w:rPr>
          <w:rFonts w:ascii="FangSong" w:hAnsi="FangSong" w:eastAsia="FangSong" w:cs="FangSong"/>
          <w:sz w:val="23"/>
          <w:szCs w:val="23"/>
          <w:spacing w:val="-1"/>
        </w:rPr>
        <w:t>补贴等；</w:t>
      </w:r>
    </w:p>
    <w:p>
      <w:pPr>
        <w:ind w:left="1272" w:right="1136" w:firstLine="457"/>
        <w:spacing w:before="33" w:line="306" w:lineRule="auto"/>
        <w:rPr>
          <w:rFonts w:ascii="FangSong" w:hAnsi="FangSong" w:eastAsia="FangSong" w:cs="FangSong"/>
          <w:sz w:val="23"/>
          <w:szCs w:val="23"/>
        </w:rPr>
      </w:pPr>
      <w:r>
        <w:rPr>
          <w:rFonts w:ascii="FangSong" w:hAnsi="FangSong" w:eastAsia="FangSong" w:cs="FangSong"/>
          <w:sz w:val="23"/>
          <w:szCs w:val="23"/>
          <w:spacing w:val="2"/>
        </w:rPr>
        <w:t>公用经费11.83万元，主要包括：办公费、邮电费、办公设备购置、其他交通费用、其他</w:t>
      </w:r>
      <w:r>
        <w:rPr>
          <w:rFonts w:ascii="FangSong" w:hAnsi="FangSong" w:eastAsia="FangSong" w:cs="FangSong"/>
          <w:sz w:val="23"/>
          <w:szCs w:val="23"/>
          <w:spacing w:val="9"/>
        </w:rPr>
        <w:t xml:space="preserve"> </w:t>
      </w:r>
      <w:r>
        <w:rPr>
          <w:rFonts w:ascii="FangSong" w:hAnsi="FangSong" w:eastAsia="FangSong" w:cs="FangSong"/>
          <w:sz w:val="23"/>
          <w:szCs w:val="23"/>
          <w:spacing w:val="-1"/>
        </w:rPr>
        <w:t>商品和服务支出、委托业务费、差旅费等。</w:t>
      </w:r>
    </w:p>
    <w:p>
      <w:pPr>
        <w:ind w:left="1255"/>
        <w:spacing w:before="45" w:line="229" w:lineRule="exact"/>
        <w:outlineLvl w:val="1"/>
        <w:rPr>
          <w:rFonts w:ascii="Microsoft YaHei" w:hAnsi="Microsoft YaHei" w:eastAsia="Microsoft YaHei" w:cs="Microsoft YaHei"/>
          <w:sz w:val="22"/>
          <w:szCs w:val="22"/>
        </w:rPr>
      </w:pPr>
      <w:bookmarkStart w:name="bookmark26" w:id="73"/>
      <w:bookmarkEnd w:id="7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74"/>
      <w:bookmarkEnd w:id="74"/>
      <w:r>
        <w:rPr>
          <w:rFonts w:ascii="Microsoft YaHei" w:hAnsi="Microsoft YaHei" w:eastAsia="Microsoft YaHei" w:cs="Microsoft YaHei"/>
          <w:sz w:val="23"/>
          <w:szCs w:val="23"/>
          <w:spacing w:val="-1"/>
          <w:position w:val="-1"/>
        </w:rPr>
        <w:t>八、机关运行经费增减变动原因说明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1"/>
        </w:rPr>
        <w:t>本部门本年度无机关运行经费。</w:t>
      </w:r>
    </w:p>
    <w:p>
      <w:pPr>
        <w:ind w:left="1258"/>
        <w:spacing w:before="122" w:line="225" w:lineRule="exact"/>
        <w:outlineLvl w:val="1"/>
        <w:rPr>
          <w:rFonts w:ascii="Microsoft YaHei" w:hAnsi="Microsoft YaHei" w:eastAsia="Microsoft YaHei" w:cs="Microsoft YaHei"/>
          <w:sz w:val="22"/>
          <w:szCs w:val="22"/>
        </w:rPr>
      </w:pPr>
      <w:bookmarkStart w:name="bookmark28" w:id="75"/>
      <w:bookmarkEnd w:id="75"/>
      <w:r>
        <w:rPr>
          <w:rFonts w:ascii="Microsoft YaHei" w:hAnsi="Microsoft YaHei" w:eastAsia="Microsoft YaHei" w:cs="Microsoft YaHei"/>
          <w:sz w:val="22"/>
          <w:szCs w:val="22"/>
          <w:spacing w:val="9"/>
          <w:position w:val="-1"/>
        </w:rPr>
        <w:t>九、政府采购情况</w:t>
      </w:r>
    </w:p>
    <w:p>
      <w:pPr>
        <w:ind w:left="1265" w:right="1137" w:firstLine="454"/>
        <w:spacing w:before="178" w:line="314" w:lineRule="auto"/>
        <w:rPr>
          <w:rFonts w:ascii="FangSong" w:hAnsi="FangSong" w:eastAsia="FangSong" w:cs="FangSong"/>
          <w:sz w:val="23"/>
          <w:szCs w:val="23"/>
        </w:rPr>
      </w:pPr>
      <w:r>
        <w:rPr>
          <w:rFonts w:ascii="FangSong" w:hAnsi="FangSong" w:eastAsia="FangSong" w:cs="FangSong"/>
          <w:sz w:val="23"/>
          <w:szCs w:val="23"/>
          <w:spacing w:val="5"/>
        </w:rPr>
        <w:t>2025年长治高新区老顶山物流园事业服务中心政府采购预算总额2.30万元。其中：政府</w:t>
      </w:r>
      <w:r>
        <w:rPr>
          <w:rFonts w:ascii="FangSong" w:hAnsi="FangSong" w:eastAsia="FangSong" w:cs="FangSong"/>
          <w:sz w:val="23"/>
          <w:szCs w:val="23"/>
          <w:spacing w:val="4"/>
        </w:rPr>
        <w:t xml:space="preserve"> </w:t>
      </w:r>
      <w:r>
        <w:rPr>
          <w:rFonts w:ascii="FangSong" w:hAnsi="FangSong" w:eastAsia="FangSong" w:cs="FangSong"/>
          <w:sz w:val="23"/>
          <w:szCs w:val="23"/>
        </w:rPr>
        <w:t>采购货物预算2.30万元、政府采购工程预算0万元、政府采购服务预算0万元。</w:t>
      </w:r>
    </w:p>
    <w:p>
      <w:pPr>
        <w:ind w:left="1260"/>
        <w:spacing w:before="23" w:line="230" w:lineRule="exact"/>
        <w:outlineLvl w:val="1"/>
        <w:rPr>
          <w:rFonts w:ascii="Microsoft YaHei" w:hAnsi="Microsoft YaHei" w:eastAsia="Microsoft YaHei" w:cs="Microsoft YaHei"/>
          <w:sz w:val="22"/>
          <w:szCs w:val="22"/>
        </w:rPr>
      </w:pPr>
      <w:bookmarkStart w:name="bookmark29" w:id="76"/>
      <w:bookmarkEnd w:id="76"/>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137" w:hanging="4"/>
        <w:spacing w:before="134" w:line="311" w:lineRule="auto"/>
        <w:jc w:val="both"/>
        <w:rPr>
          <w:rFonts w:ascii="FangSong" w:hAnsi="FangSong" w:eastAsia="FangSong" w:cs="FangSong"/>
          <w:sz w:val="23"/>
          <w:szCs w:val="23"/>
        </w:rPr>
      </w:pPr>
      <w:r>
        <w:rPr>
          <w:rFonts w:ascii="FangSong" w:hAnsi="FangSong" w:eastAsia="FangSong" w:cs="FangSong"/>
          <w:sz w:val="23"/>
          <w:szCs w:val="23"/>
          <w:spacing w:val="7"/>
        </w:rPr>
        <w:t>2025年编报部门整体支出绩效目标，涉及部门预算资金539.42万元，其中基本支出161.8万</w:t>
      </w:r>
      <w:r>
        <w:rPr>
          <w:rFonts w:ascii="FangSong" w:hAnsi="FangSong" w:eastAsia="FangSong" w:cs="FangSong"/>
          <w:sz w:val="23"/>
          <w:szCs w:val="23"/>
          <w:spacing w:val="1"/>
        </w:rPr>
        <w:t xml:space="preserve"> </w:t>
      </w:r>
      <w:r>
        <w:rPr>
          <w:rFonts w:ascii="FangSong" w:hAnsi="FangSong" w:eastAsia="FangSong" w:cs="FangSong"/>
          <w:sz w:val="23"/>
          <w:szCs w:val="23"/>
          <w:spacing w:val="5"/>
        </w:rPr>
        <w:t>元，项目支出377.62万元；机关及下属预算单位1个，其中0个单位（包</w:t>
      </w:r>
      <w:r>
        <w:rPr>
          <w:rFonts w:ascii="FangSong" w:hAnsi="FangSong" w:eastAsia="FangSong" w:cs="FangSong"/>
          <w:sz w:val="23"/>
          <w:szCs w:val="23"/>
          <w:spacing w:val="4"/>
        </w:rPr>
        <w:t>括机关）编报了单位</w:t>
      </w:r>
      <w:r>
        <w:rPr>
          <w:rFonts w:ascii="FangSong" w:hAnsi="FangSong" w:eastAsia="FangSong" w:cs="FangSong"/>
          <w:sz w:val="23"/>
          <w:szCs w:val="23"/>
        </w:rPr>
        <w:t xml:space="preserve"> </w:t>
      </w:r>
      <w:r>
        <w:rPr>
          <w:rFonts w:ascii="FangSong" w:hAnsi="FangSong" w:eastAsia="FangSong" w:cs="FangSong"/>
          <w:sz w:val="23"/>
          <w:szCs w:val="23"/>
          <w:spacing w:val="-1"/>
        </w:rPr>
        <w:t>整体绩效目标，涉及资金0万元。</w:t>
      </w:r>
    </w:p>
    <w:p>
      <w:pPr>
        <w:ind w:left="1720"/>
        <w:spacing w:before="47"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137" w:firstLine="456"/>
        <w:spacing w:before="126" w:line="317" w:lineRule="auto"/>
        <w:rPr>
          <w:rFonts w:ascii="FangSong" w:hAnsi="FangSong" w:eastAsia="FangSong" w:cs="FangSong"/>
          <w:sz w:val="23"/>
          <w:szCs w:val="23"/>
        </w:rPr>
      </w:pPr>
      <w:r>
        <w:rPr>
          <w:rFonts w:ascii="FangSong" w:hAnsi="FangSong" w:eastAsia="FangSong" w:cs="FangSong"/>
          <w:sz w:val="23"/>
          <w:szCs w:val="23"/>
          <w:spacing w:val="5"/>
        </w:rPr>
        <w:t>2025年长治高新区老顶山物流园事业服务中心纳入绩效目标管理的二级项目13个，共计</w:t>
      </w:r>
      <w:r>
        <w:rPr>
          <w:rFonts w:ascii="FangSong" w:hAnsi="FangSong" w:eastAsia="FangSong" w:cs="FangSong"/>
          <w:sz w:val="23"/>
          <w:szCs w:val="23"/>
          <w:spacing w:val="9"/>
        </w:rPr>
        <w:t xml:space="preserve"> </w:t>
      </w:r>
      <w:r>
        <w:rPr>
          <w:rFonts w:ascii="FangSong" w:hAnsi="FangSong" w:eastAsia="FangSong" w:cs="FangSong"/>
          <w:sz w:val="23"/>
          <w:szCs w:val="23"/>
          <w:spacing w:val="2"/>
        </w:rPr>
        <w:t>金额377.62万元。其中：其他运转类项目13个，涉及金额377.62万元；特定目标类项目0个，</w:t>
      </w:r>
      <w:r>
        <w:rPr>
          <w:rFonts w:ascii="FangSong" w:hAnsi="FangSong" w:eastAsia="FangSong" w:cs="FangSong"/>
          <w:sz w:val="23"/>
          <w:szCs w:val="23"/>
        </w:rPr>
        <w:t xml:space="preserve"> </w:t>
      </w:r>
      <w:r>
        <w:rPr>
          <w:rFonts w:ascii="FangSong" w:hAnsi="FangSong" w:eastAsia="FangSong" w:cs="FangSong"/>
          <w:sz w:val="23"/>
          <w:szCs w:val="23"/>
          <w:spacing w:val="1"/>
        </w:rPr>
        <w:t>涉及金额0万元。公开项目绩效目标13个，涉及项目金额377.62万元，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w:t>
      </w:r>
      <w:r>
        <w:rPr>
          <w:rFonts w:ascii="FangSong" w:hAnsi="FangSong" w:eastAsia="FangSong" w:cs="FangSong"/>
          <w:sz w:val="23"/>
          <w:szCs w:val="23"/>
        </w:rPr>
        <w:t>单位）项目支</w:t>
      </w:r>
      <w:r>
        <w:rPr>
          <w:rFonts w:ascii="FangSong" w:hAnsi="FangSong" w:eastAsia="FangSong" w:cs="FangSong"/>
          <w:sz w:val="23"/>
          <w:szCs w:val="23"/>
        </w:rPr>
        <w:t xml:space="preserve"> </w:t>
      </w:r>
      <w:r>
        <w:rPr>
          <w:rFonts w:ascii="FangSong" w:hAnsi="FangSong" w:eastAsia="FangSong" w:cs="FangSong"/>
          <w:sz w:val="23"/>
          <w:szCs w:val="23"/>
          <w:spacing w:val="7"/>
        </w:rPr>
        <w:t>出总额的100%。其中：其他运转类项目13个，涉及项目金额377.62万元；特定目标类项目0</w:t>
      </w:r>
      <w:r>
        <w:rPr>
          <w:rFonts w:ascii="FangSong" w:hAnsi="FangSong" w:eastAsia="FangSong" w:cs="FangSong"/>
          <w:sz w:val="23"/>
          <w:szCs w:val="23"/>
          <w:spacing w:val="4"/>
        </w:rPr>
        <w:t xml:space="preserve"> </w:t>
      </w:r>
      <w:r>
        <w:rPr>
          <w:rFonts w:ascii="FangSong" w:hAnsi="FangSong" w:eastAsia="FangSong" w:cs="FangSong"/>
          <w:sz w:val="23"/>
          <w:szCs w:val="23"/>
          <w:spacing w:val="-1"/>
        </w:rPr>
        <w:t>个，涉及项目金额0万元。</w:t>
      </w:r>
    </w:p>
    <w:p>
      <w:pPr>
        <w:spacing w:line="317" w:lineRule="auto"/>
        <w:sectPr>
          <w:headerReference w:type="default" r:id="rId35"/>
          <w:footerReference w:type="default" r:id="rId36"/>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8" w:lineRule="auto"/>
        <w:rPr/>
      </w:pPr>
      <w:r/>
    </w:p>
    <w:p>
      <w:pPr>
        <w:ind w:left="1264"/>
        <w:spacing w:before="75"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19"/>
          <w:footerReference w:type="default" r:id="rId38"/>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290" style="position:absolute;margin-left:86.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292" style="position:absolute;margin-left:391.92pt;margin-top:228.075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94" style="position:absolute;margin-left:86.92pt;margin-top:472.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8" name="IM 8"/>
            <wp:cNvGraphicFramePr/>
            <a:graphic>
              <a:graphicData uri="http://schemas.openxmlformats.org/drawingml/2006/picture">
                <pic:pic>
                  <pic:nvPicPr>
                    <pic:cNvPr id="8" name="IM 8"/>
                    <pic:cNvPicPr/>
                  </pic:nvPicPr>
                  <pic:blipFill>
                    <a:blip r:embed="rId41"/>
                    <a:stretch>
                      <a:fillRect/>
                    </a:stretch>
                  </pic:blipFill>
                  <pic:spPr>
                    <a:xfrm rot="0">
                      <a:off x="0" y="0"/>
                      <a:ext cx="4640940" cy="6796645"/>
                    </a:xfrm>
                    <a:prstGeom prst="rect">
                      <a:avLst/>
                    </a:prstGeom>
                  </pic:spPr>
                </pic:pic>
              </a:graphicData>
            </a:graphic>
          </wp:inline>
        </w:drawing>
      </w:r>
    </w:p>
    <w:p>
      <w:pPr>
        <w:spacing w:line="10704" w:lineRule="exact"/>
        <w:sectPr>
          <w:headerReference w:type="default" r:id="rId39"/>
          <w:footerReference w:type="default" r:id="rId40"/>
          <w:pgSz w:w="11900" w:h="16840"/>
          <w:pgMar w:top="610" w:right="86" w:bottom="312" w:left="0" w:header="357" w:footer="153" w:gutter="0"/>
        </w:sectPr>
        <w:rPr/>
      </w:pPr>
    </w:p>
    <w:p>
      <w:pPr>
        <w:pStyle w:val="BodyText"/>
        <w:spacing w:line="293" w:lineRule="auto"/>
        <w:rPr/>
      </w:pPr>
      <w:r>
        <w:pict>
          <v:shape id="_x0000_s296" style="position:absolute;margin-left:86.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942" w:lineRule="exact"/>
        <w:rPr/>
      </w:pPr>
      <w:r>
        <w:pict>
          <v:shape id="_x0000_s298" style="position:absolute;margin-left:391.92pt;margin-top:228.075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10" name="IM 10"/>
            <wp:cNvGraphicFramePr/>
            <a:graphic>
              <a:graphicData uri="http://schemas.openxmlformats.org/drawingml/2006/picture">
                <pic:pic>
                  <pic:nvPicPr>
                    <pic:cNvPr id="10" name="IM 10"/>
                    <pic:cNvPicPr/>
                  </pic:nvPicPr>
                  <pic:blipFill>
                    <a:blip r:embed="rId43"/>
                    <a:stretch>
                      <a:fillRect/>
                    </a:stretch>
                  </pic:blipFill>
                  <pic:spPr>
                    <a:xfrm rot="0">
                      <a:off x="0" y="0"/>
                      <a:ext cx="4640940" cy="6947680"/>
                    </a:xfrm>
                    <a:prstGeom prst="rect">
                      <a:avLst/>
                    </a:prstGeom>
                  </pic:spPr>
                </pic:pic>
              </a:graphicData>
            </a:graphic>
          </wp:inline>
        </w:drawing>
      </w:r>
    </w:p>
    <w:p>
      <w:pPr>
        <w:spacing w:line="10942" w:lineRule="exact"/>
        <w:sectPr>
          <w:footerReference w:type="default" r:id="rId42"/>
          <w:pgSz w:w="11900" w:h="16840"/>
          <w:pgMar w:top="610" w:right="86" w:bottom="312" w:left="0" w:header="357" w:footer="153" w:gutter="0"/>
        </w:sectPr>
        <w:rPr/>
      </w:pPr>
    </w:p>
    <w:p>
      <w:pPr>
        <w:pStyle w:val="BodyText"/>
        <w:spacing w:line="293" w:lineRule="auto"/>
        <w:rPr/>
      </w:pPr>
      <w:r>
        <w:pict>
          <v:shape id="_x0000_s302" style="position:absolute;margin-left:86.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304" style="position:absolute;margin-left:391.92pt;margin-top:228.075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12" name="IM 12"/>
            <wp:cNvGraphicFramePr/>
            <a:graphic>
              <a:graphicData uri="http://schemas.openxmlformats.org/drawingml/2006/picture">
                <pic:pic>
                  <pic:nvPicPr>
                    <pic:cNvPr id="12" name="IM 12"/>
                    <pic:cNvPicPr/>
                  </pic:nvPicPr>
                  <pic:blipFill>
                    <a:blip r:embed="rId45"/>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44"/>
          <w:pgSz w:w="11900" w:h="16840"/>
          <w:pgMar w:top="610" w:right="86" w:bottom="312" w:left="0" w:header="357" w:footer="153" w:gutter="0"/>
        </w:sectPr>
        <w:rPr/>
      </w:pPr>
    </w:p>
    <w:p>
      <w:pPr>
        <w:pStyle w:val="BodyText"/>
        <w:spacing w:line="293" w:lineRule="auto"/>
        <w:rPr/>
      </w:pPr>
      <w:r>
        <w:pict>
          <v:shape id="_x0000_s308" style="position:absolute;margin-left:86.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310" style="position:absolute;margin-left:391.92pt;margin-top:228.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47"/>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46"/>
          <w:pgSz w:w="11900" w:h="16840"/>
          <w:pgMar w:top="610" w:right="86" w:bottom="312" w:left="0" w:header="357" w:footer="153" w:gutter="0"/>
        </w:sectPr>
        <w:rPr/>
      </w:pPr>
    </w:p>
    <w:p>
      <w:pPr>
        <w:pStyle w:val="BodyText"/>
        <w:spacing w:line="293" w:lineRule="auto"/>
        <w:rPr/>
      </w:pPr>
      <w:r>
        <w:pict>
          <v:shape id="_x0000_s314" style="position:absolute;margin-left:86.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316" style="position:absolute;margin-left:391.92pt;margin-top:228.075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48"/>
          <w:pgSz w:w="11900" w:h="16840"/>
          <w:pgMar w:top="610" w:right="86" w:bottom="312" w:left="0" w:header="357" w:footer="153" w:gutter="0"/>
        </w:sectPr>
        <w:rPr/>
      </w:pPr>
    </w:p>
    <w:p>
      <w:pPr>
        <w:pStyle w:val="BodyText"/>
        <w:spacing w:line="293" w:lineRule="auto"/>
        <w:rPr/>
      </w:pPr>
      <w:r>
        <w:pict>
          <v:shape id="_x0000_s320" style="position:absolute;margin-left:86.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322" style="position:absolute;margin-left:391.92pt;margin-top:228.075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18" name="IM 18"/>
            <wp:cNvGraphicFramePr/>
            <a:graphic>
              <a:graphicData uri="http://schemas.openxmlformats.org/drawingml/2006/picture">
                <pic:pic>
                  <pic:nvPicPr>
                    <pic:cNvPr id="18" name="IM 18"/>
                    <pic:cNvPicPr/>
                  </pic:nvPicPr>
                  <pic:blipFill>
                    <a:blip r:embed="rId51"/>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50"/>
          <w:pgSz w:w="11900" w:h="16840"/>
          <w:pgMar w:top="610" w:right="86" w:bottom="312" w:left="0" w:header="357" w:footer="153" w:gutter="0"/>
        </w:sectPr>
        <w:rPr/>
      </w:pPr>
    </w:p>
    <w:p>
      <w:pPr>
        <w:pStyle w:val="BodyText"/>
        <w:spacing w:line="293" w:lineRule="auto"/>
        <w:rPr/>
      </w:pPr>
      <w:r>
        <w:pict>
          <v:shape id="_x0000_s326" style="position:absolute;margin-left:86.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942" w:lineRule="exact"/>
        <w:rPr/>
      </w:pPr>
      <w:r>
        <w:pict>
          <v:shape id="_x0000_s328"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75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20" name="IM 20"/>
            <wp:cNvGraphicFramePr/>
            <a:graphic>
              <a:graphicData uri="http://schemas.openxmlformats.org/drawingml/2006/picture">
                <pic:pic>
                  <pic:nvPicPr>
                    <pic:cNvPr id="20" name="IM 20"/>
                    <pic:cNvPicPr/>
                  </pic:nvPicPr>
                  <pic:blipFill>
                    <a:blip r:embed="rId53"/>
                    <a:stretch>
                      <a:fillRect/>
                    </a:stretch>
                  </pic:blipFill>
                  <pic:spPr>
                    <a:xfrm rot="0">
                      <a:off x="0" y="0"/>
                      <a:ext cx="4640940" cy="6947680"/>
                    </a:xfrm>
                    <a:prstGeom prst="rect">
                      <a:avLst/>
                    </a:prstGeom>
                  </pic:spPr>
                </pic:pic>
              </a:graphicData>
            </a:graphic>
          </wp:inline>
        </w:drawing>
      </w:r>
    </w:p>
    <w:p>
      <w:pPr>
        <w:spacing w:line="10942" w:lineRule="exact"/>
        <w:sectPr>
          <w:footerReference w:type="default" r:id="rId52"/>
          <w:pgSz w:w="11900" w:h="16840"/>
          <w:pgMar w:top="610" w:right="86" w:bottom="312" w:left="0" w:header="357" w:footer="153" w:gutter="0"/>
        </w:sectPr>
        <w:rPr/>
      </w:pPr>
    </w:p>
    <w:p>
      <w:pPr>
        <w:pStyle w:val="BodyText"/>
        <w:spacing w:line="293" w:lineRule="auto"/>
        <w:rPr/>
      </w:pPr>
      <w:r>
        <w:pict>
          <v:shape id="_x0000_s332" style="position:absolute;margin-left:86.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334"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36" style="position:absolute;margin-left:86.92pt;margin-top:472.075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54"/>
          <w:pgSz w:w="11900" w:h="16840"/>
          <w:pgMar w:top="610" w:right="86" w:bottom="312" w:left="0" w:header="357" w:footer="153" w:gutter="0"/>
        </w:sectPr>
        <w:rPr/>
      </w:pPr>
    </w:p>
    <w:p>
      <w:pPr>
        <w:pStyle w:val="BodyText"/>
        <w:spacing w:line="293" w:lineRule="auto"/>
        <w:rPr/>
      </w:pPr>
      <w:r>
        <w:pict>
          <v:shape id="_x0000_s338" style="position:absolute;margin-left:86.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1439" w:lineRule="exact"/>
        <w:rPr/>
      </w:pPr>
      <w:r>
        <w:pict>
          <v:shape id="_x0000_s340"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42" style="position:absolute;margin-left:86.92pt;margin-top:472.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28"/>
        </w:rPr>
        <w:drawing>
          <wp:inline distT="0" distB="0" distL="0" distR="0">
            <wp:extent cx="4640940" cy="7263484"/>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4640940" cy="7263484"/>
                    </a:xfrm>
                    <a:prstGeom prst="rect">
                      <a:avLst/>
                    </a:prstGeom>
                  </pic:spPr>
                </pic:pic>
              </a:graphicData>
            </a:graphic>
          </wp:inline>
        </w:drawing>
      </w:r>
    </w:p>
    <w:p>
      <w:pPr>
        <w:spacing w:line="11439" w:lineRule="exact"/>
        <w:sectPr>
          <w:footerReference w:type="default" r:id="rId56"/>
          <w:pgSz w:w="11900" w:h="16840"/>
          <w:pgMar w:top="610" w:right="86" w:bottom="312" w:left="0" w:header="357" w:footer="153" w:gutter="0"/>
        </w:sectPr>
        <w:rPr/>
      </w:pPr>
    </w:p>
    <w:p>
      <w:pPr>
        <w:pStyle w:val="BodyText"/>
        <w:spacing w:line="293" w:lineRule="auto"/>
        <w:rPr/>
      </w:pPr>
      <w:r>
        <w:pict>
          <v:shape id="_x0000_s344" style="position:absolute;margin-left:86.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346" style="position:absolute;margin-left:86.92pt;margin-top:472.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75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58"/>
          <w:pgSz w:w="11900" w:h="16840"/>
          <w:pgMar w:top="610" w:right="86" w:bottom="312" w:left="0" w:header="357" w:footer="153" w:gutter="0"/>
        </w:sectPr>
        <w:rPr/>
      </w:pPr>
    </w:p>
    <w:p>
      <w:pPr>
        <w:pStyle w:val="BodyText"/>
        <w:spacing w:line="293" w:lineRule="auto"/>
        <w:rPr/>
      </w:pPr>
      <w:r>
        <w:pict>
          <v:shape id="_x0000_s350" style="position:absolute;margin-left:86.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352" style="position:absolute;margin-left:391.92pt;margin-top:228.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0"/>
          <w:pgSz w:w="11900" w:h="16840"/>
          <w:pgMar w:top="610" w:right="86" w:bottom="312" w:left="0" w:header="357" w:footer="153" w:gutter="0"/>
        </w:sectPr>
        <w:rPr/>
      </w:pPr>
    </w:p>
    <w:p>
      <w:pPr>
        <w:pStyle w:val="BodyText"/>
        <w:spacing w:line="293" w:lineRule="auto"/>
        <w:rPr/>
      </w:pPr>
      <w:r>
        <w:pict>
          <v:shape id="_x0000_s356" style="position:absolute;margin-left:86.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358" style="position:absolute;margin-left:391.92pt;margin-top:228.075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2"/>
          <w:pgSz w:w="11900" w:h="16840"/>
          <w:pgMar w:top="610" w:right="86" w:bottom="312" w:left="0" w:header="357" w:footer="153" w:gutter="0"/>
        </w:sectPr>
        <w:rPr/>
      </w:pPr>
    </w:p>
    <w:p>
      <w:pPr>
        <w:pStyle w:val="BodyText"/>
        <w:spacing w:line="293" w:lineRule="auto"/>
        <w:rPr/>
      </w:pPr>
      <w:r>
        <w:pict>
          <v:shape id="_x0000_s362" style="position:absolute;margin-left:86.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364" style="position:absolute;margin-left:86.92pt;margin-top:472.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66" style="position:absolute;margin-left:391.92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32" name="IM 32"/>
            <wp:cNvGraphicFramePr/>
            <a:graphic>
              <a:graphicData uri="http://schemas.openxmlformats.org/drawingml/2006/picture">
                <pic:pic>
                  <pic:nvPicPr>
                    <pic:cNvPr id="32" name="IM 32"/>
                    <pic:cNvPicPr/>
                  </pic:nvPicPr>
                  <pic:blipFill>
                    <a:blip r:embed="rId65"/>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4"/>
          <w:pgSz w:w="11900" w:h="16840"/>
          <w:pgMar w:top="610" w:right="86" w:bottom="312" w:left="0" w:header="357" w:footer="153" w:gutter="0"/>
        </w:sectPr>
        <w:rPr/>
      </w:pPr>
    </w:p>
    <w:p>
      <w:pPr>
        <w:pStyle w:val="BodyText"/>
        <w:spacing w:line="287" w:lineRule="auto"/>
        <w:rPr/>
      </w:pPr>
      <w:r/>
    </w:p>
    <w:p>
      <w:pPr>
        <w:pStyle w:val="BodyText"/>
        <w:spacing w:line="287"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79"/>
      <w:bookmarkEnd w:id="79"/>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8" w:right="1136" w:firstLine="466"/>
        <w:spacing w:before="137" w:line="310" w:lineRule="auto"/>
        <w:rPr>
          <w:rFonts w:ascii="FangSong" w:hAnsi="FangSong" w:eastAsia="FangSong" w:cs="FangSong"/>
          <w:sz w:val="23"/>
          <w:szCs w:val="23"/>
        </w:rPr>
      </w:pPr>
      <w:r>
        <w:rPr>
          <w:rFonts w:ascii="FangSong" w:hAnsi="FangSong" w:eastAsia="FangSong" w:cs="FangSong"/>
          <w:sz w:val="23"/>
          <w:szCs w:val="23"/>
          <w:spacing w:val="1"/>
        </w:rPr>
        <w:t>截至2025年4月1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日，长治高新区老顶山物流园事业服务中心</w:t>
      </w:r>
      <w:r>
        <w:rPr>
          <w:rFonts w:ascii="FangSong" w:hAnsi="FangSong" w:eastAsia="FangSong" w:cs="FangSong"/>
          <w:sz w:val="23"/>
          <w:szCs w:val="23"/>
        </w:rPr>
        <w:t>共有公务用车编制0辆，实有</w:t>
      </w:r>
      <w:r>
        <w:rPr>
          <w:rFonts w:ascii="FangSong" w:hAnsi="FangSong" w:eastAsia="FangSong" w:cs="FangSong"/>
          <w:sz w:val="23"/>
          <w:szCs w:val="23"/>
        </w:rPr>
        <w:t xml:space="preserve"> </w:t>
      </w:r>
      <w:r>
        <w:rPr>
          <w:rFonts w:ascii="FangSong" w:hAnsi="FangSong" w:eastAsia="FangSong" w:cs="FangSong"/>
          <w:sz w:val="23"/>
          <w:szCs w:val="23"/>
          <w:spacing w:val="2"/>
        </w:rPr>
        <w:t>0辆，其中：领导用车0辆，机要通信用车0辆，应急保障用车0辆，执法执勤用车0辆，特种专</w:t>
      </w:r>
      <w:r>
        <w:rPr>
          <w:rFonts w:ascii="FangSong" w:hAnsi="FangSong" w:eastAsia="FangSong" w:cs="FangSong"/>
          <w:sz w:val="23"/>
          <w:szCs w:val="23"/>
          <w:spacing w:val="16"/>
        </w:rPr>
        <w:t xml:space="preserve"> </w:t>
      </w:r>
      <w:r>
        <w:rPr>
          <w:rFonts w:ascii="FangSong" w:hAnsi="FangSong" w:eastAsia="FangSong" w:cs="FangSong"/>
          <w:sz w:val="23"/>
          <w:szCs w:val="23"/>
        </w:rPr>
        <w:t>业技术用车0辆，事业单位业务用车0辆，其他公务用车0辆。</w:t>
      </w:r>
    </w:p>
    <w:p>
      <w:pPr>
        <w:ind w:left="17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55" w:right="1136" w:firstLine="469"/>
        <w:spacing w:before="123" w:line="306" w:lineRule="auto"/>
        <w:rPr>
          <w:rFonts w:ascii="FangSong" w:hAnsi="FangSong" w:eastAsia="FangSong" w:cs="FangSong"/>
          <w:sz w:val="23"/>
          <w:szCs w:val="23"/>
        </w:rPr>
      </w:pPr>
      <w:r>
        <w:rPr>
          <w:rFonts w:ascii="FangSong" w:hAnsi="FangSong" w:eastAsia="FangSong" w:cs="FangSong"/>
          <w:sz w:val="23"/>
          <w:szCs w:val="23"/>
          <w:spacing w:val="3"/>
        </w:rPr>
        <w:t>截至2025年4月1</w:t>
      </w:r>
      <w:r>
        <w:rPr>
          <w:rFonts w:ascii="FangSong" w:hAnsi="FangSong" w:eastAsia="FangSong" w:cs="FangSong"/>
          <w:sz w:val="23"/>
          <w:szCs w:val="23"/>
          <w:spacing w:val="-28"/>
        </w:rPr>
        <w:t xml:space="preserve"> </w:t>
      </w:r>
      <w:r>
        <w:rPr>
          <w:rFonts w:ascii="FangSong" w:hAnsi="FangSong" w:eastAsia="FangSong" w:cs="FangSong"/>
          <w:sz w:val="23"/>
          <w:szCs w:val="23"/>
          <w:spacing w:val="3"/>
        </w:rPr>
        <w:t>日，长治高新区老顶山物流园事业服务中心使用的办公用房建筑总面积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1"/>
        </w:rPr>
        <w:t>456平方米。</w:t>
      </w:r>
    </w:p>
    <w:p>
      <w:pPr>
        <w:ind w:left="1722"/>
        <w:spacing w:before="47"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137" w:firstLine="461"/>
        <w:spacing w:before="124" w:line="315" w:lineRule="auto"/>
        <w:rPr>
          <w:rFonts w:ascii="FangSong" w:hAnsi="FangSong" w:eastAsia="FangSong" w:cs="FangSong"/>
          <w:sz w:val="23"/>
          <w:szCs w:val="23"/>
        </w:rPr>
      </w:pPr>
      <w:r>
        <w:rPr>
          <w:rFonts w:ascii="FangSong" w:hAnsi="FangSong" w:eastAsia="FangSong" w:cs="FangSong"/>
          <w:sz w:val="23"/>
          <w:szCs w:val="23"/>
          <w:spacing w:val="7"/>
        </w:rPr>
        <w:t>截至2025年4月1</w:t>
      </w:r>
      <w:r>
        <w:rPr>
          <w:rFonts w:ascii="FangSong" w:hAnsi="FangSong" w:eastAsia="FangSong" w:cs="FangSong"/>
          <w:sz w:val="23"/>
          <w:szCs w:val="23"/>
          <w:spacing w:val="-29"/>
        </w:rPr>
        <w:t xml:space="preserve"> </w:t>
      </w:r>
      <w:r>
        <w:rPr>
          <w:rFonts w:ascii="FangSong" w:hAnsi="FangSong" w:eastAsia="FangSong" w:cs="FangSong"/>
          <w:sz w:val="23"/>
          <w:szCs w:val="23"/>
          <w:spacing w:val="7"/>
        </w:rPr>
        <w:t>日，长治高新区老顶山物流园事业服务中心</w:t>
      </w:r>
      <w:r>
        <w:rPr>
          <w:rFonts w:ascii="FangSong" w:hAnsi="FangSong" w:eastAsia="FangSong" w:cs="FangSong"/>
          <w:sz w:val="23"/>
          <w:szCs w:val="23"/>
          <w:spacing w:val="-48"/>
        </w:rPr>
        <w:t xml:space="preserve"> </w:t>
      </w:r>
      <w:r>
        <w:rPr>
          <w:rFonts w:ascii="FangSong" w:hAnsi="FangSong" w:eastAsia="FangSong" w:cs="FangSong"/>
          <w:sz w:val="23"/>
          <w:szCs w:val="23"/>
          <w:spacing w:val="7"/>
        </w:rPr>
        <w:t>占有使用价值50万元（原</w:t>
      </w:r>
      <w:r>
        <w:rPr>
          <w:rFonts w:ascii="FangSong" w:hAnsi="FangSong" w:eastAsia="FangSong" w:cs="FangSong"/>
          <w:sz w:val="23"/>
          <w:szCs w:val="23"/>
        </w:rPr>
        <w:t xml:space="preserve"> </w:t>
      </w:r>
      <w:r>
        <w:rPr>
          <w:rFonts w:ascii="FangSong" w:hAnsi="FangSong" w:eastAsia="FangSong" w:cs="FangSong"/>
          <w:sz w:val="23"/>
          <w:szCs w:val="23"/>
          <w:spacing w:val="3"/>
        </w:rPr>
        <w:t>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以上的通用设备0台（套</w:t>
      </w:r>
      <w:r>
        <w:rPr>
          <w:rFonts w:ascii="FangSong" w:hAnsi="FangSong" w:eastAsia="FangSong" w:cs="FangSong"/>
          <w:sz w:val="23"/>
          <w:szCs w:val="23"/>
          <w:spacing w:val="21"/>
        </w:rPr>
        <w:t>）；</w:t>
      </w:r>
      <w:r>
        <w:rPr>
          <w:rFonts w:ascii="FangSong" w:hAnsi="FangSong" w:eastAsia="FangSong" w:cs="FangSong"/>
          <w:sz w:val="23"/>
          <w:szCs w:val="23"/>
          <w:spacing w:val="3"/>
        </w:rPr>
        <w:t>长治高新区老顶山物流园事业服务中心占有使用价值100万</w:t>
      </w:r>
      <w:r>
        <w:rPr>
          <w:rFonts w:ascii="FangSong" w:hAnsi="FangSong" w:eastAsia="FangSong" w:cs="FangSong"/>
          <w:sz w:val="23"/>
          <w:szCs w:val="23"/>
        </w:rPr>
        <w:t xml:space="preserve"> </w:t>
      </w:r>
      <w:r>
        <w:rPr>
          <w:rFonts w:ascii="FangSong" w:hAnsi="FangSong" w:eastAsia="FangSong" w:cs="FangSong"/>
          <w:sz w:val="23"/>
          <w:szCs w:val="23"/>
          <w:spacing w:val="-1"/>
        </w:rPr>
        <w:t>元（原值）以上的通用设备0台（套）。</w:t>
      </w:r>
    </w:p>
    <w:p>
      <w:pPr>
        <w:ind w:left="1260"/>
        <w:spacing w:before="31" w:line="228" w:lineRule="exact"/>
        <w:outlineLvl w:val="1"/>
        <w:rPr>
          <w:rFonts w:ascii="Microsoft YaHei" w:hAnsi="Microsoft YaHei" w:eastAsia="Microsoft YaHei" w:cs="Microsoft YaHei"/>
          <w:sz w:val="22"/>
          <w:szCs w:val="22"/>
        </w:rPr>
      </w:pPr>
      <w:bookmarkStart w:name="bookmark31" w:id="80"/>
      <w:bookmarkEnd w:id="80"/>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81"/>
      <w:bookmarkEnd w:id="81"/>
      <w:r>
        <w:rPr>
          <w:rFonts w:ascii="FangSong" w:hAnsi="FangSong" w:eastAsia="FangSong" w:cs="FangSong"/>
          <w:sz w:val="23"/>
          <w:szCs w:val="23"/>
          <w:spacing w:val="-1"/>
        </w:rPr>
        <w:t>（一）政府购买服务指导性目录</w:t>
      </w:r>
    </w:p>
    <w:p>
      <w:pPr>
        <w:ind w:left="1726"/>
        <w:spacing w:before="265" w:line="221" w:lineRule="auto"/>
        <w:rPr>
          <w:rFonts w:ascii="FangSong" w:hAnsi="FangSong" w:eastAsia="FangSong" w:cs="FangSong"/>
          <w:sz w:val="23"/>
          <w:szCs w:val="23"/>
        </w:rPr>
      </w:pPr>
      <w:r>
        <w:rPr>
          <w:rFonts w:ascii="FangSong" w:hAnsi="FangSong" w:eastAsia="FangSong" w:cs="FangSong"/>
          <w:sz w:val="23"/>
          <w:szCs w:val="23"/>
          <w:spacing w:val="-1"/>
        </w:rPr>
        <w:t>本部门无政府购买服务指导性目录。</w:t>
      </w:r>
    </w:p>
    <w:p>
      <w:pPr>
        <w:ind w:left="1725"/>
        <w:spacing w:before="255" w:line="222" w:lineRule="auto"/>
        <w:outlineLvl w:val="2"/>
        <w:rPr>
          <w:rFonts w:ascii="FangSong" w:hAnsi="FangSong" w:eastAsia="FangSong" w:cs="FangSong"/>
          <w:sz w:val="23"/>
          <w:szCs w:val="23"/>
        </w:rPr>
      </w:pPr>
      <w:bookmarkStart w:name="bookmark33" w:id="82"/>
      <w:bookmarkEnd w:id="82"/>
      <w:r>
        <w:rPr>
          <w:rFonts w:ascii="FangSong" w:hAnsi="FangSong" w:eastAsia="FangSong" w:cs="FangSong"/>
          <w:sz w:val="23"/>
          <w:szCs w:val="23"/>
          <w:spacing w:val="-3"/>
        </w:rPr>
        <w:t>（二）其他</w:t>
      </w:r>
    </w:p>
    <w:p>
      <w:pPr>
        <w:ind w:left="1726"/>
        <w:spacing w:before="253" w:line="222" w:lineRule="auto"/>
        <w:rPr>
          <w:rFonts w:ascii="FangSong" w:hAnsi="FangSong" w:eastAsia="FangSong" w:cs="FangSong"/>
          <w:sz w:val="23"/>
          <w:szCs w:val="23"/>
        </w:rPr>
      </w:pPr>
      <w:r>
        <w:rPr>
          <w:rFonts w:ascii="FangSong" w:hAnsi="FangSong" w:eastAsia="FangSong" w:cs="FangSong"/>
          <w:sz w:val="23"/>
          <w:szCs w:val="23"/>
          <w:spacing w:val="-2"/>
        </w:rPr>
        <w:t>本部门无其他事项。</w:t>
      </w:r>
    </w:p>
    <w:p>
      <w:pPr>
        <w:spacing w:line="222" w:lineRule="auto"/>
        <w:sectPr>
          <w:headerReference w:type="default" r:id="rId5"/>
          <w:footerReference w:type="default" r:id="rId66"/>
          <w:pgSz w:w="11900" w:h="16840"/>
          <w:pgMar w:top="610" w:right="86" w:bottom="312" w:left="0" w:header="357" w:footer="153" w:gutter="0"/>
        </w:sectPr>
        <w:rPr>
          <w:rFonts w:ascii="FangSong" w:hAnsi="FangSong" w:eastAsia="FangSong" w:cs="FangSong"/>
          <w:sz w:val="23"/>
          <w:szCs w:val="23"/>
        </w:rPr>
      </w:pPr>
    </w:p>
    <w:p>
      <w:pPr>
        <w:pStyle w:val="BodyText"/>
        <w:rPr/>
      </w:pPr>
      <w:r/>
    </w:p>
    <w:p>
      <w:pPr>
        <w:sectPr>
          <w:headerReference w:type="default" r:id="rId19"/>
          <w:footerReference w:type="default" r:id="rId67"/>
          <w:pgSz w:w="11900" w:h="16840"/>
          <w:pgMar w:top="610" w:right="86" w:bottom="312" w:left="0" w:header="357" w:footer="153" w:gutter="0"/>
        </w:sectPr>
        <w:rPr/>
      </w:pPr>
    </w:p>
    <w:p>
      <w:pPr>
        <w:pStyle w:val="BodyText"/>
        <w:spacing w:line="285" w:lineRule="auto"/>
        <w:rPr/>
      </w:pPr>
      <w:r/>
    </w:p>
    <w:p>
      <w:pPr>
        <w:pStyle w:val="BodyText"/>
        <w:spacing w:line="286" w:lineRule="auto"/>
        <w:rPr/>
      </w:pPr>
      <w:r/>
    </w:p>
    <w:p>
      <w:pPr>
        <w:ind w:left="49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137"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137"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137"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137"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185"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174"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137"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174"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68"/>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8" w:id="77"/>
    <w:bookmarkEnd w:id="77"/>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9" w:id="78"/>
    <w:bookmarkEnd w:id="78"/>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48" style="position:absolute;margin-left:86.92pt;margin-top:26.222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3.28pt;margin-top:49.1801pt;mso-position-vertical-relative:page;mso-position-horizontal-relative:page;width:99.4pt;height:18.75pt;z-index:251737088;rotation:330;" o:allowincell="f" fillcolor="#404040" filled="true" stroked="false" type="#_x0000_t136">
          <v:fill opacity="0.400000"/>
          <v:textpath style="font-family:&quot;SimSun&quot;;font-size:20;v-text-kern:t;mso-text-shadow:auto" string="仅供内部审"/>
        </v:shape>
      </w:pict>
    </w:r>
    <w:r>
      <w:pict>
        <v:shape id="PowerPlusWaterMarkObject154" style="position:absolute;margin-left:391.92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86.92pt;margin-top:532.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3.28pt;margin-top:537.18pt;mso-position-vertical-relative:page;mso-position-horizontal-relative:page;width:99.4pt;height:18.75pt;z-index:-251584512;rotation:330;" o:allowincell="f" fillcolor="#404040" filled="true" stroked="false" type="#_x0000_t136">
          <v:fill opacity="0.400000"/>
          <v:textpath style="font-family:&quot;SimSun&quot;;font-size:20;v-text-kern:t;mso-text-shadow:auto" string="仅供内部审"/>
        </v:shape>
      </w:pict>
    </w:r>
    <w:r>
      <w:pict>
        <v:shape id="PowerPlusWaterMarkObject162" style="position:absolute;margin-left:391.92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6" style="position:absolute;margin-left:86.92pt;margin-top:26.2223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49.1801pt;mso-position-vertical-relative:page;mso-position-horizontal-relative:page;width:99.4pt;height:18.75pt;z-index:251747328;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537.18pt;mso-position-vertical-relative:page;mso-position-horizontal-relative:page;width:99.4pt;height:18.75pt;z-index:-251576320;rotation:330;" o:allowincell="f" fillcolor="#404040" filled="true" stroked="false" type="#_x0000_t136">
          <v:fill opacity="0.400000"/>
          <v:textpath style="font-family:&quot;SimSun&quot;;font-size:20;v-text-kern:t;mso-text-shadow:auto" string="仅供内部审"/>
        </v:shape>
      </w:pict>
    </w:r>
    <w:r>
      <w:pict>
        <v:shape id="PowerPlusWaterMarkObject18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4" style="position:absolute;margin-left:86.92pt;margin-top:26.2223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3.28pt;margin-top:49.1801pt;mso-position-vertical-relative:page;mso-position-horizontal-relative:page;width:99.4pt;height:18.75pt;z-index:251759616;rotation:330;" o:allowincell="f" fillcolor="#404040" filled="true" stroked="false" type="#_x0000_t136">
          <v:fill opacity="0.400000"/>
          <v:textpath style="font-family:&quot;SimSun&quot;;font-size:20;v-text-kern:t;mso-text-shadow:auto" string="仅供内部审"/>
        </v:shape>
      </w:pict>
    </w:r>
    <w:r>
      <w:pict>
        <v:shape id="PowerPlusWaterMarkObject190"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86.92pt;margin-top:532.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3.28pt;margin-top:537.18pt;mso-position-vertical-relative:page;mso-position-horizontal-relative:page;width:99.4pt;height:18.75pt;z-index:-251560960;rotation:330;" o:allowincell="f" fillcolor="#404040" filled="true" stroked="false" type="#_x0000_t136">
          <v:fill opacity="0.400000"/>
          <v:textpath style="font-family:&quot;SimSun&quot;;font-size:20;v-text-kern:t;mso-text-shadow:auto" string="仅供内部审"/>
        </v:shape>
      </w:pict>
    </w:r>
    <w:r>
      <w:pict>
        <v:shape id="PowerPlusWaterMarkObject198" style="position:absolute;margin-left:391.92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2" style="position:absolute;margin-left:86.92pt;margin-top:26.2223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3.28pt;margin-top:49.1801pt;mso-position-vertical-relative:page;mso-position-horizontal-relative:page;width:99.4pt;height:18.75pt;z-index:251767808;rotation:330;" o:allowincell="f" fillcolor="#404040" filled="true" stroked="false" type="#_x0000_t136">
          <v:fill opacity="0.400000"/>
          <v:textpath style="font-family:&quot;SimSun&quot;;font-size:20;v-text-kern:t;mso-text-shadow:auto" string="仅供内部审"/>
        </v:shape>
      </w:pict>
    </w:r>
    <w:r>
      <w:pict>
        <v:shape id="PowerPlusWaterMarkObject208"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86.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3.28pt;margin-top:537.18pt;mso-position-vertical-relative:page;mso-position-horizontal-relative:page;width:99.4pt;height:18.75pt;z-index:-251554816;rotation:330;" o:allowincell="f" fillcolor="#404040" filled="true" stroked="false" type="#_x0000_t136">
          <v:fill opacity="0.400000"/>
          <v:textpath style="font-family:&quot;SimSun&quot;;font-size:20;v-text-kern:t;mso-text-shadow:auto" string="仅供内部审"/>
        </v:shape>
      </w:pict>
    </w:r>
    <w:r>
      <w:pict>
        <v:shape id="PowerPlusWaterMarkObject216"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28" style="position:absolute;margin-left:86.92pt;margin-top:26.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3.28pt;margin-top:49.1801pt;mso-position-vertical-relative:page;mso-position-horizontal-relative:page;width:99.4pt;height:18.75pt;z-index:251786240;rotation:330;" o:allowincell="f" fillcolor="#404040" filled="true" stroked="false" type="#_x0000_t136">
          <v:fill opacity="0.400000"/>
          <v:textpath style="font-family:&quot;SimSun&quot;;font-size:20;v-text-kern:t;mso-text-shadow:auto" string="仅供内部审"/>
        </v:shape>
      </w:pict>
    </w:r>
    <w:r>
      <w:pict>
        <v:shape id="PowerPlusWaterMarkObject234" style="position:absolute;margin-left:391.92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3.28pt;margin-top:537.18pt;mso-position-vertical-relative:page;mso-position-horizontal-relative:page;width:99.4pt;height:18.75pt;z-index:-251534336;rotation:330;" o:allowincell="f" fillcolor="#404040" filled="true" stroked="false" type="#_x0000_t136">
          <v:fill opacity="0.400000"/>
          <v:textpath style="font-family:&quot;SimSun&quot;;font-size:20;v-text-kern:t;mso-text-shadow:auto" string="仅供内部审"/>
        </v:shape>
      </w:pict>
    </w:r>
    <w:r>
      <w:pict>
        <v:shape id="PowerPlusWaterMarkObject242" style="position:absolute;margin-left:391.92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48" style="position:absolute;margin-left:86.92pt;margin-top:26.2223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3.28pt;margin-top:49.1801pt;mso-position-vertical-relative:page;mso-position-horizontal-relative:page;width:99.4pt;height:18.75pt;z-index:251799552;rotation:330;" o:allowincell="f" fillcolor="#404040" filled="true" stroked="false" type="#_x0000_t136">
          <v:fill opacity="0.400000"/>
          <v:textpath style="font-family:&quot;SimSun&quot;;font-size:20;v-text-kern:t;mso-text-shadow:auto" string="仅供内部审"/>
        </v:shape>
      </w:pict>
    </w:r>
    <w:r>
      <w:pict>
        <v:shape id="PowerPlusWaterMarkObject254"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3.28pt;margin-top:537.18pt;mso-position-vertical-relative:page;mso-position-horizontal-relative:page;width:99.4pt;height:18.75pt;z-index:-251521024;rotation:330;" o:allowincell="f" fillcolor="#404040" filled="true" stroked="false" type="#_x0000_t136">
          <v:fill opacity="0.400000"/>
          <v:textpath style="font-family:&quot;SimSun&quot;;font-size:20;v-text-kern:t;mso-text-shadow:auto" string="仅供内部审"/>
        </v:shape>
      </w:pict>
    </w:r>
    <w:r>
      <w:pict>
        <v:shape id="PowerPlusWaterMarkObject262" style="position:absolute;margin-left:391.92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4" style="position:absolute;margin-left:86.92pt;margin-top:26.2223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3.28pt;margin-top:49.1801pt;mso-position-vertical-relative:page;mso-position-horizontal-relative:page;width:99.4pt;height:18.75pt;z-index:251807744;rotation:330;" o:allowincell="f" fillcolor="#404040" filled="true" stroked="false" type="#_x0000_t136">
          <v:fill opacity="0.400000"/>
          <v:textpath style="font-family:&quot;SimSun&quot;;font-size:20;v-text-kern:t;mso-text-shadow:auto" string="仅供内部审"/>
        </v:shape>
      </w:pict>
    </w:r>
    <w:r>
      <w:pict>
        <v:shape id="PowerPlusWaterMarkObject270"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3.28pt;margin-top:537.18pt;mso-position-vertical-relative:page;mso-position-horizontal-relative:page;width:99.4pt;height:18.75pt;z-index:-251511808;rotation:330;" o:allowincell="f" fillcolor="#404040" filled="true" stroked="false" type="#_x0000_t136">
          <v:fill opacity="0.400000"/>
          <v:textpath style="font-family:&quot;SimSun&quot;;font-size:20;v-text-kern:t;mso-text-shadow:auto" string="仅供内部审"/>
        </v:shape>
      </w:pict>
    </w:r>
    <w:r>
      <w:pict>
        <v:shape id="PowerPlusWaterMarkObject278" style="position:absolute;margin-left:391.92pt;margin-top:776.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0" style="position:absolute;margin-left:-13.08pt;margin-top:288.10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3.28pt;margin-top:49.1801pt;mso-position-vertical-relative:page;mso-position-horizontal-relative:page;width:99.4pt;height:18.75pt;z-index:251817984;rotation:330;" o:allowincell="f" fillcolor="#404040" filled="true" stroked="false" type="#_x0000_t136">
          <v:fill opacity="0.400000"/>
          <v:textpath style="font-family:&quot;SimSun&quot;;font-size:20;v-text-kern:t;mso-text-shadow:auto" string="仅供内部审"/>
        </v:shape>
      </w:pict>
    </w:r>
    <w:r>
      <w:pict>
        <v:shape id="PowerPlusWaterMarkObject284" style="position:absolute;margin-left:-13.08pt;margin-top:776.106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493.28pt;margin-top:537.18pt;mso-position-vertical-relative:page;mso-position-horizontal-relative:page;width:99.4pt;height:18.75pt;z-index:-251502592;rotation:330;" o:allowincell="f" fillcolor="#404040" filled="true" stroked="false" type="#_x0000_t136">
          <v:fill opacity="0.400000"/>
          <v:textpath style="font-family:&quot;SimSun&quot;;font-size:20;v-text-kern:t;mso-text-shadow:auto" string="仅供内部审"/>
        </v:shape>
      </w:pict>
    </w:r>
    <w:r>
      <w:pict>
        <v:shape id="PowerPlusWaterMarkObject288" style="position:absolute;margin-left:391.92pt;margin-top:776.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3.28pt;margin-top:49.1801pt;mso-position-vertical-relative:page;mso-position-horizontal-relative:page;width:99.4pt;height:18.75pt;z-index:-251643904;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3.28pt;margin-top:49.1801pt;mso-position-vertical-relative:page;mso-position-horizontal-relative:page;width:99.4pt;height:18.75pt;z-index:-251641856;rotation:330;" o:allowincell="f" fillcolor="#404040" filled="true" stroked="false" type="#_x0000_t136">
          <v:fill opacity="0.400000"/>
          <v:textpath style="font-family:&quot;SimSun&quot;;font-size:20;v-text-kern:t;mso-text-shadow:auto" string="仅供内部审"/>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3.28pt;margin-top:537.18pt;mso-position-vertical-relative:page;mso-position-horizontal-relative:page;width:99.4pt;height:18.75pt;z-index:-251634688;rotation:330;" o:allowincell="f" fillcolor="#404040" filled="true" stroked="false" type="#_x0000_t136">
          <v:fill opacity="0.400000"/>
          <v:textpath style="font-family:&quot;SimSun&quot;;font-size:20;v-text-kern:t;mso-text-shadow:auto" string="仅供内部审"/>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1616;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1376;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0" style="position:absolute;margin-left:-13.08pt;margin-top:27.222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86.92pt;margin-top:287.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638.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282.314pt;margin-top:411.399pt;mso-position-vertical-relative:page;mso-position-horizontal-relative:page;width:589.35pt;height:22.25pt;z-index:-251609088;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12" style="position:absolute;margin-left:638.92pt;margin-top:529.106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6" style="position:absolute;margin-left:-13.08pt;margin-top:27.222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312.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86.92pt;margin-top:287.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5.0434pt;margin-top:406.395pt;mso-position-vertical-relative:page;mso-position-horizontal-relative:page;width:609.35pt;height:22.25pt;z-index:-2515988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26" style="position:absolute;margin-left:282.314pt;margin-top:411.399pt;mso-position-vertical-relative:page;mso-position-horizontal-relative:page;width:589.35pt;height:22.25pt;z-index:-25159987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28" style="position:absolute;margin-left:638.92pt;margin-top:529.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0" style="position:absolute;margin-left:86.92pt;margin-top:26.222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3.28pt;margin-top:49.1801pt;mso-position-vertical-relative:page;mso-position-horizontal-relative:page;width:99.4pt;height:18.75pt;z-index:251727872;rotation:330;" o:allowincell="f" fillcolor="#404040" filled="true" stroked="false" type="#_x0000_t136">
          <v:fill opacity="0.400000"/>
          <v:textpath style="font-family:&quot;SimSun&quot;;font-size:20;v-text-kern:t;mso-text-shadow:auto" string="仅供内部审"/>
        </v:shape>
      </w:pict>
    </w:r>
    <w:r>
      <w:pict>
        <v:shape id="PowerPlusWaterMarkObject136"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3.28pt;margin-top:537.18pt;mso-position-vertical-relative:page;mso-position-horizontal-relative:page;width:99.4pt;height:18.75pt;z-index:-251591680;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长治高新区老顶山物流园事业服务中心2025年单位预算公开</w:t>
    </w:r>
    <w:r>
      <w:rPr>
        <w:rFonts w:ascii="SimSun" w:hAnsi="SimSun" w:eastAsia="SimSun" w:cs="SimSun"/>
        <w:sz w:val="16"/>
        <w:szCs w:val="16"/>
        <w:spacing w:val="-2"/>
        <w:position w:val="1"/>
      </w:rPr>
      <w:t>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header" Target="header5.xml"/><Relationship Id="rId69" Type="http://schemas.openxmlformats.org/officeDocument/2006/relationships/settings" Target="settings.xml"/><Relationship Id="rId68" Type="http://schemas.openxmlformats.org/officeDocument/2006/relationships/footer" Target="footer35.xml"/><Relationship Id="rId67" Type="http://schemas.openxmlformats.org/officeDocument/2006/relationships/footer" Target="footer34.xml"/><Relationship Id="rId66" Type="http://schemas.openxmlformats.org/officeDocument/2006/relationships/footer" Target="footer33.xml"/><Relationship Id="rId65" Type="http://schemas.openxmlformats.org/officeDocument/2006/relationships/image" Target="media/image16.png"/><Relationship Id="rId64" Type="http://schemas.openxmlformats.org/officeDocument/2006/relationships/footer" Target="footer32.xml"/><Relationship Id="rId63" Type="http://schemas.openxmlformats.org/officeDocument/2006/relationships/image" Target="media/image15.png"/><Relationship Id="rId62" Type="http://schemas.openxmlformats.org/officeDocument/2006/relationships/footer" Target="footer31.xml"/><Relationship Id="rId61" Type="http://schemas.openxmlformats.org/officeDocument/2006/relationships/image" Target="media/image14.png"/><Relationship Id="rId60" Type="http://schemas.openxmlformats.org/officeDocument/2006/relationships/footer" Target="footer30.xml"/><Relationship Id="rId6" Type="http://schemas.openxmlformats.org/officeDocument/2006/relationships/footer" Target="footer1.xml"/><Relationship Id="rId59" Type="http://schemas.openxmlformats.org/officeDocument/2006/relationships/image" Target="media/image13.png"/><Relationship Id="rId58" Type="http://schemas.openxmlformats.org/officeDocument/2006/relationships/footer" Target="footer29.xml"/><Relationship Id="rId57" Type="http://schemas.openxmlformats.org/officeDocument/2006/relationships/image" Target="media/image12.png"/><Relationship Id="rId56" Type="http://schemas.openxmlformats.org/officeDocument/2006/relationships/footer" Target="footer28.xml"/><Relationship Id="rId55" Type="http://schemas.openxmlformats.org/officeDocument/2006/relationships/image" Target="media/image11.png"/><Relationship Id="rId54" Type="http://schemas.openxmlformats.org/officeDocument/2006/relationships/footer" Target="footer27.xml"/><Relationship Id="rId53" Type="http://schemas.openxmlformats.org/officeDocument/2006/relationships/image" Target="media/image10.png"/><Relationship Id="rId52" Type="http://schemas.openxmlformats.org/officeDocument/2006/relationships/footer" Target="footer26.xml"/><Relationship Id="rId51" Type="http://schemas.openxmlformats.org/officeDocument/2006/relationships/image" Target="media/image9.png"/><Relationship Id="rId50" Type="http://schemas.openxmlformats.org/officeDocument/2006/relationships/footer" Target="footer25.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4.xml"/><Relationship Id="rId47" Type="http://schemas.openxmlformats.org/officeDocument/2006/relationships/image" Target="media/image7.png"/><Relationship Id="rId46" Type="http://schemas.openxmlformats.org/officeDocument/2006/relationships/footer" Target="footer23.xml"/><Relationship Id="rId45" Type="http://schemas.openxmlformats.org/officeDocument/2006/relationships/image" Target="media/image6.png"/><Relationship Id="rId44" Type="http://schemas.openxmlformats.org/officeDocument/2006/relationships/footer" Target="footer22.xml"/><Relationship Id="rId43" Type="http://schemas.openxmlformats.org/officeDocument/2006/relationships/image" Target="media/image5.png"/><Relationship Id="rId42" Type="http://schemas.openxmlformats.org/officeDocument/2006/relationships/footer" Target="footer21.xml"/><Relationship Id="rId41" Type="http://schemas.openxmlformats.org/officeDocument/2006/relationships/image" Target="media/image4.png"/><Relationship Id="rId40" Type="http://schemas.openxmlformats.org/officeDocument/2006/relationships/footer" Target="footer20.xml"/><Relationship Id="rId4" Type="http://schemas.openxmlformats.org/officeDocument/2006/relationships/header" Target="header3.xml"/><Relationship Id="rId39" Type="http://schemas.openxmlformats.org/officeDocument/2006/relationships/header" Target="header17.xml"/><Relationship Id="rId38" Type="http://schemas.openxmlformats.org/officeDocument/2006/relationships/footer" Target="footer19.xml"/><Relationship Id="rId37" Type="http://schemas.openxmlformats.org/officeDocument/2006/relationships/image" Target="media/image3.png"/><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image" Target="media/image2.png"/><Relationship Id="rId33" Type="http://schemas.openxmlformats.org/officeDocument/2006/relationships/footer" Target="footer17.xml"/><Relationship Id="rId32" Type="http://schemas.openxmlformats.org/officeDocument/2006/relationships/header" Target="header15.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image" Target="media/image1.png"/><Relationship Id="rId29" Type="http://schemas.openxmlformats.org/officeDocument/2006/relationships/header" Target="header14.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2025-04-08T11:02:33Z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2025-04-08T17:11:28</vt:filetime>
  </property>
</Properties>
</file>