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59"/>
        <w:spacing w:before="139" w:line="219" w:lineRule="auto"/>
        <w:rPr>
          <w:rFonts w:ascii="SimSun" w:hAnsi="SimSun" w:eastAsia="SimSun" w:cs="SimSun"/>
          <w:sz w:val="43"/>
          <w:szCs w:val="43"/>
        </w:rPr>
      </w:pPr>
      <w:r>
        <w:rPr>
          <w:rFonts w:ascii="SimSun" w:hAnsi="SimSun" w:eastAsia="SimSun" w:cs="SimSun"/>
          <w:sz w:val="43"/>
          <w:szCs w:val="43"/>
          <w:spacing w:val="104"/>
        </w:rPr>
        <w:t>长治高新区翟店工业园事业服务中心</w:t>
      </w:r>
    </w:p>
    <w:p>
      <w:pPr>
        <w:pStyle w:val="BodyText"/>
        <w:spacing w:line="378"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37</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37</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37</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39</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5" w:right="1475" w:firstLine="247"/>
        <w:spacing w:before="284" w:line="309" w:lineRule="auto"/>
        <w:rPr>
          <w:rFonts w:ascii="FangSong" w:hAnsi="FangSong" w:eastAsia="FangSong" w:cs="FangSong"/>
          <w:sz w:val="24"/>
          <w:szCs w:val="24"/>
        </w:rPr>
      </w:pPr>
      <w:r>
        <w:rPr>
          <w:rFonts w:ascii="FangSong" w:hAnsi="FangSong" w:eastAsia="FangSong" w:cs="FangSong"/>
          <w:sz w:val="24"/>
          <w:szCs w:val="24"/>
          <w:spacing w:val="1"/>
        </w:rPr>
        <w:t>统筹翟店工业园区政企服务工作;统筹园区征</w:t>
      </w:r>
      <w:r>
        <w:rPr>
          <w:rFonts w:ascii="FangSong" w:hAnsi="FangSong" w:eastAsia="FangSong" w:cs="FangSong"/>
          <w:sz w:val="24"/>
          <w:szCs w:val="24"/>
        </w:rPr>
        <w:t>地、拆迁和入区项目落地、建设、</w:t>
      </w:r>
      <w:r>
        <w:rPr>
          <w:rFonts w:ascii="FangSong" w:hAnsi="FangSong" w:eastAsia="FangSong" w:cs="FangSong"/>
          <w:sz w:val="24"/>
          <w:szCs w:val="24"/>
        </w:rPr>
        <w:t xml:space="preserve"> </w:t>
      </w:r>
      <w:r>
        <w:rPr>
          <w:rFonts w:ascii="FangSong" w:hAnsi="FangSong" w:eastAsia="FangSong" w:cs="FangSong"/>
          <w:sz w:val="24"/>
          <w:szCs w:val="24"/>
        </w:rPr>
        <w:t>基</w:t>
      </w:r>
      <w:r>
        <w:rPr>
          <w:rFonts w:ascii="FangSong" w:hAnsi="FangSong" w:eastAsia="FangSong" w:cs="FangSong"/>
          <w:sz w:val="24"/>
          <w:szCs w:val="24"/>
        </w:rPr>
        <w:t xml:space="preserve"> </w:t>
      </w:r>
      <w:r>
        <w:rPr>
          <w:rFonts w:ascii="FangSong" w:hAnsi="FangSong" w:eastAsia="FangSong" w:cs="FangSong"/>
          <w:sz w:val="24"/>
          <w:szCs w:val="24"/>
          <w:spacing w:val="6"/>
        </w:rPr>
        <w:t>础配套</w:t>
      </w:r>
      <w:r>
        <w:rPr>
          <w:rFonts w:ascii="FangSong" w:hAnsi="FangSong" w:eastAsia="FangSong" w:cs="FangSong"/>
          <w:sz w:val="24"/>
          <w:szCs w:val="24"/>
          <w:spacing w:val="-68"/>
        </w:rPr>
        <w:t xml:space="preserve"> </w:t>
      </w:r>
      <w:r>
        <w:rPr>
          <w:rFonts w:ascii="FangSong" w:hAnsi="FangSong" w:eastAsia="FangSong" w:cs="FangSong"/>
          <w:sz w:val="24"/>
          <w:szCs w:val="24"/>
          <w:spacing w:val="6"/>
        </w:rPr>
        <w:t>工作;</w:t>
      </w:r>
      <w:r>
        <w:rPr>
          <w:rFonts w:ascii="FangSong" w:hAnsi="FangSong" w:eastAsia="FangSong" w:cs="FangSong"/>
          <w:sz w:val="24"/>
          <w:szCs w:val="24"/>
          <w:spacing w:val="-66"/>
        </w:rPr>
        <w:t xml:space="preserve"> </w:t>
      </w:r>
      <w:r>
        <w:rPr>
          <w:rFonts w:ascii="FangSong" w:hAnsi="FangSong" w:eastAsia="FangSong" w:cs="FangSong"/>
          <w:sz w:val="24"/>
          <w:szCs w:val="24"/>
          <w:spacing w:val="6"/>
        </w:rPr>
        <w:t>落实</w:t>
      </w:r>
      <w:r>
        <w:rPr>
          <w:rFonts w:ascii="FangSong" w:hAnsi="FangSong" w:eastAsia="FangSong" w:cs="FangSong"/>
          <w:sz w:val="24"/>
          <w:szCs w:val="24"/>
          <w:spacing w:val="-69"/>
        </w:rPr>
        <w:t xml:space="preserve"> </w:t>
      </w:r>
      <w:r>
        <w:rPr>
          <w:rFonts w:ascii="FangSong" w:hAnsi="FangSong" w:eastAsia="FangSong" w:cs="FangSong"/>
          <w:sz w:val="24"/>
          <w:szCs w:val="24"/>
          <w:spacing w:val="6"/>
        </w:rPr>
        <w:t>高新</w:t>
      </w:r>
      <w:r>
        <w:rPr>
          <w:rFonts w:ascii="FangSong" w:hAnsi="FangSong" w:eastAsia="FangSong" w:cs="FangSong"/>
          <w:sz w:val="24"/>
          <w:szCs w:val="24"/>
          <w:spacing w:val="-57"/>
        </w:rPr>
        <w:t xml:space="preserve"> </w:t>
      </w:r>
      <w:r>
        <w:rPr>
          <w:rFonts w:ascii="FangSong" w:hAnsi="FangSong" w:eastAsia="FangSong" w:cs="FangSong"/>
          <w:sz w:val="24"/>
          <w:szCs w:val="24"/>
          <w:spacing w:val="6"/>
        </w:rPr>
        <w:t>区</w:t>
      </w:r>
      <w:r>
        <w:rPr>
          <w:rFonts w:ascii="FangSong" w:hAnsi="FangSong" w:eastAsia="FangSong" w:cs="FangSong"/>
          <w:sz w:val="24"/>
          <w:szCs w:val="24"/>
          <w:spacing w:val="-71"/>
        </w:rPr>
        <w:t xml:space="preserve"> </w:t>
      </w:r>
      <w:r>
        <w:rPr>
          <w:rFonts w:ascii="FangSong" w:hAnsi="FangSong" w:eastAsia="FangSong" w:cs="FangSong"/>
          <w:sz w:val="24"/>
          <w:szCs w:val="24"/>
          <w:spacing w:val="6"/>
        </w:rPr>
        <w:t>关于产业</w:t>
      </w:r>
      <w:r>
        <w:rPr>
          <w:rFonts w:ascii="FangSong" w:hAnsi="FangSong" w:eastAsia="FangSong" w:cs="FangSong"/>
          <w:sz w:val="24"/>
          <w:szCs w:val="24"/>
          <w:spacing w:val="-70"/>
        </w:rPr>
        <w:t xml:space="preserve"> </w:t>
      </w:r>
      <w:r>
        <w:rPr>
          <w:rFonts w:ascii="FangSong" w:hAnsi="FangSong" w:eastAsia="FangSong" w:cs="FangSong"/>
          <w:sz w:val="24"/>
          <w:szCs w:val="24"/>
          <w:spacing w:val="6"/>
        </w:rPr>
        <w:t>发展</w:t>
      </w:r>
      <w:r>
        <w:rPr>
          <w:rFonts w:ascii="FangSong" w:hAnsi="FangSong" w:eastAsia="FangSong" w:cs="FangSong"/>
          <w:sz w:val="24"/>
          <w:szCs w:val="24"/>
          <w:spacing w:val="-64"/>
        </w:rPr>
        <w:t xml:space="preserve"> </w:t>
      </w:r>
      <w:r>
        <w:rPr>
          <w:rFonts w:ascii="FangSong" w:hAnsi="FangSong" w:eastAsia="FangSong" w:cs="FangSong"/>
          <w:sz w:val="24"/>
          <w:szCs w:val="24"/>
          <w:spacing w:val="6"/>
        </w:rPr>
        <w:t>的</w:t>
      </w:r>
      <w:r>
        <w:rPr>
          <w:rFonts w:ascii="FangSong" w:hAnsi="FangSong" w:eastAsia="FangSong" w:cs="FangSong"/>
          <w:sz w:val="24"/>
          <w:szCs w:val="24"/>
          <w:spacing w:val="-67"/>
        </w:rPr>
        <w:t xml:space="preserve"> </w:t>
      </w:r>
      <w:r>
        <w:rPr>
          <w:rFonts w:ascii="FangSong" w:hAnsi="FangSong" w:eastAsia="FangSong" w:cs="FangSong"/>
          <w:sz w:val="24"/>
          <w:szCs w:val="24"/>
          <w:spacing w:val="6"/>
        </w:rPr>
        <w:t>总体部署</w:t>
      </w:r>
      <w:r>
        <w:rPr>
          <w:rFonts w:ascii="FangSong" w:hAnsi="FangSong" w:eastAsia="FangSong" w:cs="FangSong"/>
          <w:sz w:val="24"/>
          <w:szCs w:val="24"/>
          <w:spacing w:val="-60"/>
        </w:rPr>
        <w:t xml:space="preserve"> </w:t>
      </w:r>
      <w:r>
        <w:rPr>
          <w:rFonts w:ascii="FangSong" w:hAnsi="FangSong" w:eastAsia="FangSong" w:cs="FangSong"/>
          <w:sz w:val="24"/>
          <w:szCs w:val="24"/>
          <w:spacing w:val="6"/>
        </w:rPr>
        <w:t>，协调统计部</w:t>
      </w:r>
      <w:r>
        <w:rPr>
          <w:rFonts w:ascii="FangSong" w:hAnsi="FangSong" w:eastAsia="FangSong" w:cs="FangSong"/>
          <w:sz w:val="24"/>
          <w:szCs w:val="24"/>
          <w:spacing w:val="-54"/>
        </w:rPr>
        <w:t xml:space="preserve"> </w:t>
      </w:r>
      <w:r>
        <w:rPr>
          <w:rFonts w:ascii="FangSong" w:hAnsi="FangSong" w:eastAsia="FangSong" w:cs="FangSong"/>
          <w:sz w:val="24"/>
          <w:szCs w:val="24"/>
          <w:spacing w:val="6"/>
        </w:rPr>
        <w:t>门做好</w:t>
      </w:r>
      <w:r>
        <w:rPr>
          <w:rFonts w:ascii="FangSong" w:hAnsi="FangSong" w:eastAsia="FangSong" w:cs="FangSong"/>
          <w:sz w:val="24"/>
          <w:szCs w:val="24"/>
          <w:spacing w:val="-70"/>
        </w:rPr>
        <w:t xml:space="preserve"> </w:t>
      </w:r>
      <w:r>
        <w:rPr>
          <w:rFonts w:ascii="FangSong" w:hAnsi="FangSong" w:eastAsia="FangSong" w:cs="FangSong"/>
          <w:sz w:val="24"/>
          <w:szCs w:val="24"/>
          <w:spacing w:val="6"/>
        </w:rPr>
        <w:t>监测</w:t>
      </w:r>
      <w:r>
        <w:rPr>
          <w:rFonts w:ascii="FangSong" w:hAnsi="FangSong" w:eastAsia="FangSong" w:cs="FangSong"/>
          <w:sz w:val="24"/>
          <w:szCs w:val="24"/>
          <w:spacing w:val="-60"/>
        </w:rPr>
        <w:t xml:space="preserve"> </w:t>
      </w:r>
      <w:r>
        <w:rPr>
          <w:rFonts w:ascii="FangSong" w:hAnsi="FangSong" w:eastAsia="FangSong" w:cs="FangSong"/>
          <w:sz w:val="24"/>
          <w:szCs w:val="24"/>
          <w:spacing w:val="6"/>
        </w:rPr>
        <w:t>、</w:t>
      </w:r>
      <w:r>
        <w:rPr>
          <w:rFonts w:ascii="FangSong" w:hAnsi="FangSong" w:eastAsia="FangSong" w:cs="FangSong"/>
          <w:sz w:val="24"/>
          <w:szCs w:val="24"/>
        </w:rPr>
        <w:t xml:space="preserve"> </w:t>
      </w:r>
      <w:r>
        <w:rPr>
          <w:rFonts w:ascii="FangSong" w:hAnsi="FangSong" w:eastAsia="FangSong" w:cs="FangSong"/>
          <w:sz w:val="24"/>
          <w:szCs w:val="24"/>
          <w:spacing w:val="10"/>
        </w:rPr>
        <w:t>统</w:t>
      </w:r>
      <w:r>
        <w:rPr>
          <w:rFonts w:ascii="FangSong" w:hAnsi="FangSong" w:eastAsia="FangSong" w:cs="FangSong"/>
          <w:sz w:val="24"/>
          <w:szCs w:val="24"/>
          <w:spacing w:val="10"/>
        </w:rPr>
        <w:t xml:space="preserve">  </w:t>
      </w:r>
      <w:r>
        <w:rPr>
          <w:rFonts w:ascii="FangSong" w:hAnsi="FangSong" w:eastAsia="FangSong" w:cs="FangSong"/>
          <w:sz w:val="24"/>
          <w:szCs w:val="24"/>
          <w:spacing w:val="10"/>
        </w:rPr>
        <w:t>计、分析并预测园区产业发展态势，提出政策建议;负责园区基础设施建设方</w:t>
      </w:r>
      <w:r>
        <w:rPr>
          <w:rFonts w:ascii="FangSong" w:hAnsi="FangSong" w:eastAsia="FangSong" w:cs="FangSong"/>
          <w:sz w:val="24"/>
          <w:szCs w:val="24"/>
          <w:spacing w:val="18"/>
        </w:rPr>
        <w:t xml:space="preserve"> </w:t>
      </w:r>
      <w:r>
        <w:rPr>
          <w:rFonts w:ascii="FangSong" w:hAnsi="FangSong" w:eastAsia="FangSong" w:cs="FangSong"/>
          <w:sz w:val="24"/>
          <w:szCs w:val="24"/>
          <w:spacing w:val="1"/>
        </w:rPr>
        <w:t>案、预</w:t>
      </w:r>
      <w:r>
        <w:rPr>
          <w:rFonts w:ascii="FangSong" w:hAnsi="FangSong" w:eastAsia="FangSong" w:cs="FangSong"/>
          <w:sz w:val="24"/>
          <w:szCs w:val="24"/>
          <w:spacing w:val="1"/>
        </w:rPr>
        <w:t xml:space="preserve"> </w:t>
      </w:r>
      <w:r>
        <w:rPr>
          <w:rFonts w:ascii="FangSong" w:hAnsi="FangSong" w:eastAsia="FangSong" w:cs="FangSong"/>
          <w:sz w:val="24"/>
          <w:szCs w:val="24"/>
          <w:spacing w:val="1"/>
        </w:rPr>
        <w:t>算编制工作和建设维护、管理运行工作;负责园区企业</w:t>
      </w:r>
      <w:r>
        <w:rPr>
          <w:rFonts w:ascii="FangSong" w:hAnsi="FangSong" w:eastAsia="FangSong" w:cs="FangSong"/>
          <w:sz w:val="24"/>
          <w:szCs w:val="24"/>
        </w:rPr>
        <w:t>生产、科技、开发等方</w:t>
      </w:r>
      <w:r>
        <w:rPr>
          <w:rFonts w:ascii="FangSong" w:hAnsi="FangSong" w:eastAsia="FangSong" w:cs="FangSong"/>
          <w:sz w:val="24"/>
          <w:szCs w:val="24"/>
        </w:rPr>
        <w:t xml:space="preserve"> </w:t>
      </w:r>
      <w:r>
        <w:rPr>
          <w:rFonts w:ascii="FangSong" w:hAnsi="FangSong" w:eastAsia="FangSong" w:cs="FangSong"/>
          <w:sz w:val="24"/>
          <w:szCs w:val="24"/>
          <w:spacing w:val="1"/>
        </w:rPr>
        <w:t>面的推</w:t>
      </w:r>
      <w:r>
        <w:rPr>
          <w:rFonts w:ascii="FangSong" w:hAnsi="FangSong" w:eastAsia="FangSong" w:cs="FangSong"/>
          <w:sz w:val="24"/>
          <w:szCs w:val="24"/>
          <w:spacing w:val="1"/>
        </w:rPr>
        <w:t xml:space="preserve"> </w:t>
      </w:r>
      <w:r>
        <w:rPr>
          <w:rFonts w:ascii="FangSong" w:hAnsi="FangSong" w:eastAsia="FangSong" w:cs="FangSong"/>
          <w:sz w:val="24"/>
          <w:szCs w:val="24"/>
          <w:spacing w:val="1"/>
        </w:rPr>
        <w:t>进服务工作;负责园区绿化环卫工作;负责园区党的建</w:t>
      </w:r>
      <w:r>
        <w:rPr>
          <w:rFonts w:ascii="FangSong" w:hAnsi="FangSong" w:eastAsia="FangSong" w:cs="FangSong"/>
          <w:sz w:val="24"/>
          <w:szCs w:val="24"/>
        </w:rPr>
        <w:t>设工作;负责园区信访稳</w:t>
      </w:r>
      <w:r>
        <w:rPr>
          <w:rFonts w:ascii="FangSong" w:hAnsi="FangSong" w:eastAsia="FangSong" w:cs="FangSong"/>
          <w:sz w:val="24"/>
          <w:szCs w:val="24"/>
        </w:rPr>
        <w:t xml:space="preserve"> </w:t>
      </w:r>
      <w:r>
        <w:rPr>
          <w:rFonts w:ascii="FangSong" w:hAnsi="FangSong" w:eastAsia="FangSong" w:cs="FangSong"/>
          <w:sz w:val="24"/>
          <w:szCs w:val="24"/>
          <w:spacing w:val="-9"/>
        </w:rPr>
        <w:t>定工作。</w:t>
      </w:r>
    </w:p>
    <w:p>
      <w:pPr>
        <w:ind w:left="1513"/>
        <w:spacing w:before="167"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4" w:right="1474" w:firstLine="233"/>
        <w:spacing w:before="117" w:line="306" w:lineRule="auto"/>
        <w:jc w:val="both"/>
        <w:rPr>
          <w:rFonts w:ascii="FangSong" w:hAnsi="FangSong" w:eastAsia="FangSong" w:cs="FangSong"/>
          <w:sz w:val="24"/>
          <w:szCs w:val="24"/>
        </w:rPr>
      </w:pPr>
      <w:r>
        <w:rPr>
          <w:rFonts w:ascii="FangSong" w:hAnsi="FangSong" w:eastAsia="FangSong" w:cs="FangSong"/>
          <w:sz w:val="24"/>
          <w:szCs w:val="24"/>
          <w:spacing w:val="1"/>
        </w:rPr>
        <w:t>长治高新区翟店工业园事业服务中心为财政拨款事业单位</w:t>
      </w:r>
      <w:r>
        <w:rPr>
          <w:rFonts w:ascii="FangSong" w:hAnsi="FangSong" w:eastAsia="FangSong" w:cs="FangSong"/>
          <w:sz w:val="24"/>
          <w:szCs w:val="24"/>
        </w:rPr>
        <w:t>，副县级建制，核定编制</w:t>
      </w:r>
      <w:r>
        <w:rPr>
          <w:rFonts w:ascii="FangSong" w:hAnsi="FangSong" w:eastAsia="FangSong" w:cs="FangSong"/>
          <w:sz w:val="24"/>
          <w:szCs w:val="24"/>
        </w:rPr>
        <w:t xml:space="preserve"> </w:t>
      </w:r>
      <w:r>
        <w:rPr>
          <w:rFonts w:ascii="FangSong" w:hAnsi="FangSong" w:eastAsia="FangSong" w:cs="FangSong"/>
          <w:sz w:val="24"/>
          <w:szCs w:val="24"/>
          <w:spacing w:val="2"/>
        </w:rPr>
        <w:t>12名，副县级领导职数1名、正科级领导职数</w:t>
      </w:r>
      <w:r>
        <w:rPr>
          <w:rFonts w:ascii="FangSong" w:hAnsi="FangSong" w:eastAsia="FangSong" w:cs="FangSong"/>
          <w:sz w:val="24"/>
          <w:szCs w:val="24"/>
          <w:spacing w:val="2"/>
        </w:rPr>
        <w:t xml:space="preserve"> </w:t>
      </w:r>
      <w:r>
        <w:rPr>
          <w:rFonts w:ascii="FangSong" w:hAnsi="FangSong" w:eastAsia="FangSong" w:cs="FangSong"/>
          <w:sz w:val="24"/>
          <w:szCs w:val="24"/>
          <w:spacing w:val="2"/>
        </w:rPr>
        <w:t>5名，</w:t>
      </w:r>
      <w:r>
        <w:rPr>
          <w:rFonts w:ascii="FangSong" w:hAnsi="FangSong" w:eastAsia="FangSong" w:cs="FangSong"/>
          <w:sz w:val="24"/>
          <w:szCs w:val="24"/>
          <w:spacing w:val="-59"/>
        </w:rPr>
        <w:t xml:space="preserve"> </w:t>
      </w:r>
      <w:r>
        <w:rPr>
          <w:rFonts w:ascii="FangSong" w:hAnsi="FangSong" w:eastAsia="FangSong" w:cs="FangSong"/>
          <w:sz w:val="24"/>
          <w:szCs w:val="24"/>
          <w:spacing w:val="2"/>
        </w:rPr>
        <w:t>内设综合科、企业服务科，招商</w:t>
      </w:r>
      <w:r>
        <w:rPr>
          <w:rFonts w:ascii="FangSong" w:hAnsi="FangSong" w:eastAsia="FangSong" w:cs="FangSong"/>
          <w:sz w:val="24"/>
          <w:szCs w:val="24"/>
        </w:rPr>
        <w:t xml:space="preserve"> </w:t>
      </w:r>
      <w:r>
        <w:rPr>
          <w:rFonts w:ascii="FangSong" w:hAnsi="FangSong" w:eastAsia="FangSong" w:cs="FangSong"/>
          <w:sz w:val="24"/>
          <w:szCs w:val="24"/>
          <w:spacing w:val="-2"/>
        </w:rPr>
        <w:t>引资与项目建设科均为正科级建制，共核定副科级领导职数2名。</w:t>
      </w:r>
    </w:p>
    <w:p>
      <w:pPr>
        <w:ind w:left="1522" w:right="1475" w:firstLine="234"/>
        <w:spacing w:before="6" w:line="306" w:lineRule="auto"/>
        <w:rPr>
          <w:rFonts w:ascii="FangSong" w:hAnsi="FangSong" w:eastAsia="FangSong" w:cs="FangSong"/>
          <w:sz w:val="24"/>
          <w:szCs w:val="24"/>
        </w:rPr>
      </w:pPr>
      <w:r>
        <w:rPr>
          <w:rFonts w:ascii="FangSong" w:hAnsi="FangSong" w:eastAsia="FangSong" w:cs="FangSong"/>
          <w:sz w:val="24"/>
          <w:szCs w:val="24"/>
          <w:spacing w:val="1"/>
        </w:rPr>
        <w:t>从部门预算构成看，长治高新区翟店工业园事业服务中心预</w:t>
      </w:r>
      <w:r>
        <w:rPr>
          <w:rFonts w:ascii="FangSong" w:hAnsi="FangSong" w:eastAsia="FangSong" w:cs="FangSong"/>
          <w:sz w:val="24"/>
          <w:szCs w:val="24"/>
        </w:rPr>
        <w:t>算主要包括长治高新区</w:t>
      </w:r>
      <w:r>
        <w:rPr>
          <w:rFonts w:ascii="FangSong" w:hAnsi="FangSong" w:eastAsia="FangSong" w:cs="FangSong"/>
          <w:sz w:val="24"/>
          <w:szCs w:val="24"/>
        </w:rPr>
        <w:t xml:space="preserve"> </w:t>
      </w:r>
      <w:r>
        <w:rPr>
          <w:rFonts w:ascii="FangSong" w:hAnsi="FangSong" w:eastAsia="FangSong" w:cs="FangSong"/>
          <w:sz w:val="24"/>
          <w:szCs w:val="24"/>
          <w:spacing w:val="-5"/>
        </w:rPr>
        <w:t>翟店工业园事业服务中心。</w:t>
      </w:r>
    </w:p>
    <w:p>
      <w:pPr>
        <w:ind w:left="1515" w:right="1475" w:firstLine="245"/>
        <w:spacing w:before="1" w:line="312" w:lineRule="auto"/>
        <w:rPr>
          <w:rFonts w:ascii="FangSong" w:hAnsi="FangSong" w:eastAsia="FangSong" w:cs="FangSong"/>
          <w:sz w:val="24"/>
          <w:szCs w:val="24"/>
        </w:rPr>
      </w:pPr>
      <w:r>
        <w:rPr>
          <w:rFonts w:ascii="FangSong" w:hAnsi="FangSong" w:eastAsia="FangSong" w:cs="FangSong"/>
          <w:sz w:val="24"/>
          <w:szCs w:val="24"/>
          <w:spacing w:val="1"/>
        </w:rPr>
        <w:t>纳入长治高新区翟店工业园事业服务中心预算的单</w:t>
      </w:r>
      <w:r>
        <w:rPr>
          <w:rFonts w:ascii="FangSong" w:hAnsi="FangSong" w:eastAsia="FangSong" w:cs="FangSong"/>
          <w:sz w:val="24"/>
          <w:szCs w:val="24"/>
        </w:rPr>
        <w:t>位包括：长治高新区翟店工业园</w:t>
      </w:r>
      <w:r>
        <w:rPr>
          <w:rFonts w:ascii="FangSong" w:hAnsi="FangSong" w:eastAsia="FangSong" w:cs="FangSong"/>
          <w:sz w:val="24"/>
          <w:szCs w:val="24"/>
        </w:rPr>
        <w:t xml:space="preserve"> </w:t>
      </w:r>
      <w:r>
        <w:rPr>
          <w:rFonts w:ascii="FangSong" w:hAnsi="FangSong" w:eastAsia="FangSong" w:cs="FangSong"/>
          <w:sz w:val="24"/>
          <w:szCs w:val="24"/>
          <w:spacing w:val="-6"/>
        </w:rPr>
        <w:t>事业服务中心。</w:t>
      </w:r>
    </w:p>
    <w:p>
      <w:pPr>
        <w:spacing w:line="312"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19"/>
        <w:gridCol w:w="1153"/>
        <w:gridCol w:w="2201"/>
        <w:gridCol w:w="1168"/>
        <w:gridCol w:w="1153"/>
        <w:gridCol w:w="75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473"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单位名称：长治高新区翟店工业园事业服务中心</w:t>
            </w:r>
          </w:p>
        </w:tc>
        <w:tc>
          <w:tcPr>
            <w:tcW w:w="3077" w:type="dxa"/>
            <w:vAlign w:val="top"/>
            <w:gridSpan w:val="3"/>
            <w:tcBorders>
              <w:top w:val="single" w:color="FFFFFF" w:sz="6" w:space="0"/>
              <w:left w:val="single" w:color="FFFFFF" w:sz="2" w:space="0"/>
              <w:right w:val="single" w:color="FFFFFF" w:sz="2" w:space="0"/>
            </w:tcBorders>
          </w:tcPr>
          <w:p>
            <w:pPr>
              <w:ind w:left="2145"/>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72" w:type="dxa"/>
            <w:vAlign w:val="top"/>
            <w:gridSpan w:val="2"/>
          </w:tcPr>
          <w:p>
            <w:pPr>
              <w:ind w:left="1444"/>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278" w:type="dxa"/>
            <w:vAlign w:val="top"/>
            <w:gridSpan w:val="4"/>
          </w:tcPr>
          <w:p>
            <w:pPr>
              <w:ind w:left="2442"/>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19" w:type="dxa"/>
            <w:vAlign w:val="top"/>
          </w:tcPr>
          <w:p>
            <w:pPr>
              <w:ind w:left="86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29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201" w:type="dxa"/>
            <w:vAlign w:val="top"/>
          </w:tcPr>
          <w:p>
            <w:pPr>
              <w:ind w:left="902"/>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68" w:type="dxa"/>
            <w:vAlign w:val="top"/>
          </w:tcPr>
          <w:p>
            <w:pPr>
              <w:ind w:left="121"/>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756" w:type="dxa"/>
            <w:vAlign w:val="top"/>
          </w:tcPr>
          <w:p>
            <w:pPr>
              <w:ind w:left="90"/>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上年结</w:t>
            </w:r>
          </w:p>
          <w:p>
            <w:pPr>
              <w:ind w:left="91"/>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转安排</w:t>
            </w:r>
          </w:p>
        </w:tc>
      </w:tr>
      <w:tr>
        <w:trPr>
          <w:trHeight w:val="524" w:hRule="atLeast"/>
        </w:trPr>
        <w:tc>
          <w:tcPr>
            <w:tcW w:w="211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53" w:type="dxa"/>
            <w:vAlign w:val="top"/>
          </w:tcPr>
          <w:p>
            <w:pPr>
              <w:ind w:right="28"/>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673.39</w:t>
            </w:r>
          </w:p>
        </w:tc>
        <w:tc>
          <w:tcPr>
            <w:tcW w:w="2201"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68" w:type="dxa"/>
            <w:vAlign w:val="top"/>
          </w:tcPr>
          <w:p>
            <w:pPr>
              <w:ind w:right="25"/>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597.84</w:t>
            </w:r>
          </w:p>
        </w:tc>
        <w:tc>
          <w:tcPr>
            <w:tcW w:w="1153" w:type="dxa"/>
            <w:vAlign w:val="top"/>
          </w:tcPr>
          <w:p>
            <w:pPr>
              <w:ind w:right="2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597.84</w:t>
            </w:r>
          </w:p>
        </w:tc>
        <w:tc>
          <w:tcPr>
            <w:tcW w:w="756" w:type="dxa"/>
            <w:vAlign w:val="top"/>
          </w:tcPr>
          <w:p>
            <w:pPr>
              <w:pStyle w:val="TableText"/>
              <w:rPr/>
            </w:pPr>
            <w:r/>
          </w:p>
        </w:tc>
      </w:tr>
      <w:tr>
        <w:trPr>
          <w:trHeight w:val="524" w:hRule="atLeast"/>
        </w:trPr>
        <w:tc>
          <w:tcPr>
            <w:tcW w:w="211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53" w:type="dxa"/>
            <w:vAlign w:val="top"/>
          </w:tcPr>
          <w:p>
            <w:pPr>
              <w:pStyle w:val="TableText"/>
              <w:rPr/>
            </w:pPr>
            <w:r/>
          </w:p>
        </w:tc>
        <w:tc>
          <w:tcPr>
            <w:tcW w:w="2201" w:type="dxa"/>
            <w:vAlign w:val="top"/>
          </w:tcPr>
          <w:p>
            <w:pPr>
              <w:ind w:left="10"/>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53" w:type="dxa"/>
            <w:vAlign w:val="top"/>
          </w:tcPr>
          <w:p>
            <w:pPr>
              <w:pStyle w:val="TableText"/>
              <w:rPr/>
            </w:pPr>
            <w:r/>
          </w:p>
        </w:tc>
        <w:tc>
          <w:tcPr>
            <w:tcW w:w="2201" w:type="dxa"/>
            <w:vAlign w:val="top"/>
          </w:tcPr>
          <w:p>
            <w:pPr>
              <w:ind w:left="6"/>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53" w:type="dxa"/>
            <w:vAlign w:val="top"/>
          </w:tcPr>
          <w:p>
            <w:pPr>
              <w:pStyle w:val="TableText"/>
              <w:rPr/>
            </w:pPr>
            <w:r/>
          </w:p>
        </w:tc>
        <w:tc>
          <w:tcPr>
            <w:tcW w:w="2201" w:type="dxa"/>
            <w:vAlign w:val="top"/>
          </w:tcPr>
          <w:p>
            <w:pPr>
              <w:ind w:left="24"/>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53" w:type="dxa"/>
            <w:vAlign w:val="top"/>
          </w:tcPr>
          <w:p>
            <w:pPr>
              <w:pStyle w:val="TableText"/>
              <w:rPr/>
            </w:pPr>
            <w:r/>
          </w:p>
        </w:tc>
        <w:tc>
          <w:tcPr>
            <w:tcW w:w="2201" w:type="dxa"/>
            <w:vAlign w:val="top"/>
          </w:tcPr>
          <w:p>
            <w:pPr>
              <w:ind w:left="10"/>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right="205"/>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68"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38.42</w:t>
            </w:r>
          </w:p>
        </w:tc>
        <w:tc>
          <w:tcPr>
            <w:tcW w:w="1153" w:type="dxa"/>
            <w:vAlign w:val="top"/>
          </w:tcPr>
          <w:p>
            <w:pPr>
              <w:ind w:right="22"/>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38.42</w:t>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68" w:type="dxa"/>
            <w:vAlign w:val="top"/>
          </w:tcPr>
          <w:p>
            <w:pPr>
              <w:ind w:right="23"/>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right="205"/>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right="205"/>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5"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68" w:type="dxa"/>
            <w:vAlign w:val="top"/>
          </w:tcPr>
          <w:p>
            <w:pPr>
              <w:ind w:right="23"/>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153" w:type="dxa"/>
            <w:vAlign w:val="top"/>
          </w:tcPr>
          <w:p>
            <w:pPr>
              <w:ind w:right="20"/>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756" w:type="dxa"/>
            <w:vAlign w:val="top"/>
          </w:tcPr>
          <w:p>
            <w:pPr>
              <w:pStyle w:val="TableText"/>
              <w:rPr/>
            </w:pPr>
            <w:r/>
          </w:p>
        </w:tc>
      </w:tr>
      <w:tr>
        <w:trPr>
          <w:trHeight w:val="532"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22" w:right="215"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19"/>
        <w:gridCol w:w="1153"/>
        <w:gridCol w:w="2201"/>
        <w:gridCol w:w="1168"/>
        <w:gridCol w:w="1153"/>
        <w:gridCol w:w="756"/>
      </w:tblGrid>
      <w:tr>
        <w:trPr>
          <w:trHeight w:val="531"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7" w:right="205"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3"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0"/>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10"/>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22" w:right="205"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ind w:left="21" w:right="205"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pStyle w:val="TableText"/>
              <w:rPr/>
            </w:pPr>
            <w:r/>
          </w:p>
        </w:tc>
        <w:tc>
          <w:tcPr>
            <w:tcW w:w="1153" w:type="dxa"/>
            <w:vAlign w:val="top"/>
          </w:tcPr>
          <w:p>
            <w:pPr>
              <w:pStyle w:val="TableText"/>
              <w:rPr/>
            </w:pPr>
            <w:r/>
          </w:p>
        </w:tc>
        <w:tc>
          <w:tcPr>
            <w:tcW w:w="2201" w:type="dxa"/>
            <w:vAlign w:val="top"/>
          </w:tcPr>
          <w:p>
            <w:pPr>
              <w:pStyle w:val="TableText"/>
              <w:rPr/>
            </w:pPr>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24" w:hRule="atLeast"/>
        </w:trPr>
        <w:tc>
          <w:tcPr>
            <w:tcW w:w="211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53" w:type="dxa"/>
            <w:vAlign w:val="top"/>
          </w:tcPr>
          <w:p>
            <w:pPr>
              <w:pStyle w:val="TableText"/>
              <w:ind w:left="576"/>
              <w:spacing w:before="186"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2201" w:type="dxa"/>
            <w:vAlign w:val="top"/>
          </w:tcPr>
          <w:p>
            <w:pPr>
              <w:ind w:left="7"/>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68" w:type="dxa"/>
            <w:vAlign w:val="top"/>
          </w:tcPr>
          <w:p>
            <w:pPr>
              <w:pStyle w:val="TableText"/>
              <w:ind w:left="594"/>
              <w:spacing w:before="186"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1153" w:type="dxa"/>
            <w:vAlign w:val="top"/>
          </w:tcPr>
          <w:p>
            <w:pPr>
              <w:pStyle w:val="TableText"/>
              <w:ind w:left="581"/>
              <w:spacing w:before="186" w:line="183" w:lineRule="auto"/>
              <w:rPr>
                <w:sz w:val="15"/>
                <w:szCs w:val="15"/>
              </w:rPr>
            </w:pPr>
            <w:r>
              <w:rPr>
                <w:sz w:val="15"/>
                <w:szCs w:val="15"/>
                <w:color w:val="212529"/>
                <w:spacing w:val="2"/>
              </w:rPr>
              <w:t>673.</w:t>
            </w:r>
            <w:r>
              <w:rPr>
                <w:sz w:val="15"/>
                <w:szCs w:val="15"/>
                <w:color w:val="212529"/>
                <w:spacing w:val="15"/>
                <w:w w:val="101"/>
              </w:rPr>
              <w:t xml:space="preserve"> </w:t>
            </w:r>
            <w:r>
              <w:rPr>
                <w:sz w:val="15"/>
                <w:szCs w:val="15"/>
                <w:color w:val="212529"/>
                <w:spacing w:val="2"/>
              </w:rPr>
              <w:t>39</w:t>
            </w:r>
          </w:p>
        </w:tc>
        <w:tc>
          <w:tcPr>
            <w:tcW w:w="756" w:type="dxa"/>
            <w:vAlign w:val="top"/>
          </w:tcPr>
          <w:p>
            <w:pPr>
              <w:pStyle w:val="TableText"/>
              <w:rPr/>
            </w:pPr>
            <w:r/>
          </w:p>
        </w:tc>
      </w:tr>
      <w:tr>
        <w:trPr>
          <w:trHeight w:val="524" w:hRule="atLeast"/>
        </w:trPr>
        <w:tc>
          <w:tcPr>
            <w:tcW w:w="211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53" w:type="dxa"/>
            <w:vAlign w:val="top"/>
          </w:tcPr>
          <w:p>
            <w:pPr>
              <w:pStyle w:val="TableText"/>
              <w:rPr/>
            </w:pPr>
            <w:r/>
          </w:p>
        </w:tc>
        <w:tc>
          <w:tcPr>
            <w:tcW w:w="2201" w:type="dxa"/>
            <w:vAlign w:val="top"/>
          </w:tcPr>
          <w:p>
            <w:pPr>
              <w:ind w:left="195"/>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68" w:type="dxa"/>
            <w:vAlign w:val="top"/>
          </w:tcPr>
          <w:p>
            <w:pPr>
              <w:pStyle w:val="TableText"/>
              <w:rPr/>
            </w:pPr>
            <w:r/>
          </w:p>
        </w:tc>
        <w:tc>
          <w:tcPr>
            <w:tcW w:w="1153" w:type="dxa"/>
            <w:vAlign w:val="top"/>
          </w:tcPr>
          <w:p>
            <w:pPr>
              <w:pStyle w:val="TableText"/>
              <w:rPr/>
            </w:pPr>
            <w:r/>
          </w:p>
        </w:tc>
        <w:tc>
          <w:tcPr>
            <w:tcW w:w="756" w:type="dxa"/>
            <w:vAlign w:val="top"/>
          </w:tcPr>
          <w:p>
            <w:pPr>
              <w:pStyle w:val="TableText"/>
              <w:rPr/>
            </w:pPr>
            <w:r/>
          </w:p>
        </w:tc>
      </w:tr>
      <w:tr>
        <w:trPr>
          <w:trHeight w:val="531" w:hRule="atLeast"/>
        </w:trPr>
        <w:tc>
          <w:tcPr>
            <w:tcW w:w="211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53" w:type="dxa"/>
            <w:vAlign w:val="top"/>
          </w:tcPr>
          <w:p>
            <w:pPr>
              <w:pStyle w:val="TableText"/>
              <w:ind w:left="576"/>
              <w:spacing w:before="188"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2201" w:type="dxa"/>
            <w:vAlign w:val="top"/>
          </w:tcPr>
          <w:p>
            <w:pPr>
              <w:ind w:left="6"/>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68" w:type="dxa"/>
            <w:vAlign w:val="top"/>
          </w:tcPr>
          <w:p>
            <w:pPr>
              <w:pStyle w:val="TableText"/>
              <w:ind w:left="594"/>
              <w:spacing w:before="188"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1153" w:type="dxa"/>
            <w:vAlign w:val="top"/>
          </w:tcPr>
          <w:p>
            <w:pPr>
              <w:pStyle w:val="TableText"/>
              <w:ind w:left="581"/>
              <w:spacing w:before="188" w:line="183" w:lineRule="auto"/>
              <w:rPr>
                <w:sz w:val="15"/>
                <w:szCs w:val="15"/>
              </w:rPr>
            </w:pPr>
            <w:r>
              <w:rPr>
                <w:sz w:val="15"/>
                <w:szCs w:val="15"/>
                <w:color w:val="212529"/>
                <w:spacing w:val="2"/>
              </w:rPr>
              <w:t>673.</w:t>
            </w:r>
            <w:r>
              <w:rPr>
                <w:sz w:val="15"/>
                <w:szCs w:val="15"/>
                <w:color w:val="212529"/>
                <w:spacing w:val="15"/>
                <w:w w:val="101"/>
              </w:rPr>
              <w:t xml:space="preserve"> </w:t>
            </w:r>
            <w:r>
              <w:rPr>
                <w:sz w:val="15"/>
                <w:szCs w:val="15"/>
                <w:color w:val="212529"/>
                <w:spacing w:val="2"/>
              </w:rPr>
              <w:t>39</w:t>
            </w:r>
          </w:p>
        </w:tc>
        <w:tc>
          <w:tcPr>
            <w:tcW w:w="756" w:type="dxa"/>
            <w:vAlign w:val="top"/>
          </w:tcPr>
          <w:p>
            <w:pPr>
              <w:pStyle w:val="TableText"/>
              <w:rPr/>
            </w:pPr>
            <w:r/>
          </w:p>
        </w:tc>
      </w:tr>
    </w:tbl>
    <w:p>
      <w:pPr>
        <w:pStyle w:val="BodyText"/>
        <w:rPr/>
      </w:pPr>
      <w:r/>
    </w:p>
    <w:p>
      <w:pPr>
        <w:sectPr>
          <w:headerReference w:type="default" r:id="rId5"/>
          <w:footerReference w:type="default" r:id="rId9"/>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356"/>
        <w:gridCol w:w="1543"/>
        <w:gridCol w:w="1318"/>
        <w:gridCol w:w="1064"/>
        <w:gridCol w:w="1273"/>
        <w:gridCol w:w="1259"/>
        <w:gridCol w:w="1019"/>
        <w:gridCol w:w="1056"/>
      </w:tblGrid>
      <w:tr>
        <w:trPr>
          <w:trHeight w:val="442" w:hRule="atLeast"/>
        </w:trPr>
        <w:tc>
          <w:tcPr>
            <w:tcW w:w="158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335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4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6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937"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单位名称：长治高新区翟店工业园事业服务中心</w:t>
            </w:r>
          </w:p>
        </w:tc>
        <w:tc>
          <w:tcPr>
            <w:tcW w:w="1543"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064" w:type="dxa"/>
            <w:vAlign w:val="top"/>
            <w:tcBorders>
              <w:left w:val="single" w:color="FFFFFF" w:sz="2" w:space="0"/>
              <w:right w:val="single" w:color="FFFFFF" w:sz="2" w:space="0"/>
              <w:top w:val="single" w:color="FFFFFF" w:sz="6" w:space="0"/>
            </w:tcBorders>
          </w:tcPr>
          <w:p>
            <w:pPr>
              <w:pStyle w:val="TableText"/>
              <w:rPr/>
            </w:pPr>
            <w:r/>
          </w:p>
        </w:tc>
        <w:tc>
          <w:tcPr>
            <w:tcW w:w="1273"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937" w:type="dxa"/>
            <w:vAlign w:val="top"/>
            <w:gridSpan w:val="2"/>
          </w:tcPr>
          <w:p>
            <w:pPr>
              <w:ind w:left="2272"/>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476" w:type="dxa"/>
            <w:vAlign w:val="top"/>
            <w:gridSpan w:val="6"/>
          </w:tcPr>
          <w:p>
            <w:pPr>
              <w:ind w:left="3364"/>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56" w:type="dxa"/>
            <w:vAlign w:val="top"/>
            <w:vMerge w:val="restart"/>
            <w:tcBorders>
              <w:bottom w:val="nil"/>
            </w:tcBorders>
          </w:tcPr>
          <w:p>
            <w:pPr>
              <w:pStyle w:val="TableText"/>
              <w:spacing w:line="273" w:lineRule="auto"/>
              <w:rPr/>
            </w:pPr>
            <w:r/>
          </w:p>
          <w:p>
            <w:pPr>
              <w:ind w:left="14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81" w:type="dxa"/>
            <w:vAlign w:val="top"/>
          </w:tcPr>
          <w:p>
            <w:pPr>
              <w:ind w:left="40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3356" w:type="dxa"/>
            <w:vAlign w:val="top"/>
          </w:tcPr>
          <w:p>
            <w:pPr>
              <w:ind w:left="129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543" w:type="dxa"/>
            <w:vAlign w:val="top"/>
          </w:tcPr>
          <w:p>
            <w:pPr>
              <w:ind w:left="574"/>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18" w:type="dxa"/>
            <w:vAlign w:val="top"/>
          </w:tcPr>
          <w:p>
            <w:pPr>
              <w:ind w:left="101"/>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064" w:type="dxa"/>
            <w:vAlign w:val="top"/>
          </w:tcPr>
          <w:p>
            <w:pPr>
              <w:ind w:left="6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73" w:type="dxa"/>
            <w:vAlign w:val="top"/>
          </w:tcPr>
          <w:p>
            <w:pPr>
              <w:ind w:left="97"/>
              <w:spacing w:before="1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国有资本经营</w:t>
            </w:r>
          </w:p>
          <w:p>
            <w:pPr>
              <w:ind w:left="43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预算</w:t>
            </w:r>
          </w:p>
        </w:tc>
        <w:tc>
          <w:tcPr>
            <w:tcW w:w="1259" w:type="dxa"/>
            <w:vAlign w:val="top"/>
          </w:tcPr>
          <w:p>
            <w:pPr>
              <w:ind w:left="79"/>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w:t>
            </w:r>
          </w:p>
          <w:p>
            <w:pPr>
              <w:ind w:left="445"/>
              <w:spacing w:before="3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资金</w:t>
            </w:r>
          </w:p>
        </w:tc>
        <w:tc>
          <w:tcPr>
            <w:tcW w:w="1019" w:type="dxa"/>
            <w:vAlign w:val="top"/>
          </w:tcPr>
          <w:p>
            <w:pPr>
              <w:ind w:left="13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56" w:type="dxa"/>
            <w:vAlign w:val="top"/>
            <w:vMerge w:val="continue"/>
            <w:tcBorders>
              <w:top w:val="nil"/>
            </w:tcBorders>
          </w:tcPr>
          <w:p>
            <w:pPr>
              <w:pStyle w:val="TableText"/>
              <w:rPr/>
            </w:pPr>
            <w:r/>
          </w:p>
        </w:tc>
      </w:tr>
      <w:tr>
        <w:trPr>
          <w:trHeight w:val="434" w:hRule="atLeast"/>
        </w:trPr>
        <w:tc>
          <w:tcPr>
            <w:tcW w:w="4937" w:type="dxa"/>
            <w:vAlign w:val="top"/>
            <w:gridSpan w:val="2"/>
          </w:tcPr>
          <w:p>
            <w:pPr>
              <w:ind w:left="227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543" w:type="dxa"/>
            <w:vAlign w:val="top"/>
          </w:tcPr>
          <w:p>
            <w:pPr>
              <w:pStyle w:val="TableText"/>
              <w:ind w:left="960"/>
              <w:spacing w:before="149"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1318" w:type="dxa"/>
            <w:vAlign w:val="top"/>
          </w:tcPr>
          <w:p>
            <w:pPr>
              <w:pStyle w:val="TableText"/>
              <w:ind w:left="750"/>
              <w:spacing w:before="149" w:line="183" w:lineRule="auto"/>
              <w:rPr>
                <w:sz w:val="15"/>
                <w:szCs w:val="15"/>
              </w:rPr>
            </w:pPr>
            <w:r>
              <w:rPr>
                <w:sz w:val="15"/>
                <w:szCs w:val="15"/>
                <w:color w:val="212529"/>
                <w:spacing w:val="3"/>
              </w:rPr>
              <w:t>673.</w:t>
            </w:r>
            <w:r>
              <w:rPr>
                <w:sz w:val="15"/>
                <w:szCs w:val="15"/>
                <w:color w:val="212529"/>
                <w:spacing w:val="9"/>
              </w:rPr>
              <w:t xml:space="preserve"> </w:t>
            </w:r>
            <w:r>
              <w:rPr>
                <w:sz w:val="15"/>
                <w:szCs w:val="15"/>
                <w:color w:val="212529"/>
                <w:spacing w:val="3"/>
              </w:rPr>
              <w:t>39</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3356" w:type="dxa"/>
            <w:vAlign w:val="top"/>
          </w:tcPr>
          <w:p>
            <w:pPr>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43" w:type="dxa"/>
            <w:vAlign w:val="top"/>
          </w:tcPr>
          <w:p>
            <w:pPr>
              <w:ind w:right="3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597.84</w:t>
            </w:r>
          </w:p>
        </w:tc>
        <w:tc>
          <w:tcPr>
            <w:tcW w:w="1318" w:type="dxa"/>
            <w:vAlign w:val="top"/>
          </w:tcPr>
          <w:p>
            <w:pPr>
              <w:ind w:right="19"/>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597.84</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3356" w:type="dxa"/>
            <w:vAlign w:val="top"/>
          </w:tcPr>
          <w:p>
            <w:pPr>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543" w:type="dxa"/>
            <w:vAlign w:val="top"/>
          </w:tcPr>
          <w:p>
            <w:pPr>
              <w:ind w:right="3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550.44</w:t>
            </w:r>
          </w:p>
        </w:tc>
        <w:tc>
          <w:tcPr>
            <w:tcW w:w="1318" w:type="dxa"/>
            <w:vAlign w:val="top"/>
          </w:tcPr>
          <w:p>
            <w:pPr>
              <w:ind w:right="19"/>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550.44</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3356"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43" w:type="dxa"/>
            <w:vAlign w:val="top"/>
          </w:tcPr>
          <w:p>
            <w:pPr>
              <w:ind w:right="3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137.84</w:t>
            </w:r>
          </w:p>
        </w:tc>
        <w:tc>
          <w:tcPr>
            <w:tcW w:w="1318" w:type="dxa"/>
            <w:vAlign w:val="top"/>
          </w:tcPr>
          <w:p>
            <w:pPr>
              <w:ind w:right="17"/>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137.84</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3356" w:type="dxa"/>
            <w:vAlign w:val="top"/>
          </w:tcPr>
          <w:p>
            <w:pPr>
              <w:ind w:left="16" w:right="114" w:hanging="16"/>
              <w:spacing w:before="26"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其他政府办公厅（室）及相关机构事务支</w:t>
            </w:r>
            <w:r>
              <w:rPr>
                <w:rFonts w:ascii="SimSun" w:hAnsi="SimSun" w:eastAsia="SimSun" w:cs="SimSun"/>
                <w:sz w:val="18"/>
                <w:szCs w:val="18"/>
                <w:color w:val="212529"/>
                <w:spacing w:val="3"/>
              </w:rPr>
              <w:t xml:space="preserve"> </w:t>
            </w:r>
            <w:r>
              <w:rPr>
                <w:rFonts w:ascii="SimSun" w:hAnsi="SimSun" w:eastAsia="SimSun" w:cs="SimSun"/>
                <w:sz w:val="18"/>
                <w:szCs w:val="18"/>
                <w:color w:val="212529"/>
              </w:rPr>
              <w:t>出</w:t>
            </w:r>
          </w:p>
        </w:tc>
        <w:tc>
          <w:tcPr>
            <w:tcW w:w="1543" w:type="dxa"/>
            <w:vAlign w:val="top"/>
          </w:tcPr>
          <w:p>
            <w:pPr>
              <w:ind w:right="3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1"/>
              </w:rPr>
              <w:t>412.60</w:t>
            </w:r>
          </w:p>
        </w:tc>
        <w:tc>
          <w:tcPr>
            <w:tcW w:w="1318" w:type="dxa"/>
            <w:vAlign w:val="top"/>
          </w:tcPr>
          <w:p>
            <w:pPr>
              <w:ind w:right="19"/>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1"/>
              </w:rPr>
              <w:t>412.60</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20105</w:t>
            </w:r>
          </w:p>
        </w:tc>
        <w:tc>
          <w:tcPr>
            <w:tcW w:w="3356"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2"/>
              </w:rPr>
              <w:t>统计信息事务</w:t>
            </w:r>
          </w:p>
        </w:tc>
        <w:tc>
          <w:tcPr>
            <w:tcW w:w="1543" w:type="dxa"/>
            <w:vAlign w:val="top"/>
          </w:tcPr>
          <w:p>
            <w:pPr>
              <w:ind w:right="3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318" w:type="dxa"/>
            <w:vAlign w:val="top"/>
          </w:tcPr>
          <w:p>
            <w:pPr>
              <w:ind w:right="18"/>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2010507</w:t>
            </w:r>
          </w:p>
        </w:tc>
        <w:tc>
          <w:tcPr>
            <w:tcW w:w="3356" w:type="dxa"/>
            <w:vAlign w:val="top"/>
          </w:tcPr>
          <w:p>
            <w:pPr>
              <w:spacing w:before="133" w:line="219" w:lineRule="auto"/>
              <w:rPr>
                <w:rFonts w:ascii="SimSun" w:hAnsi="SimSun" w:eastAsia="SimSun" w:cs="SimSun"/>
                <w:sz w:val="18"/>
                <w:szCs w:val="18"/>
              </w:rPr>
            </w:pPr>
            <w:r>
              <w:rPr>
                <w:rFonts w:ascii="SimSun" w:hAnsi="SimSun" w:eastAsia="SimSun" w:cs="SimSun"/>
                <w:sz w:val="18"/>
                <w:szCs w:val="18"/>
                <w:color w:val="212529"/>
                <w:spacing w:val="-2"/>
              </w:rPr>
              <w:t>专项普查活动</w:t>
            </w:r>
          </w:p>
        </w:tc>
        <w:tc>
          <w:tcPr>
            <w:tcW w:w="1543" w:type="dxa"/>
            <w:vAlign w:val="top"/>
          </w:tcPr>
          <w:p>
            <w:pPr>
              <w:ind w:right="3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318" w:type="dxa"/>
            <w:vAlign w:val="top"/>
          </w:tcPr>
          <w:p>
            <w:pPr>
              <w:ind w:right="18"/>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30.00</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20113</w:t>
            </w:r>
          </w:p>
        </w:tc>
        <w:tc>
          <w:tcPr>
            <w:tcW w:w="3356" w:type="dxa"/>
            <w:vAlign w:val="top"/>
          </w:tcPr>
          <w:p>
            <w:pPr>
              <w:spacing w:before="134" w:line="219" w:lineRule="auto"/>
              <w:rPr>
                <w:rFonts w:ascii="SimSun" w:hAnsi="SimSun" w:eastAsia="SimSun" w:cs="SimSun"/>
                <w:sz w:val="18"/>
                <w:szCs w:val="18"/>
              </w:rPr>
            </w:pPr>
            <w:r>
              <w:rPr>
                <w:rFonts w:ascii="SimSun" w:hAnsi="SimSun" w:eastAsia="SimSun" w:cs="SimSun"/>
                <w:sz w:val="18"/>
                <w:szCs w:val="18"/>
                <w:color w:val="212529"/>
                <w:spacing w:val="-3"/>
              </w:rPr>
              <w:t>商贸事务</w:t>
            </w:r>
          </w:p>
        </w:tc>
        <w:tc>
          <w:tcPr>
            <w:tcW w:w="1543" w:type="dxa"/>
            <w:vAlign w:val="top"/>
          </w:tcPr>
          <w:p>
            <w:pPr>
              <w:ind w:right="3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18" w:type="dxa"/>
            <w:vAlign w:val="top"/>
          </w:tcPr>
          <w:p>
            <w:pPr>
              <w:ind w:right="18"/>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2011308</w:t>
            </w:r>
          </w:p>
        </w:tc>
        <w:tc>
          <w:tcPr>
            <w:tcW w:w="3356"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3"/>
              </w:rPr>
              <w:t>招商引资</w:t>
            </w:r>
          </w:p>
        </w:tc>
        <w:tc>
          <w:tcPr>
            <w:tcW w:w="1543" w:type="dxa"/>
            <w:vAlign w:val="top"/>
          </w:tcPr>
          <w:p>
            <w:pPr>
              <w:ind w:right="3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18" w:type="dxa"/>
            <w:vAlign w:val="top"/>
          </w:tcPr>
          <w:p>
            <w:pPr>
              <w:ind w:right="18"/>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20136</w:t>
            </w:r>
          </w:p>
        </w:tc>
        <w:tc>
          <w:tcPr>
            <w:tcW w:w="3356"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其他共产党事务支出</w:t>
            </w:r>
          </w:p>
        </w:tc>
        <w:tc>
          <w:tcPr>
            <w:tcW w:w="1543" w:type="dxa"/>
            <w:vAlign w:val="top"/>
          </w:tcPr>
          <w:p>
            <w:pPr>
              <w:ind w:right="3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318" w:type="dxa"/>
            <w:vAlign w:val="top"/>
          </w:tcPr>
          <w:p>
            <w:pPr>
              <w:ind w:right="1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2013699</w:t>
            </w:r>
          </w:p>
        </w:tc>
        <w:tc>
          <w:tcPr>
            <w:tcW w:w="3356"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2"/>
              </w:rPr>
              <w:t>其他共产党事务支出</w:t>
            </w:r>
          </w:p>
        </w:tc>
        <w:tc>
          <w:tcPr>
            <w:tcW w:w="1543" w:type="dxa"/>
            <w:vAlign w:val="top"/>
          </w:tcPr>
          <w:p>
            <w:pPr>
              <w:ind w:right="3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318" w:type="dxa"/>
            <w:vAlign w:val="top"/>
          </w:tcPr>
          <w:p>
            <w:pPr>
              <w:ind w:right="1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12.40</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3356"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4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38.42</w:t>
            </w:r>
          </w:p>
        </w:tc>
        <w:tc>
          <w:tcPr>
            <w:tcW w:w="1318" w:type="dxa"/>
            <w:vAlign w:val="top"/>
          </w:tcPr>
          <w:p>
            <w:pPr>
              <w:ind w:right="1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38.42</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356"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4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36.15</w:t>
            </w:r>
          </w:p>
        </w:tc>
        <w:tc>
          <w:tcPr>
            <w:tcW w:w="1318" w:type="dxa"/>
            <w:vAlign w:val="top"/>
          </w:tcPr>
          <w:p>
            <w:pPr>
              <w:ind w:right="1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36.15</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3356"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54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3.41</w:t>
            </w:r>
          </w:p>
        </w:tc>
        <w:tc>
          <w:tcPr>
            <w:tcW w:w="1318" w:type="dxa"/>
            <w:vAlign w:val="top"/>
          </w:tcPr>
          <w:p>
            <w:pPr>
              <w:ind w:right="18"/>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3.41</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356"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43" w:type="dxa"/>
            <w:vAlign w:val="top"/>
          </w:tcPr>
          <w:p>
            <w:pPr>
              <w:ind w:right="3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23.70</w:t>
            </w:r>
          </w:p>
        </w:tc>
        <w:tc>
          <w:tcPr>
            <w:tcW w:w="1318" w:type="dxa"/>
            <w:vAlign w:val="top"/>
          </w:tcPr>
          <w:p>
            <w:pPr>
              <w:ind w:right="1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23.70</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5"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3356"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43"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9.03</w:t>
            </w:r>
          </w:p>
        </w:tc>
        <w:tc>
          <w:tcPr>
            <w:tcW w:w="1318" w:type="dxa"/>
            <w:vAlign w:val="top"/>
          </w:tcPr>
          <w:p>
            <w:pPr>
              <w:ind w:right="19"/>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9.03</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42" w:hRule="atLeast"/>
        </w:trPr>
        <w:tc>
          <w:tcPr>
            <w:tcW w:w="158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3356"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3"/>
              </w:rPr>
              <w:t>残疾人事业</w:t>
            </w:r>
          </w:p>
        </w:tc>
        <w:tc>
          <w:tcPr>
            <w:tcW w:w="1543" w:type="dxa"/>
            <w:vAlign w:val="top"/>
          </w:tcPr>
          <w:p>
            <w:pPr>
              <w:ind w:right="3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1.74</w:t>
            </w:r>
          </w:p>
        </w:tc>
        <w:tc>
          <w:tcPr>
            <w:tcW w:w="1318" w:type="dxa"/>
            <w:vAlign w:val="top"/>
          </w:tcPr>
          <w:p>
            <w:pPr>
              <w:ind w:right="1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1.74</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81"/>
        <w:gridCol w:w="3356"/>
        <w:gridCol w:w="1543"/>
        <w:gridCol w:w="1318"/>
        <w:gridCol w:w="1064"/>
        <w:gridCol w:w="1273"/>
        <w:gridCol w:w="1259"/>
        <w:gridCol w:w="1019"/>
        <w:gridCol w:w="1056"/>
      </w:tblGrid>
      <w:tr>
        <w:trPr>
          <w:trHeight w:val="441" w:hRule="atLeast"/>
        </w:trPr>
        <w:tc>
          <w:tcPr>
            <w:tcW w:w="158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3356"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3"/>
              </w:rPr>
              <w:t>残疾人就业</w:t>
            </w:r>
          </w:p>
        </w:tc>
        <w:tc>
          <w:tcPr>
            <w:tcW w:w="1543" w:type="dxa"/>
            <w:vAlign w:val="top"/>
          </w:tcPr>
          <w:p>
            <w:pPr>
              <w:ind w:right="30"/>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1.74</w:t>
            </w:r>
          </w:p>
        </w:tc>
        <w:tc>
          <w:tcPr>
            <w:tcW w:w="1318" w:type="dxa"/>
            <w:vAlign w:val="top"/>
          </w:tcPr>
          <w:p>
            <w:pPr>
              <w:ind w:right="15"/>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1.74</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3" w:hRule="atLeast"/>
        </w:trPr>
        <w:tc>
          <w:tcPr>
            <w:tcW w:w="158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3356" w:type="dxa"/>
            <w:vAlign w:val="top"/>
          </w:tcPr>
          <w:p>
            <w:pPr>
              <w:spacing w:before="109" w:line="218" w:lineRule="auto"/>
              <w:rPr>
                <w:rFonts w:ascii="SimSun" w:hAnsi="SimSun" w:eastAsia="SimSun" w:cs="SimSun"/>
                <w:sz w:val="18"/>
                <w:szCs w:val="18"/>
              </w:rPr>
            </w:pPr>
            <w:r>
              <w:rPr>
                <w:rFonts w:ascii="SimSun" w:hAnsi="SimSun" w:eastAsia="SimSun" w:cs="SimSun"/>
                <w:sz w:val="18"/>
                <w:szCs w:val="18"/>
                <w:color w:val="212529"/>
                <w:spacing w:val="-2"/>
              </w:rPr>
              <w:t>其他社会保障和就业支出</w:t>
            </w:r>
          </w:p>
        </w:tc>
        <w:tc>
          <w:tcPr>
            <w:tcW w:w="1543" w:type="dxa"/>
            <w:vAlign w:val="top"/>
          </w:tcPr>
          <w:p>
            <w:pPr>
              <w:ind w:right="33"/>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0.53</w:t>
            </w:r>
          </w:p>
        </w:tc>
        <w:tc>
          <w:tcPr>
            <w:tcW w:w="1318" w:type="dxa"/>
            <w:vAlign w:val="top"/>
          </w:tcPr>
          <w:p>
            <w:pPr>
              <w:ind w:right="18"/>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2"/>
              </w:rPr>
              <w:t>0.53</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3" w:hRule="atLeast"/>
        </w:trPr>
        <w:tc>
          <w:tcPr>
            <w:tcW w:w="158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3356" w:type="dxa"/>
            <w:vAlign w:val="top"/>
          </w:tcPr>
          <w:p>
            <w:pPr>
              <w:spacing w:before="111" w:line="218" w:lineRule="auto"/>
              <w:rPr>
                <w:rFonts w:ascii="SimSun" w:hAnsi="SimSun" w:eastAsia="SimSun" w:cs="SimSun"/>
                <w:sz w:val="18"/>
                <w:szCs w:val="18"/>
              </w:rPr>
            </w:pPr>
            <w:r>
              <w:rPr>
                <w:rFonts w:ascii="SimSun" w:hAnsi="SimSun" w:eastAsia="SimSun" w:cs="SimSun"/>
                <w:sz w:val="18"/>
                <w:szCs w:val="18"/>
                <w:color w:val="212529"/>
                <w:spacing w:val="-2"/>
              </w:rPr>
              <w:t>其他社会保障和就业支出</w:t>
            </w:r>
          </w:p>
        </w:tc>
        <w:tc>
          <w:tcPr>
            <w:tcW w:w="1543" w:type="dxa"/>
            <w:vAlign w:val="top"/>
          </w:tcPr>
          <w:p>
            <w:pPr>
              <w:ind w:right="33"/>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0.53</w:t>
            </w:r>
          </w:p>
        </w:tc>
        <w:tc>
          <w:tcPr>
            <w:tcW w:w="1318" w:type="dxa"/>
            <w:vAlign w:val="top"/>
          </w:tcPr>
          <w:p>
            <w:pPr>
              <w:ind w:right="18"/>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0.53</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3" w:hRule="atLeast"/>
        </w:trPr>
        <w:tc>
          <w:tcPr>
            <w:tcW w:w="158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3356" w:type="dxa"/>
            <w:vAlign w:val="top"/>
          </w:tcPr>
          <w:p>
            <w:pPr>
              <w:spacing w:before="113"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43" w:type="dxa"/>
            <w:vAlign w:val="top"/>
          </w:tcPr>
          <w:p>
            <w:pPr>
              <w:ind w:right="31"/>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318" w:type="dxa"/>
            <w:vAlign w:val="top"/>
          </w:tcPr>
          <w:p>
            <w:pPr>
              <w:ind w:right="16"/>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3" w:hRule="atLeast"/>
        </w:trPr>
        <w:tc>
          <w:tcPr>
            <w:tcW w:w="158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356"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43" w:type="dxa"/>
            <w:vAlign w:val="top"/>
          </w:tcPr>
          <w:p>
            <w:pPr>
              <w:ind w:right="3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318" w:type="dxa"/>
            <w:vAlign w:val="top"/>
          </w:tcPr>
          <w:p>
            <w:pPr>
              <w:ind w:right="1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18.63</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356"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43" w:type="dxa"/>
            <w:vAlign w:val="top"/>
          </w:tcPr>
          <w:p>
            <w:pPr>
              <w:ind w:right="3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12.82</w:t>
            </w:r>
          </w:p>
        </w:tc>
        <w:tc>
          <w:tcPr>
            <w:tcW w:w="1318" w:type="dxa"/>
            <w:vAlign w:val="top"/>
          </w:tcPr>
          <w:p>
            <w:pPr>
              <w:ind w:right="16"/>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12.82</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3356" w:type="dxa"/>
            <w:vAlign w:val="top"/>
          </w:tcPr>
          <w:p>
            <w:pPr>
              <w:spacing w:before="11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43" w:type="dxa"/>
            <w:vAlign w:val="top"/>
          </w:tcPr>
          <w:p>
            <w:pPr>
              <w:ind w:right="3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5.81</w:t>
            </w:r>
          </w:p>
        </w:tc>
        <w:tc>
          <w:tcPr>
            <w:tcW w:w="1318" w:type="dxa"/>
            <w:vAlign w:val="top"/>
          </w:tcPr>
          <w:p>
            <w:pPr>
              <w:ind w:right="18"/>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5.81</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3356" w:type="dxa"/>
            <w:vAlign w:val="top"/>
          </w:tcPr>
          <w:p>
            <w:pPr>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43" w:type="dxa"/>
            <w:vAlign w:val="top"/>
          </w:tcPr>
          <w:p>
            <w:pPr>
              <w:ind w:right="31"/>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318" w:type="dxa"/>
            <w:vAlign w:val="top"/>
          </w:tcPr>
          <w:p>
            <w:pPr>
              <w:ind w:right="16"/>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34" w:hRule="atLeast"/>
        </w:trPr>
        <w:tc>
          <w:tcPr>
            <w:tcW w:w="158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356" w:type="dxa"/>
            <w:vAlign w:val="top"/>
          </w:tcPr>
          <w:p>
            <w:pPr>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43" w:type="dxa"/>
            <w:vAlign w:val="top"/>
          </w:tcPr>
          <w:p>
            <w:pPr>
              <w:ind w:right="31"/>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318" w:type="dxa"/>
            <w:vAlign w:val="top"/>
          </w:tcPr>
          <w:p>
            <w:pPr>
              <w:ind w:right="16"/>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r>
        <w:trPr>
          <w:trHeight w:val="441" w:hRule="atLeast"/>
        </w:trPr>
        <w:tc>
          <w:tcPr>
            <w:tcW w:w="158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356" w:type="dxa"/>
            <w:vAlign w:val="top"/>
          </w:tcPr>
          <w:p>
            <w:pPr>
              <w:spacing w:before="122" w:line="219" w:lineRule="auto"/>
              <w:rPr>
                <w:rFonts w:ascii="SimSun" w:hAnsi="SimSun" w:eastAsia="SimSun" w:cs="SimSun"/>
                <w:sz w:val="18"/>
                <w:szCs w:val="18"/>
              </w:rPr>
            </w:pPr>
            <w:r>
              <w:rPr>
                <w:rFonts w:ascii="SimSun" w:hAnsi="SimSun" w:eastAsia="SimSun" w:cs="SimSun"/>
                <w:sz w:val="18"/>
                <w:szCs w:val="18"/>
                <w:color w:val="212529"/>
                <w:spacing w:val="-3"/>
              </w:rPr>
              <w:t>住房公积金</w:t>
            </w:r>
          </w:p>
        </w:tc>
        <w:tc>
          <w:tcPr>
            <w:tcW w:w="1543" w:type="dxa"/>
            <w:vAlign w:val="top"/>
          </w:tcPr>
          <w:p>
            <w:pPr>
              <w:ind w:right="31"/>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318" w:type="dxa"/>
            <w:vAlign w:val="top"/>
          </w:tcPr>
          <w:p>
            <w:pPr>
              <w:ind w:right="16"/>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4"/>
              </w:rPr>
              <w:t>18.49</w:t>
            </w:r>
          </w:p>
        </w:tc>
        <w:tc>
          <w:tcPr>
            <w:tcW w:w="1064" w:type="dxa"/>
            <w:vAlign w:val="top"/>
          </w:tcPr>
          <w:p>
            <w:pPr>
              <w:pStyle w:val="TableText"/>
              <w:rPr/>
            </w:pPr>
            <w:r/>
          </w:p>
        </w:tc>
        <w:tc>
          <w:tcPr>
            <w:tcW w:w="1273" w:type="dxa"/>
            <w:vAlign w:val="top"/>
          </w:tcPr>
          <w:p>
            <w:pPr>
              <w:pStyle w:val="TableText"/>
              <w:rPr/>
            </w:pPr>
            <w:r/>
          </w:p>
        </w:tc>
        <w:tc>
          <w:tcPr>
            <w:tcW w:w="1259" w:type="dxa"/>
            <w:vAlign w:val="top"/>
          </w:tcPr>
          <w:p>
            <w:pPr>
              <w:pStyle w:val="TableText"/>
              <w:rPr/>
            </w:pPr>
            <w:r/>
          </w:p>
        </w:tc>
        <w:tc>
          <w:tcPr>
            <w:tcW w:w="1019" w:type="dxa"/>
            <w:vAlign w:val="top"/>
          </w:tcPr>
          <w:p>
            <w:pPr>
              <w:pStyle w:val="TableText"/>
              <w:rPr/>
            </w:pPr>
            <w:r/>
          </w:p>
        </w:tc>
        <w:tc>
          <w:tcPr>
            <w:tcW w:w="1056" w:type="dxa"/>
            <w:vAlign w:val="top"/>
          </w:tcPr>
          <w:p>
            <w:pPr>
              <w:pStyle w:val="TableText"/>
              <w:rPr/>
            </w:pPr>
            <w:r/>
          </w:p>
        </w:tc>
      </w:tr>
    </w:tbl>
    <w:p>
      <w:pPr>
        <w:pStyle w:val="BodyText"/>
        <w:rPr/>
      </w:pPr>
      <w:r/>
    </w:p>
    <w:p>
      <w:pPr>
        <w:sectPr>
          <w:headerReference w:type="default" r:id="rId12"/>
          <w:footerReference w:type="default" r:id="rId13"/>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20"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8"/>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55" w:type="dxa"/>
            <w:vAlign w:val="top"/>
          </w:tcPr>
          <w:p>
            <w:pPr>
              <w:ind w:left="53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4"/>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70"/>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3"/>
              <w:spacing w:before="96"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339" w:type="dxa"/>
            <w:vAlign w:val="top"/>
          </w:tcPr>
          <w:p>
            <w:pPr>
              <w:pStyle w:val="TableText"/>
              <w:ind w:left="831"/>
              <w:spacing w:before="96" w:line="173" w:lineRule="auto"/>
              <w:rPr>
                <w:sz w:val="14"/>
                <w:szCs w:val="14"/>
              </w:rPr>
            </w:pPr>
            <w:r>
              <w:rPr>
                <w:sz w:val="14"/>
                <w:szCs w:val="14"/>
                <w:color w:val="212529"/>
              </w:rPr>
              <w:t>213.</w:t>
            </w:r>
            <w:r>
              <w:rPr>
                <w:sz w:val="14"/>
                <w:szCs w:val="14"/>
                <w:color w:val="212529"/>
                <w:spacing w:val="6"/>
              </w:rPr>
              <w:t xml:space="preserve"> </w:t>
            </w:r>
            <w:r>
              <w:rPr>
                <w:sz w:val="14"/>
                <w:szCs w:val="14"/>
                <w:color w:val="212529"/>
              </w:rPr>
              <w:t>39</w:t>
            </w:r>
          </w:p>
        </w:tc>
        <w:tc>
          <w:tcPr>
            <w:tcW w:w="1345" w:type="dxa"/>
            <w:vAlign w:val="top"/>
          </w:tcPr>
          <w:p>
            <w:pPr>
              <w:pStyle w:val="TableText"/>
              <w:ind w:left="831"/>
              <w:spacing w:before="96" w:line="172" w:lineRule="auto"/>
              <w:rPr>
                <w:sz w:val="14"/>
                <w:szCs w:val="14"/>
              </w:rPr>
            </w:pPr>
            <w:r>
              <w:rPr>
                <w:sz w:val="14"/>
                <w:szCs w:val="14"/>
                <w:color w:val="212529"/>
              </w:rPr>
              <w:t>460.</w:t>
            </w:r>
            <w:r>
              <w:rPr>
                <w:sz w:val="14"/>
                <w:szCs w:val="14"/>
                <w:color w:val="212529"/>
                <w:spacing w:val="9"/>
              </w:rPr>
              <w:t xml:space="preserve"> </w:t>
            </w:r>
            <w:r>
              <w:rPr>
                <w:sz w:val="14"/>
                <w:szCs w:val="14"/>
                <w:color w:val="212529"/>
              </w:rPr>
              <w:t>00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26" w:type="dxa"/>
            <w:vAlign w:val="top"/>
          </w:tcPr>
          <w:p>
            <w:pPr>
              <w:ind w:left="2"/>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597.84</w:t>
            </w:r>
          </w:p>
        </w:tc>
        <w:tc>
          <w:tcPr>
            <w:tcW w:w="1339" w:type="dxa"/>
            <w:vAlign w:val="top"/>
          </w:tcPr>
          <w:p>
            <w:pPr>
              <w:pStyle w:val="TableText"/>
              <w:ind w:left="841"/>
              <w:spacing w:before="96" w:line="162" w:lineRule="auto"/>
              <w:rPr>
                <w:sz w:val="15"/>
                <w:szCs w:val="15"/>
              </w:rPr>
            </w:pPr>
            <w:r>
              <w:rPr>
                <w:sz w:val="15"/>
                <w:szCs w:val="15"/>
                <w:color w:val="212529"/>
                <w:spacing w:val="1"/>
              </w:rPr>
              <w:t>137.84</w:t>
            </w:r>
          </w:p>
        </w:tc>
        <w:tc>
          <w:tcPr>
            <w:tcW w:w="1345" w:type="dxa"/>
            <w:vAlign w:val="top"/>
          </w:tcPr>
          <w:p>
            <w:pPr>
              <w:pStyle w:val="TableText"/>
              <w:ind w:left="831"/>
              <w:spacing w:before="97" w:line="172" w:lineRule="auto"/>
              <w:rPr>
                <w:sz w:val="14"/>
                <w:szCs w:val="14"/>
              </w:rPr>
            </w:pPr>
            <w:r>
              <w:rPr>
                <w:sz w:val="14"/>
                <w:szCs w:val="14"/>
                <w:color w:val="212529"/>
              </w:rPr>
              <w:t>460.</w:t>
            </w:r>
            <w:r>
              <w:rPr>
                <w:sz w:val="14"/>
                <w:szCs w:val="14"/>
                <w:color w:val="212529"/>
                <w:spacing w:val="9"/>
              </w:rPr>
              <w:t xml:space="preserve"> </w:t>
            </w:r>
            <w:r>
              <w:rPr>
                <w:sz w:val="14"/>
                <w:szCs w:val="14"/>
                <w:color w:val="212529"/>
              </w:rPr>
              <w:t>00</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326" w:type="dxa"/>
            <w:vAlign w:val="top"/>
          </w:tcPr>
          <w:p>
            <w:pPr>
              <w:ind w:left="1"/>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550.44</w:t>
            </w:r>
          </w:p>
        </w:tc>
        <w:tc>
          <w:tcPr>
            <w:tcW w:w="1339" w:type="dxa"/>
            <w:vAlign w:val="top"/>
          </w:tcPr>
          <w:p>
            <w:pPr>
              <w:pStyle w:val="TableText"/>
              <w:ind w:left="841"/>
              <w:spacing w:before="96" w:line="162" w:lineRule="auto"/>
              <w:rPr>
                <w:sz w:val="15"/>
                <w:szCs w:val="15"/>
              </w:rPr>
            </w:pPr>
            <w:r>
              <w:rPr>
                <w:sz w:val="15"/>
                <w:szCs w:val="15"/>
                <w:color w:val="212529"/>
                <w:spacing w:val="1"/>
              </w:rPr>
              <w:t>137.84</w:t>
            </w:r>
          </w:p>
        </w:tc>
        <w:tc>
          <w:tcPr>
            <w:tcW w:w="1345" w:type="dxa"/>
            <w:vAlign w:val="top"/>
          </w:tcPr>
          <w:p>
            <w:pPr>
              <w:pStyle w:val="TableText"/>
              <w:ind w:left="831"/>
              <w:spacing w:before="96" w:line="173" w:lineRule="auto"/>
              <w:rPr>
                <w:sz w:val="14"/>
                <w:szCs w:val="14"/>
              </w:rPr>
            </w:pPr>
            <w:r>
              <w:rPr>
                <w:sz w:val="14"/>
                <w:szCs w:val="14"/>
                <w:color w:val="212529"/>
              </w:rPr>
              <w:t>412.</w:t>
            </w:r>
            <w:r>
              <w:rPr>
                <w:sz w:val="14"/>
                <w:szCs w:val="14"/>
                <w:color w:val="212529"/>
                <w:spacing w:val="9"/>
              </w:rPr>
              <w:t xml:space="preserve"> </w:t>
            </w:r>
            <w:r>
              <w:rPr>
                <w:sz w:val="14"/>
                <w:szCs w:val="14"/>
                <w:color w:val="212529"/>
              </w:rPr>
              <w:t>60</w:t>
            </w:r>
          </w:p>
        </w:tc>
      </w:tr>
      <w:tr>
        <w:trPr>
          <w:trHeight w:val="314"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326" w:type="dxa"/>
            <w:vAlign w:val="top"/>
          </w:tcPr>
          <w:p>
            <w:pPr>
              <w:ind w:left="2"/>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345" w:type="dxa"/>
            <w:vAlign w:val="top"/>
          </w:tcPr>
          <w:p>
            <w:pPr>
              <w:pStyle w:val="TableText"/>
              <w:rPr/>
            </w:pPr>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326"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c>
          <w:tcPr>
            <w:tcW w:w="1339" w:type="dxa"/>
            <w:vAlign w:val="top"/>
          </w:tcPr>
          <w:p>
            <w:pPr>
              <w:pStyle w:val="TableText"/>
              <w:rPr/>
            </w:pPr>
            <w:r/>
          </w:p>
        </w:tc>
        <w:tc>
          <w:tcPr>
            <w:tcW w:w="1345"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326"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39" w:type="dxa"/>
            <w:vAlign w:val="top"/>
          </w:tcPr>
          <w:p>
            <w:pPr>
              <w:pStyle w:val="TableText"/>
              <w:rPr/>
            </w:pPr>
            <w:r/>
          </w:p>
        </w:tc>
        <w:tc>
          <w:tcPr>
            <w:tcW w:w="1345" w:type="dxa"/>
            <w:vAlign w:val="top"/>
          </w:tcPr>
          <w:p>
            <w:pPr>
              <w:pStyle w:val="TableText"/>
              <w:ind w:left="916"/>
              <w:spacing w:before="98" w:line="186" w:lineRule="auto"/>
              <w:rPr>
                <w:sz w:val="13"/>
                <w:szCs w:val="13"/>
              </w:rPr>
            </w:pPr>
            <w:r>
              <w:rPr>
                <w:sz w:val="13"/>
                <w:szCs w:val="13"/>
                <w:color w:val="212529"/>
                <w:spacing w:val="3"/>
              </w:rPr>
              <w:t>30.</w:t>
            </w:r>
            <w:r>
              <w:rPr>
                <w:sz w:val="13"/>
                <w:szCs w:val="13"/>
                <w:color w:val="212529"/>
                <w:spacing w:val="15"/>
                <w:w w:val="101"/>
              </w:rPr>
              <w:t xml:space="preserve"> </w:t>
            </w:r>
            <w:r>
              <w:rPr>
                <w:sz w:val="13"/>
                <w:szCs w:val="13"/>
                <w:color w:val="212529"/>
                <w:spacing w:val="3"/>
              </w:rPr>
              <w:t>00</w:t>
            </w:r>
          </w:p>
        </w:tc>
      </w:tr>
      <w:tr>
        <w:trPr>
          <w:trHeight w:val="314" w:hRule="atLeast"/>
        </w:trPr>
        <w:tc>
          <w:tcPr>
            <w:tcW w:w="1755"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39" w:type="dxa"/>
            <w:vAlign w:val="top"/>
          </w:tcPr>
          <w:p>
            <w:pPr>
              <w:pStyle w:val="TableText"/>
              <w:rPr/>
            </w:pPr>
            <w:r/>
          </w:p>
        </w:tc>
        <w:tc>
          <w:tcPr>
            <w:tcW w:w="1345"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314" w:hRule="atLeast"/>
        </w:trPr>
        <w:tc>
          <w:tcPr>
            <w:tcW w:w="1755"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20113</w:t>
            </w:r>
          </w:p>
        </w:tc>
        <w:tc>
          <w:tcPr>
            <w:tcW w:w="3326" w:type="dxa"/>
            <w:vAlign w:val="top"/>
          </w:tcPr>
          <w:p>
            <w:pPr>
              <w:ind w:left="3"/>
              <w:spacing w:before="79" w:line="229" w:lineRule="auto"/>
              <w:rPr>
                <w:rFonts w:ascii="SimSun" w:hAnsi="SimSun" w:eastAsia="SimSun" w:cs="SimSun"/>
                <w:sz w:val="15"/>
                <w:szCs w:val="15"/>
              </w:rPr>
            </w:pPr>
            <w:r>
              <w:rPr>
                <w:rFonts w:ascii="SimSun" w:hAnsi="SimSun" w:eastAsia="SimSun" w:cs="SimSun"/>
                <w:sz w:val="15"/>
                <w:szCs w:val="15"/>
                <w:color w:val="212529"/>
                <w:spacing w:val="9"/>
              </w:rPr>
              <w:t>商贸事务</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98"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2011308</w:t>
            </w:r>
          </w:p>
        </w:tc>
        <w:tc>
          <w:tcPr>
            <w:tcW w:w="3326" w:type="dxa"/>
            <w:vAlign w:val="top"/>
          </w:tcPr>
          <w:p>
            <w:pPr>
              <w:ind w:left="1"/>
              <w:spacing w:before="79" w:line="230" w:lineRule="auto"/>
              <w:rPr>
                <w:rFonts w:ascii="SimSun" w:hAnsi="SimSun" w:eastAsia="SimSun" w:cs="SimSun"/>
                <w:sz w:val="15"/>
                <w:szCs w:val="15"/>
              </w:rPr>
            </w:pPr>
            <w:r>
              <w:rPr>
                <w:rFonts w:ascii="SimSun" w:hAnsi="SimSun" w:eastAsia="SimSun" w:cs="SimSun"/>
                <w:sz w:val="15"/>
                <w:szCs w:val="15"/>
                <w:color w:val="212529"/>
                <w:spacing w:val="9"/>
              </w:rPr>
              <w:t>招商引资</w:t>
            </w:r>
          </w:p>
        </w:tc>
        <w:tc>
          <w:tcPr>
            <w:tcW w:w="1393" w:type="dxa"/>
            <w:vAlign w:val="top"/>
          </w:tcPr>
          <w:p>
            <w:pPr>
              <w:ind w:right="22"/>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ind w:right="24"/>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39" w:type="dxa"/>
            <w:vAlign w:val="top"/>
          </w:tcPr>
          <w:p>
            <w:pPr>
              <w:pStyle w:val="TableText"/>
              <w:rPr/>
            </w:pPr>
            <w:r/>
          </w:p>
        </w:tc>
        <w:tc>
          <w:tcPr>
            <w:tcW w:w="1345" w:type="dxa"/>
            <w:vAlign w:val="top"/>
          </w:tcPr>
          <w:p>
            <w:pPr>
              <w:pStyle w:val="TableText"/>
              <w:ind w:left="925"/>
              <w:spacing w:before="98" w:line="187" w:lineRule="auto"/>
              <w:rPr>
                <w:sz w:val="13"/>
                <w:szCs w:val="13"/>
              </w:rPr>
            </w:pPr>
            <w:r>
              <w:rPr>
                <w:sz w:val="13"/>
                <w:szCs w:val="13"/>
                <w:color w:val="212529"/>
                <w:spacing w:val="2"/>
              </w:rPr>
              <w:t>12.</w:t>
            </w:r>
            <w:r>
              <w:rPr>
                <w:sz w:val="13"/>
                <w:szCs w:val="13"/>
                <w:color w:val="212529"/>
                <w:spacing w:val="11"/>
                <w:w w:val="102"/>
              </w:rPr>
              <w:t xml:space="preserve"> </w:t>
            </w:r>
            <w:r>
              <w:rPr>
                <w:sz w:val="13"/>
                <w:szCs w:val="13"/>
                <w:color w:val="212529"/>
                <w:spacing w:val="2"/>
              </w:rPr>
              <w:t>40</w:t>
            </w:r>
          </w:p>
        </w:tc>
      </w:tr>
      <w:tr>
        <w:trPr>
          <w:trHeight w:val="314" w:hRule="atLeast"/>
        </w:trPr>
        <w:tc>
          <w:tcPr>
            <w:tcW w:w="1755"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39" w:type="dxa"/>
            <w:vAlign w:val="top"/>
          </w:tcPr>
          <w:p>
            <w:pPr>
              <w:pStyle w:val="TableText"/>
              <w:rPr/>
            </w:pPr>
            <w:r/>
          </w:p>
        </w:tc>
        <w:tc>
          <w:tcPr>
            <w:tcW w:w="134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26" w:type="dxa"/>
            <w:vAlign w:val="top"/>
          </w:tcPr>
          <w:p>
            <w:pPr>
              <w:ind w:left="2"/>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1339" w:type="dxa"/>
            <w:vAlign w:val="top"/>
          </w:tcPr>
          <w:p>
            <w:pPr>
              <w:pStyle w:val="TableText"/>
              <w:ind w:left="914"/>
              <w:spacing w:before="100" w:line="186" w:lineRule="auto"/>
              <w:rPr>
                <w:sz w:val="13"/>
                <w:szCs w:val="13"/>
              </w:rPr>
            </w:pPr>
            <w:r>
              <w:rPr>
                <w:sz w:val="13"/>
                <w:szCs w:val="13"/>
                <w:color w:val="212529"/>
                <w:spacing w:val="4"/>
              </w:rPr>
              <w:t>38.</w:t>
            </w:r>
            <w:r>
              <w:rPr>
                <w:sz w:val="13"/>
                <w:szCs w:val="13"/>
                <w:color w:val="212529"/>
                <w:spacing w:val="9"/>
              </w:rPr>
              <w:t xml:space="preserve"> </w:t>
            </w:r>
            <w:r>
              <w:rPr>
                <w:sz w:val="13"/>
                <w:szCs w:val="13"/>
                <w:color w:val="212529"/>
                <w:spacing w:val="4"/>
              </w:rPr>
              <w:t>42</w:t>
            </w:r>
          </w:p>
        </w:tc>
        <w:tc>
          <w:tcPr>
            <w:tcW w:w="1345" w:type="dxa"/>
            <w:vAlign w:val="top"/>
          </w:tcPr>
          <w:p>
            <w:pPr>
              <w:pStyle w:val="TableText"/>
              <w:rPr/>
            </w:pPr>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26"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36.15</w:t>
            </w:r>
          </w:p>
        </w:tc>
        <w:tc>
          <w:tcPr>
            <w:tcW w:w="1339" w:type="dxa"/>
            <w:vAlign w:val="top"/>
          </w:tcPr>
          <w:p>
            <w:pPr>
              <w:pStyle w:val="TableText"/>
              <w:ind w:left="914"/>
              <w:spacing w:before="100" w:line="186" w:lineRule="auto"/>
              <w:rPr>
                <w:sz w:val="13"/>
                <w:szCs w:val="13"/>
              </w:rPr>
            </w:pPr>
            <w:r>
              <w:rPr>
                <w:sz w:val="13"/>
                <w:szCs w:val="13"/>
                <w:color w:val="212529"/>
                <w:spacing w:val="4"/>
              </w:rPr>
              <w:t>36.</w:t>
            </w:r>
            <w:r>
              <w:rPr>
                <w:sz w:val="13"/>
                <w:szCs w:val="13"/>
                <w:color w:val="212529"/>
                <w:spacing w:val="9"/>
              </w:rPr>
              <w:t xml:space="preserve"> </w:t>
            </w:r>
            <w:r>
              <w:rPr>
                <w:sz w:val="13"/>
                <w:szCs w:val="13"/>
                <w:color w:val="212529"/>
                <w:spacing w:val="4"/>
              </w:rPr>
              <w:t>15</w:t>
            </w:r>
          </w:p>
        </w:tc>
        <w:tc>
          <w:tcPr>
            <w:tcW w:w="1345" w:type="dxa"/>
            <w:vAlign w:val="top"/>
          </w:tcPr>
          <w:p>
            <w:pPr>
              <w:pStyle w:val="TableText"/>
              <w:rPr/>
            </w:pPr>
            <w:r/>
          </w:p>
        </w:tc>
      </w:tr>
      <w:tr>
        <w:trPr>
          <w:trHeight w:val="314" w:hRule="atLeast"/>
        </w:trPr>
        <w:tc>
          <w:tcPr>
            <w:tcW w:w="1755"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26"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339"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26"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339" w:type="dxa"/>
            <w:vAlign w:val="top"/>
          </w:tcPr>
          <w:p>
            <w:pPr>
              <w:ind w:right="20"/>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326"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339"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345" w:type="dxa"/>
            <w:vAlign w:val="top"/>
          </w:tcPr>
          <w:p>
            <w:pPr>
              <w:pStyle w:val="TableText"/>
              <w:rPr/>
            </w:pPr>
            <w:r/>
          </w:p>
        </w:tc>
      </w:tr>
      <w:tr>
        <w:trPr>
          <w:trHeight w:val="314" w:hRule="atLeast"/>
        </w:trPr>
        <w:tc>
          <w:tcPr>
            <w:tcW w:w="1755"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326"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39" w:type="dxa"/>
            <w:vAlign w:val="top"/>
          </w:tcPr>
          <w:p>
            <w:pPr>
              <w:pStyle w:val="TableText"/>
              <w:ind w:left="1004"/>
              <w:spacing w:before="101" w:line="187" w:lineRule="auto"/>
              <w:rPr>
                <w:sz w:val="13"/>
                <w:szCs w:val="13"/>
              </w:rPr>
            </w:pPr>
            <w:r>
              <w:rPr>
                <w:sz w:val="13"/>
                <w:szCs w:val="13"/>
                <w:color w:val="212529"/>
                <w:spacing w:val="3"/>
              </w:rPr>
              <w:t>1.</w:t>
            </w:r>
            <w:r>
              <w:rPr>
                <w:sz w:val="13"/>
                <w:szCs w:val="13"/>
                <w:color w:val="212529"/>
                <w:spacing w:val="3"/>
              </w:rPr>
              <w:t xml:space="preserve"> </w:t>
            </w:r>
            <w:r>
              <w:rPr>
                <w:sz w:val="13"/>
                <w:szCs w:val="13"/>
                <w:color w:val="212529"/>
                <w:spacing w:val="3"/>
              </w:rPr>
              <w:t>74</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326"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393"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39" w:type="dxa"/>
            <w:vAlign w:val="top"/>
          </w:tcPr>
          <w:p>
            <w:pPr>
              <w:ind w:right="20"/>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326"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39" w:type="dxa"/>
            <w:vAlign w:val="top"/>
          </w:tcPr>
          <w:p>
            <w:pPr>
              <w:pStyle w:val="TableText"/>
              <w:ind w:left="993"/>
              <w:spacing w:before="102" w:line="186" w:lineRule="auto"/>
              <w:rPr>
                <w:sz w:val="13"/>
                <w:szCs w:val="13"/>
              </w:rPr>
            </w:pPr>
            <w:r>
              <w:rPr>
                <w:sz w:val="13"/>
                <w:szCs w:val="13"/>
                <w:color w:val="212529"/>
                <w:spacing w:val="3"/>
              </w:rPr>
              <w:t>0.</w:t>
            </w:r>
            <w:r>
              <w:rPr>
                <w:sz w:val="13"/>
                <w:szCs w:val="13"/>
                <w:color w:val="212529"/>
                <w:spacing w:val="9"/>
                <w:w w:val="101"/>
              </w:rPr>
              <w:t xml:space="preserve"> </w:t>
            </w:r>
            <w:r>
              <w:rPr>
                <w:sz w:val="13"/>
                <w:szCs w:val="13"/>
                <w:color w:val="212529"/>
                <w:spacing w:val="3"/>
              </w:rPr>
              <w:t>53</w:t>
            </w:r>
          </w:p>
        </w:tc>
        <w:tc>
          <w:tcPr>
            <w:tcW w:w="1345" w:type="dxa"/>
            <w:vAlign w:val="top"/>
          </w:tcPr>
          <w:p>
            <w:pPr>
              <w:pStyle w:val="TableText"/>
              <w:rPr/>
            </w:pPr>
            <w:r/>
          </w:p>
        </w:tc>
      </w:tr>
      <w:tr>
        <w:trPr>
          <w:trHeight w:val="314"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326"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39" w:type="dxa"/>
            <w:vAlign w:val="top"/>
          </w:tcPr>
          <w:p>
            <w:pPr>
              <w:ind w:right="20"/>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45" w:type="dxa"/>
            <w:vAlign w:val="top"/>
          </w:tcPr>
          <w:p>
            <w:pPr>
              <w:pStyle w:val="TableText"/>
              <w:rPr/>
            </w:pPr>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26" w:type="dxa"/>
            <w:vAlign w:val="top"/>
          </w:tcPr>
          <w:p>
            <w:pPr>
              <w:ind w:left="2"/>
              <w:spacing w:before="8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339" w:type="dxa"/>
            <w:vAlign w:val="top"/>
          </w:tcPr>
          <w:p>
            <w:pPr>
              <w:pStyle w:val="TableText"/>
              <w:ind w:left="922"/>
              <w:spacing w:before="102" w:line="162" w:lineRule="auto"/>
              <w:rPr>
                <w:sz w:val="15"/>
                <w:szCs w:val="15"/>
              </w:rPr>
            </w:pPr>
            <w:r>
              <w:rPr>
                <w:sz w:val="15"/>
                <w:szCs w:val="15"/>
                <w:color w:val="212529"/>
                <w:spacing w:val="1"/>
              </w:rPr>
              <w:t>18.63</w:t>
            </w:r>
          </w:p>
        </w:tc>
        <w:tc>
          <w:tcPr>
            <w:tcW w:w="1345" w:type="dxa"/>
            <w:vAlign w:val="top"/>
          </w:tcPr>
          <w:p>
            <w:pPr>
              <w:pStyle w:val="TableText"/>
              <w:rPr/>
            </w:pPr>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26"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339" w:type="dxa"/>
            <w:vAlign w:val="top"/>
          </w:tcPr>
          <w:p>
            <w:pPr>
              <w:pStyle w:val="TableText"/>
              <w:ind w:left="922"/>
              <w:spacing w:before="102" w:line="162" w:lineRule="auto"/>
              <w:rPr>
                <w:sz w:val="15"/>
                <w:szCs w:val="15"/>
              </w:rPr>
            </w:pPr>
            <w:r>
              <w:rPr>
                <w:sz w:val="15"/>
                <w:szCs w:val="15"/>
                <w:color w:val="212529"/>
                <w:spacing w:val="1"/>
              </w:rPr>
              <w:t>18.63</w:t>
            </w:r>
          </w:p>
        </w:tc>
        <w:tc>
          <w:tcPr>
            <w:tcW w:w="1345" w:type="dxa"/>
            <w:vAlign w:val="top"/>
          </w:tcPr>
          <w:p>
            <w:pPr>
              <w:pStyle w:val="TableText"/>
              <w:rPr/>
            </w:pPr>
            <w:r/>
          </w:p>
        </w:tc>
      </w:tr>
      <w:tr>
        <w:trPr>
          <w:trHeight w:val="314" w:hRule="atLeast"/>
        </w:trPr>
        <w:tc>
          <w:tcPr>
            <w:tcW w:w="1755"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26"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339"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345" w:type="dxa"/>
            <w:vAlign w:val="top"/>
          </w:tcPr>
          <w:p>
            <w:pPr>
              <w:pStyle w:val="TableText"/>
              <w:rPr/>
            </w:pPr>
            <w:r/>
          </w:p>
        </w:tc>
      </w:tr>
      <w:tr>
        <w:trPr>
          <w:trHeight w:val="314" w:hRule="atLeast"/>
        </w:trPr>
        <w:tc>
          <w:tcPr>
            <w:tcW w:w="1755"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26" w:type="dxa"/>
            <w:vAlign w:val="top"/>
          </w:tcPr>
          <w:p>
            <w:pPr>
              <w:ind w:left="5"/>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39"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45" w:type="dxa"/>
            <w:vAlign w:val="top"/>
          </w:tcPr>
          <w:p>
            <w:pPr>
              <w:pStyle w:val="TableText"/>
              <w:rPr/>
            </w:pPr>
            <w:r/>
          </w:p>
        </w:tc>
      </w:tr>
      <w:tr>
        <w:trPr>
          <w:trHeight w:val="314" w:hRule="atLeast"/>
        </w:trPr>
        <w:tc>
          <w:tcPr>
            <w:tcW w:w="1755"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39" w:type="dxa"/>
            <w:vAlign w:val="top"/>
          </w:tcPr>
          <w:p>
            <w:pPr>
              <w:pStyle w:val="TableText"/>
              <w:ind w:left="922"/>
              <w:spacing w:before="103" w:line="162" w:lineRule="auto"/>
              <w:rPr>
                <w:sz w:val="15"/>
                <w:szCs w:val="15"/>
              </w:rPr>
            </w:pPr>
            <w:r>
              <w:rPr>
                <w:sz w:val="15"/>
                <w:szCs w:val="15"/>
                <w:color w:val="212529"/>
                <w:spacing w:val="1"/>
              </w:rPr>
              <w:t>18.49</w:t>
            </w:r>
          </w:p>
        </w:tc>
        <w:tc>
          <w:tcPr>
            <w:tcW w:w="1345" w:type="dxa"/>
            <w:vAlign w:val="top"/>
          </w:tcPr>
          <w:p>
            <w:pPr>
              <w:pStyle w:val="TableText"/>
              <w:rPr/>
            </w:pPr>
            <w:r/>
          </w:p>
        </w:tc>
      </w:tr>
      <w:tr>
        <w:trPr>
          <w:trHeight w:val="314"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39" w:type="dxa"/>
            <w:vAlign w:val="top"/>
          </w:tcPr>
          <w:p>
            <w:pPr>
              <w:pStyle w:val="TableText"/>
              <w:ind w:left="922"/>
              <w:spacing w:before="104" w:line="162" w:lineRule="auto"/>
              <w:rPr>
                <w:sz w:val="15"/>
                <w:szCs w:val="15"/>
              </w:rPr>
            </w:pPr>
            <w:r>
              <w:rPr>
                <w:sz w:val="15"/>
                <w:szCs w:val="15"/>
                <w:color w:val="212529"/>
                <w:spacing w:val="1"/>
              </w:rPr>
              <w:t>18.49</w:t>
            </w:r>
          </w:p>
        </w:tc>
        <w:tc>
          <w:tcPr>
            <w:tcW w:w="1345" w:type="dxa"/>
            <w:vAlign w:val="top"/>
          </w:tcPr>
          <w:p>
            <w:pPr>
              <w:pStyle w:val="TableText"/>
              <w:rPr/>
            </w:pPr>
            <w:r/>
          </w:p>
        </w:tc>
      </w:tr>
      <w:tr>
        <w:trPr>
          <w:trHeight w:val="319" w:hRule="atLeast"/>
        </w:trPr>
        <w:tc>
          <w:tcPr>
            <w:tcW w:w="1755"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26"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39" w:type="dxa"/>
            <w:vAlign w:val="top"/>
          </w:tcPr>
          <w:p>
            <w:pPr>
              <w:ind w:right="20"/>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45"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4" w:hRule="atLeast"/>
        </w:trPr>
        <w:tc>
          <w:tcPr>
            <w:tcW w:w="19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9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0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40"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118" w:type="dxa"/>
            <w:vAlign w:val="top"/>
            <w:tcBorders>
              <w:top w:val="single" w:color="FFFFFF" w:sz="4" w:space="0"/>
              <w:left w:val="single" w:color="FFFFFF" w:sz="2" w:space="0"/>
              <w:right w:val="single" w:color="FFFFFF" w:sz="2" w:space="0"/>
            </w:tcBorders>
          </w:tcPr>
          <w:p>
            <w:pPr>
              <w:ind w:left="445"/>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86"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72" w:type="dxa"/>
            <w:vAlign w:val="top"/>
            <w:gridSpan w:val="5"/>
          </w:tcPr>
          <w:p>
            <w:pPr>
              <w:ind w:left="291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17" w:type="dxa"/>
            <w:vAlign w:val="top"/>
            <w:vMerge w:val="restart"/>
            <w:tcBorders>
              <w:bottom w:val="nil"/>
            </w:tcBorders>
          </w:tcPr>
          <w:p>
            <w:pPr>
              <w:ind w:left="78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69" w:type="dxa"/>
            <w:vAlign w:val="top"/>
            <w:vMerge w:val="restart"/>
            <w:tcBorders>
              <w:bottom w:val="nil"/>
            </w:tcBorders>
          </w:tcPr>
          <w:p>
            <w:pPr>
              <w:ind w:left="35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98" w:type="dxa"/>
            <w:vAlign w:val="top"/>
            <w:vMerge w:val="restart"/>
            <w:tcBorders>
              <w:bottom w:val="nil"/>
            </w:tcBorders>
          </w:tcPr>
          <w:p>
            <w:pPr>
              <w:ind w:left="82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74" w:type="dxa"/>
            <w:vAlign w:val="top"/>
            <w:gridSpan w:val="4"/>
          </w:tcPr>
          <w:p>
            <w:pPr>
              <w:ind w:left="191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17"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998" w:type="dxa"/>
            <w:vAlign w:val="top"/>
            <w:vMerge w:val="continue"/>
            <w:tcBorders>
              <w:top w:val="nil"/>
            </w:tcBorders>
          </w:tcPr>
          <w:p>
            <w:pPr>
              <w:pStyle w:val="TableText"/>
              <w:rPr/>
            </w:pPr>
            <w:r/>
          </w:p>
        </w:tc>
        <w:tc>
          <w:tcPr>
            <w:tcW w:w="1069" w:type="dxa"/>
            <w:vAlign w:val="top"/>
          </w:tcPr>
          <w:p>
            <w:pPr>
              <w:ind w:left="368"/>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01" w:type="dxa"/>
            <w:vAlign w:val="top"/>
          </w:tcPr>
          <w:p>
            <w:pPr>
              <w:ind w:left="57"/>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86" w:type="dxa"/>
            <w:vAlign w:val="top"/>
          </w:tcPr>
          <w:p>
            <w:pPr>
              <w:ind w:left="33"/>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7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18" w:type="dxa"/>
            <w:vAlign w:val="top"/>
          </w:tcPr>
          <w:p>
            <w:pPr>
              <w:ind w:left="82"/>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8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ind w:right="20"/>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673.39</w:t>
            </w:r>
          </w:p>
        </w:tc>
        <w:tc>
          <w:tcPr>
            <w:tcW w:w="1998"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69"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597.84</w:t>
            </w:r>
          </w:p>
        </w:tc>
        <w:tc>
          <w:tcPr>
            <w:tcW w:w="1101" w:type="dxa"/>
            <w:vAlign w:val="top"/>
          </w:tcPr>
          <w:p>
            <w:pPr>
              <w:ind w:right="17"/>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597.84</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ind w:left="1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ind w:left="9"/>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22" w:right="41"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69"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1101" w:type="dxa"/>
            <w:vAlign w:val="top"/>
          </w:tcPr>
          <w:p>
            <w:pPr>
              <w:ind w:right="1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69"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101" w:type="dxa"/>
            <w:vAlign w:val="top"/>
          </w:tcPr>
          <w:p>
            <w:pPr>
              <w:ind w:right="1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69"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101"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1" w:right="4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2"/>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ind w:left="10" w:right="41"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9"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4" w:hRule="atLeast"/>
        </w:trPr>
        <w:tc>
          <w:tcPr>
            <w:tcW w:w="1917" w:type="dxa"/>
            <w:vAlign w:val="top"/>
          </w:tcPr>
          <w:p>
            <w:pPr>
              <w:ind w:left="460"/>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69" w:type="dxa"/>
            <w:vAlign w:val="top"/>
          </w:tcPr>
          <w:p>
            <w:pPr>
              <w:pStyle w:val="TableText"/>
              <w:ind w:left="282"/>
              <w:spacing w:before="138"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998" w:type="dxa"/>
            <w:vAlign w:val="top"/>
          </w:tcPr>
          <w:p>
            <w:pPr>
              <w:ind w:left="504"/>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69" w:type="dxa"/>
            <w:vAlign w:val="top"/>
          </w:tcPr>
          <w:p>
            <w:pPr>
              <w:pStyle w:val="TableText"/>
              <w:ind w:left="285"/>
              <w:spacing w:before="138"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101" w:type="dxa"/>
            <w:vAlign w:val="top"/>
          </w:tcPr>
          <w:p>
            <w:pPr>
              <w:pStyle w:val="TableText"/>
              <w:ind w:left="304"/>
              <w:spacing w:before="138" w:line="172" w:lineRule="auto"/>
              <w:rPr>
                <w:sz w:val="14"/>
                <w:szCs w:val="14"/>
              </w:rPr>
            </w:pPr>
            <w:r>
              <w:rPr>
                <w:sz w:val="14"/>
                <w:szCs w:val="14"/>
                <w:color w:val="212529"/>
                <w:spacing w:val="1"/>
              </w:rPr>
              <w:t>673.</w:t>
            </w:r>
            <w:r>
              <w:rPr>
                <w:sz w:val="14"/>
                <w:szCs w:val="14"/>
                <w:color w:val="212529"/>
                <w:spacing w:val="1"/>
              </w:rPr>
              <w:t xml:space="preserve"> </w:t>
            </w:r>
            <w:r>
              <w:rPr>
                <w:sz w:val="14"/>
                <w:szCs w:val="14"/>
                <w:color w:val="212529"/>
                <w:spacing w:val="1"/>
              </w:rPr>
              <w:t>39</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7"/>
        <w:gridCol w:w="1069"/>
        <w:gridCol w:w="1998"/>
        <w:gridCol w:w="1069"/>
        <w:gridCol w:w="1101"/>
        <w:gridCol w:w="886"/>
        <w:gridCol w:w="1118"/>
      </w:tblGrid>
      <w:tr>
        <w:trPr>
          <w:trHeight w:val="383" w:hRule="atLeast"/>
        </w:trPr>
        <w:tc>
          <w:tcPr>
            <w:tcW w:w="1917"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69" w:type="dxa"/>
            <w:vAlign w:val="top"/>
          </w:tcPr>
          <w:p>
            <w:pPr>
              <w:pStyle w:val="TableText"/>
              <w:rPr/>
            </w:pPr>
            <w:r/>
          </w:p>
        </w:tc>
        <w:tc>
          <w:tcPr>
            <w:tcW w:w="1998"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7" w:hRule="atLeast"/>
        </w:trPr>
        <w:tc>
          <w:tcPr>
            <w:tcW w:w="1917"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78" w:hRule="atLeast"/>
        </w:trPr>
        <w:tc>
          <w:tcPr>
            <w:tcW w:w="1917" w:type="dxa"/>
            <w:vAlign w:val="top"/>
          </w:tcPr>
          <w:p>
            <w:pPr>
              <w:pStyle w:val="TableText"/>
              <w:rPr/>
            </w:pPr>
            <w:r/>
          </w:p>
        </w:tc>
        <w:tc>
          <w:tcPr>
            <w:tcW w:w="1069" w:type="dxa"/>
            <w:vAlign w:val="top"/>
          </w:tcPr>
          <w:p>
            <w:pPr>
              <w:pStyle w:val="TableText"/>
              <w:rPr/>
            </w:pPr>
            <w:r/>
          </w:p>
        </w:tc>
        <w:tc>
          <w:tcPr>
            <w:tcW w:w="1998" w:type="dxa"/>
            <w:vAlign w:val="top"/>
          </w:tcPr>
          <w:p>
            <w:pPr>
              <w:pStyle w:val="TableText"/>
              <w:rPr/>
            </w:pPr>
            <w:r/>
          </w:p>
        </w:tc>
        <w:tc>
          <w:tcPr>
            <w:tcW w:w="1069" w:type="dxa"/>
            <w:vAlign w:val="top"/>
          </w:tcPr>
          <w:p>
            <w:pPr>
              <w:pStyle w:val="TableText"/>
              <w:rPr/>
            </w:pPr>
            <w:r/>
          </w:p>
        </w:tc>
        <w:tc>
          <w:tcPr>
            <w:tcW w:w="1101" w:type="dxa"/>
            <w:vAlign w:val="top"/>
          </w:tcPr>
          <w:p>
            <w:pPr>
              <w:pStyle w:val="TableText"/>
              <w:rPr/>
            </w:pPr>
            <w:r/>
          </w:p>
        </w:tc>
        <w:tc>
          <w:tcPr>
            <w:tcW w:w="886" w:type="dxa"/>
            <w:vAlign w:val="top"/>
          </w:tcPr>
          <w:p>
            <w:pPr>
              <w:pStyle w:val="TableText"/>
              <w:rPr/>
            </w:pPr>
            <w:r/>
          </w:p>
        </w:tc>
        <w:tc>
          <w:tcPr>
            <w:tcW w:w="1118" w:type="dxa"/>
            <w:vAlign w:val="top"/>
          </w:tcPr>
          <w:p>
            <w:pPr>
              <w:pStyle w:val="TableText"/>
              <w:rPr/>
            </w:pPr>
            <w:r/>
          </w:p>
        </w:tc>
      </w:tr>
      <w:tr>
        <w:trPr>
          <w:trHeight w:val="383" w:hRule="atLeast"/>
        </w:trPr>
        <w:tc>
          <w:tcPr>
            <w:tcW w:w="1917" w:type="dxa"/>
            <w:vAlign w:val="top"/>
          </w:tcPr>
          <w:p>
            <w:pPr>
              <w:ind w:left="626"/>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69" w:type="dxa"/>
            <w:vAlign w:val="top"/>
          </w:tcPr>
          <w:p>
            <w:pPr>
              <w:pStyle w:val="TableText"/>
              <w:ind w:left="282"/>
              <w:spacing w:before="136"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998" w:type="dxa"/>
            <w:vAlign w:val="top"/>
          </w:tcPr>
          <w:p>
            <w:pPr>
              <w:ind w:left="665"/>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69" w:type="dxa"/>
            <w:vAlign w:val="top"/>
          </w:tcPr>
          <w:p>
            <w:pPr>
              <w:pStyle w:val="TableText"/>
              <w:ind w:left="285"/>
              <w:spacing w:before="136"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101" w:type="dxa"/>
            <w:vAlign w:val="top"/>
          </w:tcPr>
          <w:p>
            <w:pPr>
              <w:pStyle w:val="TableText"/>
              <w:ind w:left="304"/>
              <w:spacing w:before="136" w:line="172" w:lineRule="auto"/>
              <w:rPr>
                <w:sz w:val="14"/>
                <w:szCs w:val="14"/>
              </w:rPr>
            </w:pPr>
            <w:r>
              <w:rPr>
                <w:sz w:val="14"/>
                <w:szCs w:val="14"/>
                <w:color w:val="212529"/>
                <w:spacing w:val="1"/>
              </w:rPr>
              <w:t>673.</w:t>
            </w:r>
            <w:r>
              <w:rPr>
                <w:sz w:val="14"/>
                <w:szCs w:val="14"/>
                <w:color w:val="212529"/>
                <w:spacing w:val="1"/>
              </w:rPr>
              <w:t xml:space="preserve"> </w:t>
            </w:r>
            <w:r>
              <w:rPr>
                <w:sz w:val="14"/>
                <w:szCs w:val="14"/>
                <w:color w:val="212529"/>
                <w:spacing w:val="1"/>
              </w:rPr>
              <w:t>39</w:t>
            </w:r>
          </w:p>
        </w:tc>
        <w:tc>
          <w:tcPr>
            <w:tcW w:w="886" w:type="dxa"/>
            <w:vAlign w:val="top"/>
          </w:tcPr>
          <w:p>
            <w:pPr>
              <w:pStyle w:val="TableText"/>
              <w:rPr/>
            </w:pPr>
            <w:r/>
          </w:p>
        </w:tc>
        <w:tc>
          <w:tcPr>
            <w:tcW w:w="1118"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4"/>
              <w:spacing w:before="87" w:line="172" w:lineRule="auto"/>
              <w:rPr>
                <w:sz w:val="14"/>
                <w:szCs w:val="14"/>
              </w:rPr>
            </w:pPr>
            <w:r>
              <w:rPr>
                <w:sz w:val="14"/>
                <w:szCs w:val="14"/>
                <w:color w:val="212529"/>
              </w:rPr>
              <w:t>673.</w:t>
            </w:r>
            <w:r>
              <w:rPr>
                <w:sz w:val="14"/>
                <w:szCs w:val="14"/>
                <w:color w:val="212529"/>
                <w:spacing w:val="7"/>
              </w:rPr>
              <w:t xml:space="preserve"> </w:t>
            </w:r>
            <w:r>
              <w:rPr>
                <w:sz w:val="14"/>
                <w:szCs w:val="14"/>
                <w:color w:val="212529"/>
              </w:rPr>
              <w:t>39</w:t>
            </w:r>
          </w:p>
        </w:tc>
        <w:tc>
          <w:tcPr>
            <w:tcW w:w="1361" w:type="dxa"/>
            <w:vAlign w:val="top"/>
          </w:tcPr>
          <w:p>
            <w:pPr>
              <w:pStyle w:val="TableText"/>
              <w:ind w:left="856"/>
              <w:spacing w:before="87" w:line="173" w:lineRule="auto"/>
              <w:rPr>
                <w:sz w:val="14"/>
                <w:szCs w:val="14"/>
              </w:rPr>
            </w:pPr>
            <w:r>
              <w:rPr>
                <w:sz w:val="14"/>
                <w:szCs w:val="14"/>
                <w:color w:val="212529"/>
              </w:rPr>
              <w:t>213.</w:t>
            </w:r>
            <w:r>
              <w:rPr>
                <w:sz w:val="14"/>
                <w:szCs w:val="14"/>
                <w:color w:val="212529"/>
                <w:spacing w:val="6"/>
              </w:rPr>
              <w:t xml:space="preserve"> </w:t>
            </w:r>
            <w:r>
              <w:rPr>
                <w:sz w:val="14"/>
                <w:szCs w:val="14"/>
                <w:color w:val="212529"/>
              </w:rPr>
              <w:t>39</w:t>
            </w:r>
          </w:p>
        </w:tc>
        <w:tc>
          <w:tcPr>
            <w:tcW w:w="1409" w:type="dxa"/>
            <w:vAlign w:val="top"/>
          </w:tcPr>
          <w:p>
            <w:pPr>
              <w:pStyle w:val="TableText"/>
              <w:ind w:left="895"/>
              <w:spacing w:before="87" w:line="172" w:lineRule="auto"/>
              <w:rPr>
                <w:sz w:val="14"/>
                <w:szCs w:val="14"/>
              </w:rPr>
            </w:pPr>
            <w:r>
              <w:rPr>
                <w:sz w:val="14"/>
                <w:szCs w:val="14"/>
                <w:color w:val="212529"/>
              </w:rPr>
              <w:t>460.</w:t>
            </w:r>
            <w:r>
              <w:rPr>
                <w:sz w:val="14"/>
                <w:szCs w:val="14"/>
                <w:color w:val="212529"/>
                <w:spacing w:val="9"/>
              </w:rPr>
              <w:t xml:space="preserve"> </w:t>
            </w:r>
            <w:r>
              <w:rPr>
                <w:sz w:val="14"/>
                <w:szCs w:val="14"/>
                <w:color w:val="212529"/>
              </w:rPr>
              <w:t>00</w:t>
            </w:r>
          </w:p>
        </w:tc>
      </w:tr>
      <w:tr>
        <w:trPr>
          <w:trHeight w:val="292" w:hRule="atLeast"/>
        </w:trPr>
        <w:tc>
          <w:tcPr>
            <w:tcW w:w="161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597.84</w:t>
            </w:r>
          </w:p>
        </w:tc>
        <w:tc>
          <w:tcPr>
            <w:tcW w:w="1361"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40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r>
      <w:tr>
        <w:trPr>
          <w:trHeight w:val="292"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94" w:type="dxa"/>
            <w:vAlign w:val="top"/>
          </w:tcPr>
          <w:p>
            <w:pPr>
              <w:ind w:left="2"/>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550.44</w:t>
            </w:r>
          </w:p>
        </w:tc>
        <w:tc>
          <w:tcPr>
            <w:tcW w:w="1361"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409"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r>
      <w:tr>
        <w:trPr>
          <w:trHeight w:val="292" w:hRule="atLeast"/>
        </w:trPr>
        <w:tc>
          <w:tcPr>
            <w:tcW w:w="161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137.84</w:t>
            </w:r>
          </w:p>
        </w:tc>
        <w:tc>
          <w:tcPr>
            <w:tcW w:w="1409" w:type="dxa"/>
            <w:vAlign w:val="top"/>
          </w:tcPr>
          <w:p>
            <w:pPr>
              <w:pStyle w:val="TableText"/>
              <w:rPr/>
            </w:pPr>
            <w:r/>
          </w:p>
        </w:tc>
      </w:tr>
      <w:tr>
        <w:trPr>
          <w:trHeight w:val="292"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94" w:type="dxa"/>
            <w:vAlign w:val="top"/>
          </w:tcPr>
          <w:p>
            <w:pPr>
              <w:ind w:left="1"/>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412.60</w:t>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294" w:type="dxa"/>
            <w:vAlign w:val="top"/>
          </w:tcPr>
          <w:p>
            <w:pPr>
              <w:ind w:left="3"/>
              <w:spacing w:before="71"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20113</w:t>
            </w:r>
          </w:p>
        </w:tc>
        <w:tc>
          <w:tcPr>
            <w:tcW w:w="3294" w:type="dxa"/>
            <w:vAlign w:val="top"/>
          </w:tcPr>
          <w:p>
            <w:pPr>
              <w:ind w:left="4"/>
              <w:spacing w:before="73" w:line="229" w:lineRule="auto"/>
              <w:rPr>
                <w:rFonts w:ascii="SimSun" w:hAnsi="SimSun" w:eastAsia="SimSun" w:cs="SimSun"/>
                <w:sz w:val="15"/>
                <w:szCs w:val="15"/>
              </w:rPr>
            </w:pPr>
            <w:r>
              <w:rPr>
                <w:rFonts w:ascii="SimSun" w:hAnsi="SimSun" w:eastAsia="SimSun" w:cs="SimSun"/>
                <w:sz w:val="15"/>
                <w:szCs w:val="15"/>
                <w:color w:val="212529"/>
                <w:spacing w:val="9"/>
              </w:rPr>
              <w:t>商贸事务</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2011308</w:t>
            </w:r>
          </w:p>
        </w:tc>
        <w:tc>
          <w:tcPr>
            <w:tcW w:w="3294" w:type="dxa"/>
            <w:vAlign w:val="top"/>
          </w:tcPr>
          <w:p>
            <w:pPr>
              <w:ind w:left="2"/>
              <w:spacing w:before="72" w:line="230" w:lineRule="auto"/>
              <w:rPr>
                <w:rFonts w:ascii="SimSun" w:hAnsi="SimSun" w:eastAsia="SimSun" w:cs="SimSun"/>
                <w:sz w:val="15"/>
                <w:szCs w:val="15"/>
              </w:rPr>
            </w:pPr>
            <w:r>
              <w:rPr>
                <w:rFonts w:ascii="SimSun" w:hAnsi="SimSun" w:eastAsia="SimSun" w:cs="SimSun"/>
                <w:sz w:val="15"/>
                <w:szCs w:val="15"/>
                <w:color w:val="212529"/>
                <w:spacing w:val="9"/>
              </w:rPr>
              <w:t>招商引资</w:t>
            </w:r>
          </w:p>
        </w:tc>
        <w:tc>
          <w:tcPr>
            <w:tcW w:w="1480" w:type="dxa"/>
            <w:vAlign w:val="top"/>
          </w:tcPr>
          <w:p>
            <w:pPr>
              <w:ind w:right="17"/>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294" w:type="dxa"/>
            <w:vAlign w:val="top"/>
          </w:tcPr>
          <w:p>
            <w:pPr>
              <w:ind w:left="1"/>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294" w:type="dxa"/>
            <w:vAlign w:val="top"/>
          </w:tcPr>
          <w:p>
            <w:pPr>
              <w:ind w:left="1"/>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12.40</w:t>
            </w:r>
          </w:p>
        </w:tc>
      </w:tr>
      <w:tr>
        <w:trPr>
          <w:trHeight w:val="293"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ind w:left="3"/>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38.42</w:t>
            </w:r>
          </w:p>
        </w:tc>
        <w:tc>
          <w:tcPr>
            <w:tcW w:w="1409" w:type="dxa"/>
            <w:vAlign w:val="top"/>
          </w:tcPr>
          <w:p>
            <w:pPr>
              <w:pStyle w:val="TableText"/>
              <w:rPr/>
            </w:pPr>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ind w:left="2"/>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36.15</w:t>
            </w:r>
          </w:p>
        </w:tc>
        <w:tc>
          <w:tcPr>
            <w:tcW w:w="1361"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36.15</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409" w:type="dxa"/>
            <w:vAlign w:val="top"/>
          </w:tcPr>
          <w:p>
            <w:pPr>
              <w:pStyle w:val="TableText"/>
              <w:rPr/>
            </w:pPr>
            <w:r/>
          </w:p>
        </w:tc>
      </w:tr>
      <w:tr>
        <w:trPr>
          <w:trHeight w:val="292"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409" w:type="dxa"/>
            <w:vAlign w:val="top"/>
          </w:tcPr>
          <w:p>
            <w:pPr>
              <w:pStyle w:val="TableText"/>
              <w:rPr/>
            </w:pPr>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294" w:type="dxa"/>
            <w:vAlign w:val="top"/>
          </w:tcPr>
          <w:p>
            <w:pPr>
              <w:ind w:left="1"/>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409" w:type="dxa"/>
            <w:vAlign w:val="top"/>
          </w:tcPr>
          <w:p>
            <w:pPr>
              <w:pStyle w:val="TableText"/>
              <w:rPr/>
            </w:pPr>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294" w:type="dxa"/>
            <w:vAlign w:val="top"/>
          </w:tcPr>
          <w:p>
            <w:pPr>
              <w:ind w:left="1"/>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409" w:type="dxa"/>
            <w:vAlign w:val="top"/>
          </w:tcPr>
          <w:p>
            <w:pPr>
              <w:pStyle w:val="TableText"/>
              <w:rPr/>
            </w:pPr>
            <w:r/>
          </w:p>
        </w:tc>
      </w:tr>
      <w:tr>
        <w:trPr>
          <w:trHeight w:val="292"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409" w:type="dxa"/>
            <w:vAlign w:val="top"/>
          </w:tcPr>
          <w:p>
            <w:pPr>
              <w:pStyle w:val="TableText"/>
              <w:rPr/>
            </w:pPr>
            <w:r/>
          </w:p>
        </w:tc>
      </w:tr>
      <w:tr>
        <w:trPr>
          <w:trHeight w:val="293"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294" w:type="dxa"/>
            <w:vAlign w:val="top"/>
          </w:tcPr>
          <w:p>
            <w:pPr>
              <w:ind w:left="1"/>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361"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0.53</w:t>
            </w:r>
          </w:p>
        </w:tc>
        <w:tc>
          <w:tcPr>
            <w:tcW w:w="1409" w:type="dxa"/>
            <w:vAlign w:val="top"/>
          </w:tcPr>
          <w:p>
            <w:pPr>
              <w:pStyle w:val="TableText"/>
              <w:rPr/>
            </w:pPr>
            <w:r/>
          </w:p>
        </w:tc>
      </w:tr>
      <w:tr>
        <w:trPr>
          <w:trHeight w:val="292"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ind w:left="3"/>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409" w:type="dxa"/>
            <w:vAlign w:val="top"/>
          </w:tcPr>
          <w:p>
            <w:pPr>
              <w:pStyle w:val="TableText"/>
              <w:rPr/>
            </w:pPr>
            <w:r/>
          </w:p>
        </w:tc>
      </w:tr>
      <w:tr>
        <w:trPr>
          <w:trHeight w:val="292"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ind w:left="2"/>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w:t>
            </w:r>
          </w:p>
        </w:tc>
        <w:tc>
          <w:tcPr>
            <w:tcW w:w="1409" w:type="dxa"/>
            <w:vAlign w:val="top"/>
          </w:tcPr>
          <w:p>
            <w:pPr>
              <w:pStyle w:val="TableText"/>
              <w:rPr/>
            </w:pPr>
            <w:r/>
          </w:p>
        </w:tc>
      </w:tr>
      <w:tr>
        <w:trPr>
          <w:trHeight w:val="293" w:hRule="atLeast"/>
        </w:trPr>
        <w:tc>
          <w:tcPr>
            <w:tcW w:w="161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ind w:left="3"/>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12.82</w:t>
            </w:r>
          </w:p>
        </w:tc>
        <w:tc>
          <w:tcPr>
            <w:tcW w:w="1409" w:type="dxa"/>
            <w:vAlign w:val="top"/>
          </w:tcPr>
          <w:p>
            <w:pPr>
              <w:pStyle w:val="TableText"/>
              <w:rPr/>
            </w:pPr>
            <w:r/>
          </w:p>
        </w:tc>
      </w:tr>
      <w:tr>
        <w:trPr>
          <w:trHeight w:val="292" w:hRule="atLeast"/>
        </w:trPr>
        <w:tc>
          <w:tcPr>
            <w:tcW w:w="1614"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409" w:type="dxa"/>
            <w:vAlign w:val="top"/>
          </w:tcPr>
          <w:p>
            <w:pPr>
              <w:pStyle w:val="TableText"/>
              <w:rPr/>
            </w:pPr>
            <w:r/>
          </w:p>
        </w:tc>
      </w:tr>
      <w:tr>
        <w:trPr>
          <w:trHeight w:val="292" w:hRule="atLeast"/>
        </w:trPr>
        <w:tc>
          <w:tcPr>
            <w:tcW w:w="1614"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ind w:left="2"/>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409" w:type="dxa"/>
            <w:vAlign w:val="top"/>
          </w:tcPr>
          <w:p>
            <w:pPr>
              <w:pStyle w:val="TableText"/>
              <w:rPr/>
            </w:pPr>
            <w:r/>
          </w:p>
        </w:tc>
      </w:tr>
      <w:tr>
        <w:trPr>
          <w:trHeight w:val="293"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ind w:left="2"/>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80"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61"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409" w:type="dxa"/>
            <w:vAlign w:val="top"/>
          </w:tcPr>
          <w:p>
            <w:pPr>
              <w:pStyle w:val="TableText"/>
              <w:rPr/>
            </w:pPr>
            <w:r/>
          </w:p>
        </w:tc>
      </w:tr>
      <w:tr>
        <w:trPr>
          <w:trHeight w:val="298"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80"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361"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409"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86" w:lineRule="auto"/>
              <w:rPr>
                <w:sz w:val="13"/>
                <w:szCs w:val="13"/>
              </w:rPr>
            </w:pPr>
            <w:r>
              <w:rPr>
                <w:sz w:val="13"/>
                <w:szCs w:val="13"/>
                <w:color w:val="212529"/>
                <w:spacing w:val="4"/>
              </w:rPr>
              <w:t>213.</w:t>
            </w:r>
            <w:r>
              <w:rPr>
                <w:sz w:val="13"/>
                <w:szCs w:val="13"/>
                <w:color w:val="212529"/>
                <w:spacing w:val="15"/>
                <w:w w:val="102"/>
              </w:rPr>
              <w:t xml:space="preserve"> </w:t>
            </w:r>
            <w:r>
              <w:rPr>
                <w:sz w:val="13"/>
                <w:szCs w:val="13"/>
                <w:color w:val="212529"/>
                <w:spacing w:val="4"/>
              </w:rPr>
              <w:t>39</w:t>
            </w:r>
          </w:p>
        </w:tc>
        <w:tc>
          <w:tcPr>
            <w:tcW w:w="1188" w:type="dxa"/>
            <w:vAlign w:val="top"/>
          </w:tcPr>
          <w:p>
            <w:pPr>
              <w:pStyle w:val="TableText"/>
              <w:ind w:left="684"/>
              <w:spacing w:before="87" w:line="186" w:lineRule="auto"/>
              <w:rPr>
                <w:sz w:val="13"/>
                <w:szCs w:val="13"/>
              </w:rPr>
            </w:pPr>
            <w:r>
              <w:rPr>
                <w:sz w:val="13"/>
                <w:szCs w:val="13"/>
                <w:color w:val="212529"/>
                <w:spacing w:val="5"/>
              </w:rPr>
              <w:t>200.</w:t>
            </w:r>
            <w:r>
              <w:rPr>
                <w:sz w:val="13"/>
                <w:szCs w:val="13"/>
                <w:color w:val="212529"/>
                <w:spacing w:val="9"/>
              </w:rPr>
              <w:t xml:space="preserve"> </w:t>
            </w:r>
            <w:r>
              <w:rPr>
                <w:sz w:val="13"/>
                <w:szCs w:val="13"/>
                <w:color w:val="212529"/>
                <w:spacing w:val="5"/>
              </w:rPr>
              <w:t>85</w:t>
            </w:r>
          </w:p>
        </w:tc>
        <w:tc>
          <w:tcPr>
            <w:tcW w:w="1118" w:type="dxa"/>
            <w:vAlign w:val="top"/>
          </w:tcPr>
          <w:p>
            <w:pPr>
              <w:pStyle w:val="TableText"/>
              <w:ind w:left="699"/>
              <w:spacing w:before="86" w:line="162" w:lineRule="auto"/>
              <w:rPr>
                <w:sz w:val="15"/>
                <w:szCs w:val="15"/>
              </w:rPr>
            </w:pPr>
            <w:r>
              <w:rPr>
                <w:sz w:val="15"/>
                <w:szCs w:val="15"/>
                <w:color w:val="212529"/>
                <w:spacing w:val="2"/>
              </w:rPr>
              <w:t>12.54</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197.43</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197.43</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70.23</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70.23</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8.28</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8.28</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43.79</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23.70</w:t>
            </w:r>
          </w:p>
        </w:tc>
        <w:tc>
          <w:tcPr>
            <w:tcW w:w="1118" w:type="dxa"/>
            <w:vAlign w:val="top"/>
          </w:tcPr>
          <w:p>
            <w:pPr>
              <w:pStyle w:val="TableText"/>
              <w:rPr/>
            </w:pPr>
            <w:r/>
          </w:p>
        </w:tc>
      </w:tr>
      <w:tr>
        <w:trPr>
          <w:trHeight w:val="292" w:hRule="atLeast"/>
        </w:trPr>
        <w:tc>
          <w:tcPr>
            <w:tcW w:w="3310"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9.03</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12.63</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12.63</w:t>
            </w:r>
          </w:p>
        </w:tc>
        <w:tc>
          <w:tcPr>
            <w:tcW w:w="1118" w:type="dxa"/>
            <w:vAlign w:val="top"/>
          </w:tcPr>
          <w:p>
            <w:pPr>
              <w:pStyle w:val="TableText"/>
              <w:rPr/>
            </w:pPr>
            <w:r/>
          </w:p>
        </w:tc>
      </w:tr>
      <w:tr>
        <w:trPr>
          <w:trHeight w:val="293" w:hRule="atLeast"/>
        </w:trPr>
        <w:tc>
          <w:tcPr>
            <w:tcW w:w="3310"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188" w:type="dxa"/>
            <w:vAlign w:val="top"/>
          </w:tcPr>
          <w:p>
            <w:pPr>
              <w:ind w:right="1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5.81</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0.73</w:t>
            </w:r>
          </w:p>
        </w:tc>
        <w:tc>
          <w:tcPr>
            <w:tcW w:w="1118" w:type="dxa"/>
            <w:vAlign w:val="top"/>
          </w:tcPr>
          <w:p>
            <w:pPr>
              <w:pStyle w:val="TableText"/>
              <w:rPr/>
            </w:pPr>
            <w:r/>
          </w:p>
        </w:tc>
      </w:tr>
      <w:tr>
        <w:trPr>
          <w:trHeight w:val="293" w:hRule="atLeast"/>
        </w:trPr>
        <w:tc>
          <w:tcPr>
            <w:tcW w:w="3310"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18.49</w:t>
            </w:r>
          </w:p>
        </w:tc>
        <w:tc>
          <w:tcPr>
            <w:tcW w:w="1118" w:type="dxa"/>
            <w:vAlign w:val="top"/>
          </w:tcPr>
          <w:p>
            <w:pPr>
              <w:pStyle w:val="TableText"/>
              <w:rPr/>
            </w:pPr>
            <w:r/>
          </w:p>
        </w:tc>
      </w:tr>
      <w:tr>
        <w:trPr>
          <w:trHeight w:val="293" w:hRule="atLeast"/>
        </w:trPr>
        <w:tc>
          <w:tcPr>
            <w:tcW w:w="3310" w:type="dxa"/>
            <w:vAlign w:val="top"/>
          </w:tcPr>
          <w:p>
            <w:pPr>
              <w:ind w:left="330"/>
              <w:spacing w:before="71"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118" w:type="dxa"/>
            <w:vAlign w:val="top"/>
          </w:tcPr>
          <w:p>
            <w:pPr>
              <w:pStyle w:val="TableText"/>
              <w:rPr/>
            </w:pPr>
            <w:r/>
          </w:p>
        </w:tc>
      </w:tr>
      <w:tr>
        <w:trPr>
          <w:trHeight w:val="292" w:hRule="atLeast"/>
        </w:trPr>
        <w:tc>
          <w:tcPr>
            <w:tcW w:w="3310"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w:t>
            </w:r>
          </w:p>
        </w:tc>
        <w:tc>
          <w:tcPr>
            <w:tcW w:w="1188" w:type="dxa"/>
            <w:vAlign w:val="top"/>
          </w:tcPr>
          <w:p>
            <w:pPr>
              <w:pStyle w:val="TableText"/>
              <w:rPr/>
            </w:pPr>
            <w:r/>
          </w:p>
        </w:tc>
        <w:tc>
          <w:tcPr>
            <w:tcW w:w="1118"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12.54</w:t>
            </w:r>
          </w:p>
        </w:tc>
      </w:tr>
      <w:tr>
        <w:trPr>
          <w:trHeight w:val="293" w:hRule="atLeast"/>
        </w:trPr>
        <w:tc>
          <w:tcPr>
            <w:tcW w:w="3310"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310" w:type="dxa"/>
            <w:vAlign w:val="top"/>
          </w:tcPr>
          <w:p>
            <w:pPr>
              <w:ind w:left="344"/>
              <w:spacing w:before="71"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3" w:hRule="atLeast"/>
        </w:trPr>
        <w:tc>
          <w:tcPr>
            <w:tcW w:w="3310" w:type="dxa"/>
            <w:vAlign w:val="top"/>
          </w:tcPr>
          <w:p>
            <w:pPr>
              <w:ind w:left="349"/>
              <w:spacing w:before="71" w:line="230" w:lineRule="auto"/>
              <w:rPr>
                <w:rFonts w:ascii="SimSun" w:hAnsi="SimSun" w:eastAsia="SimSun" w:cs="SimSun"/>
                <w:sz w:val="15"/>
                <w:szCs w:val="15"/>
              </w:rPr>
            </w:pPr>
            <w:r>
              <w:rPr>
                <w:rFonts w:ascii="SimSun" w:hAnsi="SimSun" w:eastAsia="SimSun" w:cs="SimSun"/>
                <w:sz w:val="15"/>
                <w:szCs w:val="15"/>
                <w:color w:val="212529"/>
                <w:spacing w:val="-2"/>
              </w:rPr>
              <w:t>电费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3" w:hRule="atLeast"/>
        </w:trPr>
        <w:tc>
          <w:tcPr>
            <w:tcW w:w="3310" w:type="dxa"/>
            <w:vAlign w:val="top"/>
          </w:tcPr>
          <w:p>
            <w:pPr>
              <w:ind w:left="343"/>
              <w:spacing w:before="71"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r>
      <w:tr>
        <w:trPr>
          <w:trHeight w:val="292" w:hRule="atLeast"/>
        </w:trPr>
        <w:tc>
          <w:tcPr>
            <w:tcW w:w="3310"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310" w:type="dxa"/>
            <w:vAlign w:val="top"/>
          </w:tcPr>
          <w:p>
            <w:pPr>
              <w:ind w:left="333"/>
              <w:spacing w:before="72" w:line="229" w:lineRule="auto"/>
              <w:rPr>
                <w:rFonts w:ascii="SimSun" w:hAnsi="SimSun" w:eastAsia="SimSun" w:cs="SimSun"/>
                <w:sz w:val="15"/>
                <w:szCs w:val="15"/>
              </w:rPr>
            </w:pPr>
            <w:r>
              <w:rPr>
                <w:rFonts w:ascii="SimSun" w:hAnsi="SimSun" w:eastAsia="SimSun" w:cs="SimSun"/>
                <w:sz w:val="15"/>
                <w:szCs w:val="15"/>
                <w:color w:val="212529"/>
                <w:spacing w:val="6"/>
              </w:rPr>
              <w:t>维修（护）</w:t>
            </w:r>
            <w:r>
              <w:rPr>
                <w:rFonts w:ascii="SimSun" w:hAnsi="SimSun" w:eastAsia="SimSun" w:cs="SimSun"/>
                <w:sz w:val="15"/>
                <w:szCs w:val="15"/>
                <w:color w:val="212529"/>
                <w:spacing w:val="-45"/>
              </w:rPr>
              <w:t xml:space="preserve"> </w:t>
            </w:r>
            <w:r>
              <w:rPr>
                <w:rFonts w:ascii="SimSun" w:hAnsi="SimSun" w:eastAsia="SimSun" w:cs="SimSun"/>
                <w:sz w:val="15"/>
                <w:szCs w:val="15"/>
                <w:color w:val="212529"/>
                <w:spacing w:val="6"/>
              </w:rPr>
              <w:t>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188" w:type="dxa"/>
            <w:vAlign w:val="top"/>
          </w:tcPr>
          <w:p>
            <w:pPr>
              <w:pStyle w:val="TableText"/>
              <w:rPr/>
            </w:pPr>
            <w:r/>
          </w:p>
        </w:tc>
        <w:tc>
          <w:tcPr>
            <w:tcW w:w="1118" w:type="dxa"/>
            <w:vAlign w:val="top"/>
          </w:tcPr>
          <w:p>
            <w:pPr>
              <w:ind w:right="22"/>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0.27</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0.27</w:t>
            </w:r>
          </w:p>
        </w:tc>
      </w:tr>
      <w:tr>
        <w:trPr>
          <w:trHeight w:val="292"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3"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1.20</w:t>
            </w:r>
          </w:p>
        </w:tc>
      </w:tr>
      <w:tr>
        <w:trPr>
          <w:trHeight w:val="292" w:hRule="atLeast"/>
        </w:trPr>
        <w:tc>
          <w:tcPr>
            <w:tcW w:w="331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1.74</w:t>
            </w:r>
          </w:p>
        </w:tc>
      </w:tr>
      <w:tr>
        <w:trPr>
          <w:trHeight w:val="292" w:hRule="atLeast"/>
        </w:trPr>
        <w:tc>
          <w:tcPr>
            <w:tcW w:w="3310"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118" w:type="dxa"/>
            <w:vAlign w:val="top"/>
          </w:tcPr>
          <w:p>
            <w:pPr>
              <w:pStyle w:val="TableText"/>
              <w:rPr/>
            </w:pPr>
            <w:r/>
          </w:p>
        </w:tc>
      </w:tr>
      <w:tr>
        <w:trPr>
          <w:trHeight w:val="298"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3.41</w:t>
            </w:r>
          </w:p>
        </w:tc>
        <w:tc>
          <w:tcPr>
            <w:tcW w:w="1118" w:type="dxa"/>
            <w:vAlign w:val="top"/>
          </w:tcPr>
          <w:p>
            <w:pPr>
              <w:pStyle w:val="TableText"/>
              <w:rPr/>
            </w:pPr>
            <w:r/>
          </w:p>
        </w:tc>
      </w:tr>
    </w:tbl>
    <w:p>
      <w:pPr>
        <w:pStyle w:val="BodyText"/>
        <w:rPr/>
      </w:pPr>
      <w:r/>
    </w:p>
    <w:p>
      <w:pPr>
        <w:sectPr>
          <w:headerReference w:type="default" r:id="rId22"/>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8"/>
          <w:footerReference w:type="default" r:id="rId24"/>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8" w:type="dxa"/>
            <w:vAlign w:val="top"/>
            <w:tcBorders>
              <w:bottom w:val="single" w:color="FFFFFF" w:sz="4" w:space="0"/>
              <w:top w:val="single" w:color="FFFFFF" w:sz="4" w:space="0"/>
              <w:left w:val="single" w:color="FFFFFF" w:sz="2" w:space="0"/>
              <w:right w:val="single" w:color="FFFFFF" w:sz="2" w:space="0"/>
            </w:tcBorders>
          </w:tcPr>
          <w:p>
            <w:pPr>
              <w:ind w:left="251"/>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170"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988" w:type="dxa"/>
            <w:vAlign w:val="top"/>
            <w:tcBorders>
              <w:top w:val="single" w:color="FFFFFF" w:sz="4" w:space="0"/>
              <w:left w:val="single" w:color="FFFFFF" w:sz="2" w:space="0"/>
              <w:right w:val="single" w:color="FFFFFF" w:sz="2" w:space="0"/>
            </w:tcBorders>
          </w:tcPr>
          <w:p>
            <w:pPr>
              <w:ind w:left="31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20"/>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99" w:type="dxa"/>
            <w:vAlign w:val="top"/>
            <w:gridSpan w:val="2"/>
          </w:tcPr>
          <w:p>
            <w:pPr>
              <w:ind w:left="1273"/>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73"/>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pStyle w:val="TableText"/>
              <w:rPr/>
            </w:pPr>
            <w:r/>
          </w:p>
          <w:p>
            <w:pPr>
              <w:ind w:left="14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pStyle w:val="TableText"/>
              <w:spacing w:line="241" w:lineRule="auto"/>
              <w:rPr/>
            </w:pPr>
            <w:r/>
          </w:p>
          <w:p>
            <w:pPr>
              <w:ind w:left="32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pStyle w:val="TableText"/>
              <w:rPr/>
            </w:pPr>
            <w:r/>
          </w:p>
          <w:p>
            <w:pPr>
              <w:ind w:left="1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39" w:type="dxa"/>
            <w:vAlign w:val="top"/>
          </w:tcPr>
          <w:p>
            <w:pPr>
              <w:ind w:left="73"/>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8" w:hRule="atLeast"/>
        </w:trPr>
        <w:tc>
          <w:tcPr>
            <w:tcW w:w="2899" w:type="dxa"/>
            <w:vAlign w:val="top"/>
            <w:gridSpan w:val="2"/>
          </w:tcPr>
          <w:p>
            <w:pPr>
              <w:ind w:left="1275"/>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78"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48"/>
        <w:gridCol w:w="1490"/>
        <w:gridCol w:w="1404"/>
        <w:gridCol w:w="1328"/>
        <w:gridCol w:w="1388"/>
      </w:tblGrid>
      <w:tr>
        <w:trPr>
          <w:trHeight w:val="384" w:hRule="atLeast"/>
        </w:trPr>
        <w:tc>
          <w:tcPr>
            <w:tcW w:w="35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58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442"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780"/>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48" w:type="dxa"/>
            <w:vAlign w:val="top"/>
            <w:vMerge w:val="restart"/>
            <w:tcBorders>
              <w:bottom w:val="nil"/>
            </w:tcBorders>
          </w:tcPr>
          <w:p>
            <w:pPr>
              <w:pStyle w:val="TableText"/>
              <w:rPr/>
            </w:pPr>
            <w:r/>
          </w:p>
          <w:p>
            <w:pPr>
              <w:ind w:left="160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10" w:type="dxa"/>
            <w:vAlign w:val="top"/>
            <w:gridSpan w:val="4"/>
          </w:tcPr>
          <w:p>
            <w:pPr>
              <w:ind w:left="23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48" w:type="dxa"/>
            <w:vAlign w:val="top"/>
            <w:vMerge w:val="continue"/>
            <w:tcBorders>
              <w:top w:val="nil"/>
            </w:tcBorders>
          </w:tcPr>
          <w:p>
            <w:pPr>
              <w:pStyle w:val="TableText"/>
              <w:rPr/>
            </w:pPr>
            <w:r/>
          </w:p>
        </w:tc>
        <w:tc>
          <w:tcPr>
            <w:tcW w:w="1490" w:type="dxa"/>
            <w:vAlign w:val="top"/>
          </w:tcPr>
          <w:p>
            <w:pPr>
              <w:ind w:left="574"/>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ind w:left="201"/>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8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388" w:type="dxa"/>
            <w:vAlign w:val="top"/>
          </w:tcPr>
          <w:p>
            <w:pPr>
              <w:ind w:left="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48" w:type="dxa"/>
            <w:vAlign w:val="top"/>
          </w:tcPr>
          <w:p>
            <w:pPr>
              <w:ind w:left="1130"/>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365"/>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959"/>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90"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40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28" w:type="dxa"/>
            <w:vAlign w:val="top"/>
          </w:tcPr>
          <w:p>
            <w:pPr>
              <w:pStyle w:val="TableText"/>
              <w:rPr/>
            </w:pPr>
            <w:r/>
          </w:p>
        </w:tc>
        <w:tc>
          <w:tcPr>
            <w:tcW w:w="1388" w:type="dxa"/>
            <w:vAlign w:val="top"/>
          </w:tcPr>
          <w:p>
            <w:pPr>
              <w:pStyle w:val="TableText"/>
              <w:rPr/>
            </w:pPr>
            <w:r/>
          </w:p>
        </w:tc>
      </w:tr>
      <w:tr>
        <w:trPr>
          <w:trHeight w:val="378" w:hRule="atLeast"/>
        </w:trPr>
        <w:tc>
          <w:tcPr>
            <w:tcW w:w="3548" w:type="dxa"/>
            <w:vAlign w:val="top"/>
          </w:tcPr>
          <w:p>
            <w:pPr>
              <w:ind w:left="1156"/>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90" w:type="dxa"/>
            <w:vAlign w:val="top"/>
          </w:tcPr>
          <w:p>
            <w:pPr>
              <w:pStyle w:val="TableText"/>
              <w:rPr/>
            </w:pPr>
            <w:r/>
          </w:p>
        </w:tc>
        <w:tc>
          <w:tcPr>
            <w:tcW w:w="1404" w:type="dxa"/>
            <w:vAlign w:val="top"/>
          </w:tcPr>
          <w:p>
            <w:pPr>
              <w:pStyle w:val="TableText"/>
              <w:rPr/>
            </w:pPr>
            <w:r/>
          </w:p>
        </w:tc>
        <w:tc>
          <w:tcPr>
            <w:tcW w:w="1328" w:type="dxa"/>
            <w:vAlign w:val="top"/>
          </w:tcPr>
          <w:p>
            <w:pPr>
              <w:pStyle w:val="TableText"/>
              <w:rPr/>
            </w:pPr>
            <w:r/>
          </w:p>
        </w:tc>
        <w:tc>
          <w:tcPr>
            <w:tcW w:w="1388" w:type="dxa"/>
            <w:vAlign w:val="top"/>
          </w:tcPr>
          <w:p>
            <w:pPr>
              <w:pStyle w:val="TableText"/>
              <w:rPr/>
            </w:pPr>
            <w:r/>
          </w:p>
        </w:tc>
      </w:tr>
      <w:tr>
        <w:trPr>
          <w:trHeight w:val="379" w:hRule="atLeast"/>
        </w:trPr>
        <w:tc>
          <w:tcPr>
            <w:tcW w:w="3548" w:type="dxa"/>
            <w:vAlign w:val="top"/>
          </w:tcPr>
          <w:p>
            <w:pPr>
              <w:ind w:left="994"/>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90"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40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28" w:type="dxa"/>
            <w:vAlign w:val="top"/>
          </w:tcPr>
          <w:p>
            <w:pPr>
              <w:pStyle w:val="TableText"/>
              <w:rPr/>
            </w:pPr>
            <w:r/>
          </w:p>
        </w:tc>
        <w:tc>
          <w:tcPr>
            <w:tcW w:w="1388" w:type="dxa"/>
            <w:vAlign w:val="top"/>
          </w:tcPr>
          <w:p>
            <w:pPr>
              <w:pStyle w:val="TableText"/>
              <w:rPr/>
            </w:pPr>
            <w:r/>
          </w:p>
        </w:tc>
      </w:tr>
      <w:tr>
        <w:trPr>
          <w:trHeight w:val="384" w:hRule="atLeast"/>
        </w:trPr>
        <w:tc>
          <w:tcPr>
            <w:tcW w:w="3548" w:type="dxa"/>
            <w:vAlign w:val="top"/>
          </w:tcPr>
          <w:p>
            <w:pPr>
              <w:ind w:left="1603"/>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40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3.50</w:t>
            </w:r>
          </w:p>
        </w:tc>
        <w:tc>
          <w:tcPr>
            <w:tcW w:w="1328" w:type="dxa"/>
            <w:vAlign w:val="top"/>
          </w:tcPr>
          <w:p>
            <w:pPr>
              <w:pStyle w:val="TableText"/>
              <w:rPr/>
            </w:pPr>
            <w:r/>
          </w:p>
        </w:tc>
        <w:tc>
          <w:tcPr>
            <w:tcW w:w="1388" w:type="dxa"/>
            <w:vAlign w:val="top"/>
          </w:tcPr>
          <w:p>
            <w:pPr>
              <w:pStyle w:val="TableText"/>
              <w:rPr/>
            </w:pPr>
            <w:r/>
          </w:p>
        </w:tc>
      </w:tr>
    </w:tbl>
    <w:p>
      <w:pPr>
        <w:pStyle w:val="BodyText"/>
        <w:rPr/>
      </w:pPr>
      <w:r/>
    </w:p>
    <w:p>
      <w:pPr>
        <w:sectPr>
          <w:headerReference w:type="default" r:id="rId5"/>
          <w:footerReference w:type="default" r:id="rId2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21"/>
        <w:gridCol w:w="1285"/>
        <w:gridCol w:w="1393"/>
        <w:gridCol w:w="1501"/>
        <w:gridCol w:w="1658"/>
      </w:tblGrid>
      <w:tr>
        <w:trPr>
          <w:trHeight w:val="383" w:hRule="atLeast"/>
        </w:trPr>
        <w:tc>
          <w:tcPr>
            <w:tcW w:w="332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3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op w:val="single" w:color="FFFFFF" w:sz="4" w:space="0"/>
            </w:tcBorders>
          </w:tcPr>
          <w:p>
            <w:pPr>
              <w:ind w:left="855"/>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321"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393" w:type="dxa"/>
            <w:vAlign w:val="top"/>
            <w:tcBorders>
              <w:left w:val="single" w:color="FFFFFF" w:sz="2" w:space="0"/>
              <w:right w:val="single" w:color="FFFFFF" w:sz="2" w:space="0"/>
              <w:top w:val="single" w:color="FFFFFF" w:sz="4" w:space="0"/>
            </w:tcBorders>
          </w:tcPr>
          <w:p>
            <w:pPr>
              <w:pStyle w:val="TableText"/>
              <w:rPr/>
            </w:pPr>
            <w:r/>
          </w:p>
        </w:tc>
        <w:tc>
          <w:tcPr>
            <w:tcW w:w="1501" w:type="dxa"/>
            <w:vAlign w:val="top"/>
            <w:tcBorders>
              <w:left w:val="single" w:color="FFFFFF" w:sz="2" w:space="0"/>
              <w:right w:val="single" w:color="FFFFFF" w:sz="2" w:space="0"/>
              <w:top w:val="single" w:color="FFFFFF" w:sz="4" w:space="0"/>
            </w:tcBorders>
          </w:tcPr>
          <w:p>
            <w:pPr>
              <w:pStyle w:val="TableText"/>
              <w:rPr/>
            </w:pPr>
            <w:r/>
          </w:p>
        </w:tc>
        <w:tc>
          <w:tcPr>
            <w:tcW w:w="1658" w:type="dxa"/>
            <w:vAlign w:val="top"/>
            <w:tcBorders>
              <w:left w:val="single" w:color="FFFFFF" w:sz="2" w:space="0"/>
              <w:right w:val="single" w:color="FFFFFF" w:sz="2" w:space="0"/>
              <w:top w:val="single" w:color="FFFFFF" w:sz="4" w:space="0"/>
            </w:tcBorders>
          </w:tcPr>
          <w:p>
            <w:pPr>
              <w:ind w:left="1050"/>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321" w:type="dxa"/>
            <w:vAlign w:val="top"/>
            <w:vMerge w:val="restart"/>
            <w:tcBorders>
              <w:bottom w:val="nil"/>
            </w:tcBorders>
          </w:tcPr>
          <w:p>
            <w:pPr>
              <w:ind w:left="1319"/>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5837" w:type="dxa"/>
            <w:vAlign w:val="top"/>
            <w:gridSpan w:val="4"/>
          </w:tcPr>
          <w:p>
            <w:pPr>
              <w:ind w:left="250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321" w:type="dxa"/>
            <w:vAlign w:val="top"/>
            <w:vMerge w:val="continue"/>
            <w:tcBorders>
              <w:top w:val="nil"/>
            </w:tcBorders>
          </w:tcPr>
          <w:p>
            <w:pPr>
              <w:pStyle w:val="TableText"/>
              <w:rPr/>
            </w:pPr>
            <w:r/>
          </w:p>
        </w:tc>
        <w:tc>
          <w:tcPr>
            <w:tcW w:w="1285" w:type="dxa"/>
            <w:vAlign w:val="top"/>
          </w:tcPr>
          <w:p>
            <w:pPr>
              <w:ind w:left="466"/>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01" w:type="dxa"/>
            <w:vAlign w:val="top"/>
          </w:tcPr>
          <w:p>
            <w:pPr>
              <w:ind w:left="17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658" w:type="dxa"/>
            <w:vAlign w:val="top"/>
          </w:tcPr>
          <w:p>
            <w:pPr>
              <w:ind w:left="185"/>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321" w:type="dxa"/>
            <w:vAlign w:val="top"/>
          </w:tcPr>
          <w:p>
            <w:pPr>
              <w:ind w:left="1320"/>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78" w:hRule="atLeast"/>
        </w:trPr>
        <w:tc>
          <w:tcPr>
            <w:tcW w:w="3321" w:type="dxa"/>
            <w:vAlign w:val="top"/>
          </w:tcPr>
          <w:p>
            <w:pPr>
              <w:pStyle w:val="TableText"/>
              <w:rPr/>
            </w:pPr>
            <w:r/>
          </w:p>
        </w:tc>
        <w:tc>
          <w:tcPr>
            <w:tcW w:w="1285" w:type="dxa"/>
            <w:vAlign w:val="top"/>
          </w:tcPr>
          <w:p>
            <w:pPr>
              <w:pStyle w:val="TableText"/>
              <w:rPr/>
            </w:pPr>
            <w:r/>
          </w:p>
        </w:tc>
        <w:tc>
          <w:tcPr>
            <w:tcW w:w="1393" w:type="dxa"/>
            <w:vAlign w:val="top"/>
          </w:tcPr>
          <w:p>
            <w:pPr>
              <w:pStyle w:val="TableText"/>
              <w:rPr/>
            </w:pPr>
            <w:r/>
          </w:p>
        </w:tc>
        <w:tc>
          <w:tcPr>
            <w:tcW w:w="1501" w:type="dxa"/>
            <w:vAlign w:val="top"/>
          </w:tcPr>
          <w:p>
            <w:pPr>
              <w:pStyle w:val="TableText"/>
              <w:rPr/>
            </w:pPr>
            <w:r/>
          </w:p>
        </w:tc>
        <w:tc>
          <w:tcPr>
            <w:tcW w:w="1658" w:type="dxa"/>
            <w:vAlign w:val="top"/>
          </w:tcPr>
          <w:p>
            <w:pPr>
              <w:pStyle w:val="TableText"/>
              <w:rPr/>
            </w:pPr>
            <w:r/>
          </w:p>
        </w:tc>
      </w:tr>
      <w:tr>
        <w:trPr>
          <w:trHeight w:val="383" w:hRule="atLeast"/>
        </w:trPr>
        <w:tc>
          <w:tcPr>
            <w:tcW w:w="3321"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393" w:type="dxa"/>
            <w:vAlign w:val="top"/>
            <w:tcBorders>
              <w:left w:val="single" w:color="FFFFFF" w:sz="2" w:space="0"/>
              <w:right w:val="single" w:color="FFFFFF" w:sz="2" w:space="0"/>
              <w:bottom w:val="single" w:color="FFFFFF" w:sz="4" w:space="0"/>
            </w:tcBorders>
          </w:tcPr>
          <w:p>
            <w:pPr>
              <w:pStyle w:val="TableText"/>
              <w:rPr/>
            </w:pPr>
            <w:r/>
          </w:p>
        </w:tc>
        <w:tc>
          <w:tcPr>
            <w:tcW w:w="1501" w:type="dxa"/>
            <w:vAlign w:val="top"/>
            <w:tcBorders>
              <w:left w:val="single" w:color="FFFFFF" w:sz="2" w:space="0"/>
              <w:right w:val="single" w:color="FFFFFF" w:sz="2" w:space="0"/>
              <w:bottom w:val="single" w:color="FFFFFF" w:sz="4" w:space="0"/>
            </w:tcBorders>
          </w:tcPr>
          <w:p>
            <w:pPr>
              <w:pStyle w:val="TableText"/>
              <w:rPr/>
            </w:pPr>
            <w:r/>
          </w:p>
        </w:tc>
        <w:tc>
          <w:tcPr>
            <w:tcW w:w="1658"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8"/>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27"/>
        <w:gridCol w:w="1210"/>
        <w:gridCol w:w="1220"/>
        <w:gridCol w:w="637"/>
        <w:gridCol w:w="1080"/>
        <w:gridCol w:w="1069"/>
        <w:gridCol w:w="815"/>
      </w:tblGrid>
      <w:tr>
        <w:trPr>
          <w:trHeight w:val="384" w:hRule="atLeast"/>
        </w:trPr>
        <w:tc>
          <w:tcPr>
            <w:tcW w:w="312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1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84" w:type="dxa"/>
            <w:vAlign w:val="top"/>
            <w:gridSpan w:val="2"/>
            <w:tcBorders>
              <w:bottom w:val="single" w:color="FFFFFF" w:sz="4" w:space="0"/>
              <w:top w:val="single" w:color="FFFFFF" w:sz="4" w:space="0"/>
              <w:left w:val="single" w:color="FFFFFF" w:sz="2" w:space="0"/>
              <w:right w:val="single" w:color="FFFFFF" w:sz="2" w:space="0"/>
            </w:tcBorders>
          </w:tcPr>
          <w:p>
            <w:pPr>
              <w:ind w:left="108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9" w:hRule="atLeast"/>
        </w:trPr>
        <w:tc>
          <w:tcPr>
            <w:tcW w:w="7274" w:type="dxa"/>
            <w:vAlign w:val="top"/>
            <w:gridSpan w:val="5"/>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884" w:type="dxa"/>
            <w:vAlign w:val="top"/>
            <w:gridSpan w:val="2"/>
            <w:tcBorders>
              <w:top w:val="single" w:color="FFFFFF" w:sz="4" w:space="0"/>
              <w:left w:val="single" w:color="FFFFFF" w:sz="2" w:space="0"/>
              <w:right w:val="single" w:color="FFFFFF" w:sz="2" w:space="0"/>
            </w:tcBorders>
          </w:tcPr>
          <w:p>
            <w:pPr>
              <w:ind w:left="1211"/>
              <w:spacing w:before="122"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3127" w:type="dxa"/>
            <w:vAlign w:val="top"/>
            <w:vMerge w:val="restart"/>
            <w:tcBorders>
              <w:bottom w:val="nil"/>
            </w:tcBorders>
          </w:tcPr>
          <w:p>
            <w:pPr>
              <w:pStyle w:val="TableText"/>
              <w:spacing w:line="322" w:lineRule="auto"/>
              <w:rPr/>
            </w:pPr>
            <w:r/>
          </w:p>
          <w:p>
            <w:pPr>
              <w:ind w:left="122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10" w:type="dxa"/>
            <w:vAlign w:val="top"/>
            <w:vMerge w:val="restart"/>
            <w:tcBorders>
              <w:bottom w:val="nil"/>
            </w:tcBorders>
          </w:tcPr>
          <w:p>
            <w:pPr>
              <w:pStyle w:val="TableText"/>
              <w:spacing w:line="322" w:lineRule="auto"/>
              <w:rPr/>
            </w:pPr>
            <w:r/>
          </w:p>
          <w:p>
            <w:pPr>
              <w:ind w:left="433"/>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937" w:type="dxa"/>
            <w:vAlign w:val="top"/>
            <w:gridSpan w:val="3"/>
          </w:tcPr>
          <w:p>
            <w:pPr>
              <w:ind w:left="898"/>
              <w:spacing w:before="10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3"/>
              <w:spacing w:before="30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3"/>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15" w:type="dxa"/>
            <w:vAlign w:val="top"/>
            <w:vMerge w:val="restart"/>
            <w:tcBorders>
              <w:bottom w:val="nil"/>
            </w:tcBorders>
          </w:tcPr>
          <w:p>
            <w:pPr>
              <w:pStyle w:val="TableText"/>
              <w:spacing w:line="321" w:lineRule="auto"/>
              <w:rPr/>
            </w:pPr>
            <w:r/>
          </w:p>
          <w:p>
            <w:pPr>
              <w:ind w:left="7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3127" w:type="dxa"/>
            <w:vAlign w:val="top"/>
            <w:vMerge w:val="continue"/>
            <w:tcBorders>
              <w:top w:val="nil"/>
            </w:tcBorders>
          </w:tcPr>
          <w:p>
            <w:pPr>
              <w:pStyle w:val="TableText"/>
              <w:rPr/>
            </w:pPr>
            <w:r/>
          </w:p>
        </w:tc>
        <w:tc>
          <w:tcPr>
            <w:tcW w:w="1210" w:type="dxa"/>
            <w:vAlign w:val="top"/>
            <w:vMerge w:val="continue"/>
            <w:tcBorders>
              <w:top w:val="nil"/>
            </w:tcBorders>
          </w:tcPr>
          <w:p>
            <w:pPr>
              <w:pStyle w:val="TableText"/>
              <w:rPr/>
            </w:pPr>
            <w:r/>
          </w:p>
        </w:tc>
        <w:tc>
          <w:tcPr>
            <w:tcW w:w="1220" w:type="dxa"/>
            <w:vAlign w:val="top"/>
          </w:tcPr>
          <w:p>
            <w:pPr>
              <w:ind w:left="110"/>
              <w:spacing w:before="19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37" w:type="dxa"/>
            <w:vAlign w:val="top"/>
          </w:tcPr>
          <w:p>
            <w:pPr>
              <w:ind w:left="60"/>
              <w:spacing w:before="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5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p>
          <w:p>
            <w:pPr>
              <w:ind w:left="219"/>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tcPr>
          <w:p>
            <w:pPr>
              <w:ind w:left="61"/>
              <w:spacing w:before="10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69" w:type="dxa"/>
            <w:vAlign w:val="top"/>
            <w:vMerge w:val="continue"/>
            <w:tcBorders>
              <w:top w:val="nil"/>
            </w:tcBorders>
          </w:tcPr>
          <w:p>
            <w:pPr>
              <w:pStyle w:val="TableText"/>
              <w:rPr/>
            </w:pPr>
            <w:r/>
          </w:p>
        </w:tc>
        <w:tc>
          <w:tcPr>
            <w:tcW w:w="815" w:type="dxa"/>
            <w:vAlign w:val="top"/>
            <w:vMerge w:val="continue"/>
            <w:tcBorders>
              <w:top w:val="nil"/>
            </w:tcBorders>
          </w:tcPr>
          <w:p>
            <w:pPr>
              <w:pStyle w:val="TableText"/>
              <w:rPr/>
            </w:pPr>
            <w:r/>
          </w:p>
        </w:tc>
      </w:tr>
      <w:tr>
        <w:trPr>
          <w:trHeight w:val="379" w:hRule="atLeast"/>
        </w:trPr>
        <w:tc>
          <w:tcPr>
            <w:tcW w:w="3127" w:type="dxa"/>
            <w:vAlign w:val="top"/>
          </w:tcPr>
          <w:p>
            <w:pPr>
              <w:ind w:left="1524"/>
              <w:spacing w:before="111"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10" w:type="dxa"/>
            <w:vAlign w:val="top"/>
          </w:tcPr>
          <w:p>
            <w:pPr>
              <w:ind w:left="557"/>
              <w:spacing w:before="111"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20" w:type="dxa"/>
            <w:vAlign w:val="top"/>
          </w:tcPr>
          <w:p>
            <w:pPr>
              <w:ind w:left="562"/>
              <w:spacing w:before="111"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637" w:type="dxa"/>
            <w:vAlign w:val="top"/>
          </w:tcPr>
          <w:p>
            <w:pPr>
              <w:ind w:left="263"/>
              <w:spacing w:before="111"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080" w:type="dxa"/>
            <w:vAlign w:val="top"/>
          </w:tcPr>
          <w:p>
            <w:pPr>
              <w:ind w:left="495"/>
              <w:spacing w:before="111"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90"/>
              <w:spacing w:before="111"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15" w:type="dxa"/>
            <w:vAlign w:val="top"/>
          </w:tcPr>
          <w:p>
            <w:pPr>
              <w:ind w:left="362"/>
              <w:spacing w:before="111"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127" w:type="dxa"/>
            <w:vAlign w:val="top"/>
          </w:tcPr>
          <w:p>
            <w:pPr>
              <w:ind w:left="169"/>
              <w:spacing w:before="111" w:line="229" w:lineRule="auto"/>
              <w:rPr>
                <w:rFonts w:ascii="SimSun" w:hAnsi="SimSun" w:eastAsia="SimSun" w:cs="SimSun"/>
                <w:sz w:val="15"/>
                <w:szCs w:val="15"/>
              </w:rPr>
            </w:pPr>
            <w:r>
              <w:rPr>
                <w:rFonts w:ascii="SimSun" w:hAnsi="SimSun" w:eastAsia="SimSun" w:cs="SimSun"/>
                <w:sz w:val="15"/>
                <w:szCs w:val="15"/>
                <w:color w:val="212529"/>
                <w:spacing w:val="11"/>
              </w:rPr>
              <w:t>长治高新区翟店工业园事业服务中心</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3"/>
              <w:spacing w:before="11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4"/>
              <w:spacing w:before="111" w:line="229" w:lineRule="auto"/>
              <w:rPr>
                <w:rFonts w:ascii="SimSun" w:hAnsi="SimSun" w:eastAsia="SimSun" w:cs="SimSun"/>
                <w:sz w:val="15"/>
                <w:szCs w:val="15"/>
              </w:rPr>
            </w:pPr>
            <w:r>
              <w:rPr>
                <w:rFonts w:ascii="SimSun" w:hAnsi="SimSun" w:eastAsia="SimSun" w:cs="SimSun"/>
                <w:sz w:val="15"/>
                <w:szCs w:val="15"/>
                <w:color w:val="212529"/>
                <w:spacing w:val="10"/>
              </w:rPr>
              <w:t>安全专家劳务费</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1"/>
              <w:spacing w:before="111" w:line="230" w:lineRule="auto"/>
              <w:rPr>
                <w:rFonts w:ascii="SimSun" w:hAnsi="SimSun" w:eastAsia="SimSun" w:cs="SimSun"/>
                <w:sz w:val="15"/>
                <w:szCs w:val="15"/>
              </w:rPr>
            </w:pPr>
            <w:r>
              <w:rPr>
                <w:rFonts w:ascii="SimSun" w:hAnsi="SimSun" w:eastAsia="SimSun" w:cs="SimSun"/>
                <w:sz w:val="15"/>
                <w:szCs w:val="15"/>
                <w:color w:val="212529"/>
                <w:spacing w:val="11"/>
              </w:rPr>
              <w:t>规上企业及固投人员统计工作补助</w:t>
            </w:r>
          </w:p>
        </w:tc>
        <w:tc>
          <w:tcPr>
            <w:tcW w:w="1210" w:type="dxa"/>
            <w:vAlign w:val="top"/>
          </w:tcPr>
          <w:p>
            <w:pPr>
              <w:ind w:right="21"/>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220" w:type="dxa"/>
            <w:vAlign w:val="top"/>
          </w:tcPr>
          <w:p>
            <w:pPr>
              <w:ind w:right="27"/>
              <w:spacing w:before="11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44"/>
              <w:spacing w:before="112" w:line="229" w:lineRule="auto"/>
              <w:rPr>
                <w:rFonts w:ascii="SimSun" w:hAnsi="SimSun" w:eastAsia="SimSun" w:cs="SimSun"/>
                <w:sz w:val="15"/>
                <w:szCs w:val="15"/>
              </w:rPr>
            </w:pPr>
            <w:r>
              <w:rPr>
                <w:rFonts w:ascii="SimSun" w:hAnsi="SimSun" w:eastAsia="SimSun" w:cs="SimSun"/>
                <w:sz w:val="15"/>
                <w:szCs w:val="15"/>
                <w:color w:val="212529"/>
                <w:spacing w:val="10"/>
              </w:rPr>
              <w:t>中心及党委办公场所租赁费</w:t>
            </w:r>
          </w:p>
        </w:tc>
        <w:tc>
          <w:tcPr>
            <w:tcW w:w="1210" w:type="dxa"/>
            <w:vAlign w:val="top"/>
          </w:tcPr>
          <w:p>
            <w:pPr>
              <w:ind w:right="21"/>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36.00</w:t>
            </w:r>
          </w:p>
        </w:tc>
        <w:tc>
          <w:tcPr>
            <w:tcW w:w="1220" w:type="dxa"/>
            <w:vAlign w:val="top"/>
          </w:tcPr>
          <w:p>
            <w:pPr>
              <w:ind w:right="27"/>
              <w:spacing w:before="11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8" w:right="38" w:firstLine="335"/>
              <w:spacing w:before="26" w:line="211" w:lineRule="auto"/>
              <w:rPr>
                <w:rFonts w:ascii="SimSun" w:hAnsi="SimSun" w:eastAsia="SimSun" w:cs="SimSun"/>
                <w:sz w:val="15"/>
                <w:szCs w:val="15"/>
              </w:rPr>
            </w:pPr>
            <w:r>
              <w:rPr>
                <w:rFonts w:ascii="SimSun" w:hAnsi="SimSun" w:eastAsia="SimSun" w:cs="SimSun"/>
                <w:sz w:val="15"/>
                <w:szCs w:val="15"/>
                <w:color w:val="212529"/>
                <w:spacing w:val="10"/>
              </w:rPr>
              <w:t>园区企业党委党支部书记、党务工作者</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7"/>
              </w:rPr>
              <w:t>工作补贴（6000元/年）</w:t>
            </w:r>
          </w:p>
        </w:tc>
        <w:tc>
          <w:tcPr>
            <w:tcW w:w="1210"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w:t>
            </w:r>
          </w:p>
        </w:tc>
        <w:tc>
          <w:tcPr>
            <w:tcW w:w="1220"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18" w:right="200" w:firstLine="315"/>
              <w:spacing w:before="26" w:line="211" w:lineRule="auto"/>
              <w:rPr>
                <w:rFonts w:ascii="SimSun" w:hAnsi="SimSun" w:eastAsia="SimSun" w:cs="SimSun"/>
                <w:sz w:val="15"/>
                <w:szCs w:val="15"/>
              </w:rPr>
            </w:pPr>
            <w:r>
              <w:rPr>
                <w:rFonts w:ascii="SimSun" w:hAnsi="SimSun" w:eastAsia="SimSun" w:cs="SimSun"/>
                <w:sz w:val="15"/>
                <w:szCs w:val="15"/>
                <w:color w:val="212529"/>
                <w:spacing w:val="11"/>
              </w:rPr>
              <w:t>企业党委党支部工作经费（联合支部</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7"/>
              </w:rPr>
              <w:t>1280元/年、独立支部2000元/年）</w:t>
            </w:r>
          </w:p>
        </w:tc>
        <w:tc>
          <w:tcPr>
            <w:tcW w:w="1210"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220"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8" w:hRule="atLeast"/>
        </w:trPr>
        <w:tc>
          <w:tcPr>
            <w:tcW w:w="3127" w:type="dxa"/>
            <w:vAlign w:val="top"/>
          </w:tcPr>
          <w:p>
            <w:pPr>
              <w:ind w:left="333"/>
              <w:spacing w:before="112" w:line="229" w:lineRule="auto"/>
              <w:rPr>
                <w:rFonts w:ascii="SimSun" w:hAnsi="SimSun" w:eastAsia="SimSun" w:cs="SimSun"/>
                <w:sz w:val="15"/>
                <w:szCs w:val="15"/>
              </w:rPr>
            </w:pPr>
            <w:r>
              <w:rPr>
                <w:rFonts w:ascii="SimSun" w:hAnsi="SimSun" w:eastAsia="SimSun" w:cs="SimSun"/>
                <w:sz w:val="15"/>
                <w:szCs w:val="15"/>
                <w:color w:val="212529"/>
                <w:spacing w:val="11"/>
              </w:rPr>
              <w:t>幼儿保育费及婴幼儿保教费</w:t>
            </w:r>
          </w:p>
        </w:tc>
        <w:tc>
          <w:tcPr>
            <w:tcW w:w="1210"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2.42</w:t>
            </w:r>
          </w:p>
        </w:tc>
        <w:tc>
          <w:tcPr>
            <w:tcW w:w="1220" w:type="dxa"/>
            <w:vAlign w:val="top"/>
          </w:tcPr>
          <w:p>
            <w:pPr>
              <w:ind w:right="27"/>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2.42</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8" w:hRule="atLeast"/>
        </w:trPr>
        <w:tc>
          <w:tcPr>
            <w:tcW w:w="3127" w:type="dxa"/>
            <w:vAlign w:val="top"/>
          </w:tcPr>
          <w:p>
            <w:pPr>
              <w:ind w:left="331"/>
              <w:spacing w:before="113" w:line="230" w:lineRule="auto"/>
              <w:rPr>
                <w:rFonts w:ascii="SimSun" w:hAnsi="SimSun" w:eastAsia="SimSun" w:cs="SimSun"/>
                <w:sz w:val="15"/>
                <w:szCs w:val="15"/>
              </w:rPr>
            </w:pPr>
            <w:r>
              <w:rPr>
                <w:rFonts w:ascii="SimSun" w:hAnsi="SimSun" w:eastAsia="SimSun" w:cs="SimSun"/>
                <w:sz w:val="15"/>
                <w:szCs w:val="15"/>
                <w:color w:val="212529"/>
                <w:spacing w:val="9"/>
              </w:rPr>
              <w:t>招商经费</w:t>
            </w:r>
          </w:p>
        </w:tc>
        <w:tc>
          <w:tcPr>
            <w:tcW w:w="1210"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20" w:type="dxa"/>
            <w:vAlign w:val="top"/>
          </w:tcPr>
          <w:p>
            <w:pPr>
              <w:ind w:right="27"/>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44"/>
              <w:spacing w:before="115" w:line="229" w:lineRule="auto"/>
              <w:rPr>
                <w:rFonts w:ascii="SimSun" w:hAnsi="SimSun" w:eastAsia="SimSun" w:cs="SimSun"/>
                <w:sz w:val="15"/>
                <w:szCs w:val="15"/>
              </w:rPr>
            </w:pPr>
            <w:r>
              <w:rPr>
                <w:rFonts w:ascii="SimSun" w:hAnsi="SimSun" w:eastAsia="SimSun" w:cs="SimSun"/>
                <w:sz w:val="15"/>
                <w:szCs w:val="15"/>
                <w:color w:val="212529"/>
                <w:spacing w:val="10"/>
              </w:rPr>
              <w:t>园区企业党委党建工作经费及培训经费</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15" w:right="38" w:firstLine="328"/>
              <w:spacing w:before="29" w:line="209" w:lineRule="auto"/>
              <w:rPr>
                <w:rFonts w:ascii="SimSun" w:hAnsi="SimSun" w:eastAsia="SimSun" w:cs="SimSun"/>
                <w:sz w:val="15"/>
                <w:szCs w:val="15"/>
              </w:rPr>
            </w:pPr>
            <w:r>
              <w:rPr>
                <w:rFonts w:ascii="SimSun" w:hAnsi="SimSun" w:eastAsia="SimSun" w:cs="SimSun"/>
                <w:sz w:val="15"/>
                <w:szCs w:val="15"/>
                <w:color w:val="212529"/>
                <w:spacing w:val="10"/>
              </w:rPr>
              <w:t>园区检查工作经费（公务用车运行维护</w:t>
            </w:r>
            <w:r>
              <w:rPr>
                <w:rFonts w:ascii="SimSun" w:hAnsi="SimSun" w:eastAsia="SimSun" w:cs="SimSun"/>
                <w:sz w:val="15"/>
                <w:szCs w:val="15"/>
                <w:color w:val="212529"/>
                <w:spacing w:val="13"/>
              </w:rPr>
              <w:t xml:space="preserve"> </w:t>
            </w:r>
            <w:r>
              <w:rPr>
                <w:rFonts w:ascii="SimSun" w:hAnsi="SimSun" w:eastAsia="SimSun" w:cs="SimSun"/>
                <w:sz w:val="15"/>
                <w:szCs w:val="15"/>
                <w:color w:val="212529"/>
                <w:spacing w:val="-4"/>
              </w:rPr>
              <w:t>费）</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44"/>
              <w:spacing w:before="115" w:line="229" w:lineRule="auto"/>
              <w:rPr>
                <w:rFonts w:ascii="SimSun" w:hAnsi="SimSun" w:eastAsia="SimSun" w:cs="SimSun"/>
                <w:sz w:val="15"/>
                <w:szCs w:val="15"/>
              </w:rPr>
            </w:pPr>
            <w:r>
              <w:rPr>
                <w:rFonts w:ascii="SimSun" w:hAnsi="SimSun" w:eastAsia="SimSun" w:cs="SimSun"/>
                <w:sz w:val="15"/>
                <w:szCs w:val="15"/>
                <w:color w:val="212529"/>
                <w:spacing w:val="10"/>
              </w:rPr>
              <w:t>园区建设及防火工作经费</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36"/>
              <w:spacing w:before="116" w:line="228" w:lineRule="auto"/>
              <w:rPr>
                <w:rFonts w:ascii="SimSun" w:hAnsi="SimSun" w:eastAsia="SimSun" w:cs="SimSun"/>
                <w:sz w:val="15"/>
                <w:szCs w:val="15"/>
              </w:rPr>
            </w:pPr>
            <w:r>
              <w:rPr>
                <w:rFonts w:ascii="SimSun" w:hAnsi="SimSun" w:eastAsia="SimSun" w:cs="SimSun"/>
                <w:sz w:val="15"/>
                <w:szCs w:val="15"/>
                <w:color w:val="212529"/>
                <w:spacing w:val="11"/>
              </w:rPr>
              <w:t>翟店镇政府环境、卫生整治费</w:t>
            </w:r>
          </w:p>
        </w:tc>
        <w:tc>
          <w:tcPr>
            <w:tcW w:w="1210"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220"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44"/>
              <w:spacing w:before="115" w:line="230" w:lineRule="auto"/>
              <w:rPr>
                <w:rFonts w:ascii="SimSun" w:hAnsi="SimSun" w:eastAsia="SimSun" w:cs="SimSun"/>
                <w:sz w:val="15"/>
                <w:szCs w:val="15"/>
              </w:rPr>
            </w:pPr>
            <w:r>
              <w:rPr>
                <w:rFonts w:ascii="SimSun" w:hAnsi="SimSun" w:eastAsia="SimSun" w:cs="SimSun"/>
                <w:sz w:val="15"/>
                <w:szCs w:val="15"/>
                <w:color w:val="212529"/>
                <w:spacing w:val="8"/>
              </w:rPr>
              <w:t>园区工作经费</w:t>
            </w:r>
          </w:p>
        </w:tc>
        <w:tc>
          <w:tcPr>
            <w:tcW w:w="1210" w:type="dxa"/>
            <w:vAlign w:val="top"/>
          </w:tcPr>
          <w:p>
            <w:pPr>
              <w:ind w:right="21"/>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20" w:type="dxa"/>
            <w:vAlign w:val="top"/>
          </w:tcPr>
          <w:p>
            <w:pPr>
              <w:ind w:right="27"/>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8" w:hRule="atLeast"/>
        </w:trPr>
        <w:tc>
          <w:tcPr>
            <w:tcW w:w="3127" w:type="dxa"/>
            <w:vAlign w:val="top"/>
          </w:tcPr>
          <w:p>
            <w:pPr>
              <w:ind w:left="334"/>
              <w:spacing w:before="116" w:line="228" w:lineRule="auto"/>
              <w:rPr>
                <w:rFonts w:ascii="SimSun" w:hAnsi="SimSun" w:eastAsia="SimSun" w:cs="SimSun"/>
                <w:sz w:val="15"/>
                <w:szCs w:val="15"/>
              </w:rPr>
            </w:pPr>
            <w:r>
              <w:rPr>
                <w:rFonts w:ascii="SimSun" w:hAnsi="SimSun" w:eastAsia="SimSun" w:cs="SimSun"/>
                <w:sz w:val="15"/>
                <w:szCs w:val="15"/>
                <w:color w:val="212529"/>
                <w:spacing w:val="10"/>
              </w:rPr>
              <w:t>办公设备采购</w:t>
            </w:r>
          </w:p>
        </w:tc>
        <w:tc>
          <w:tcPr>
            <w:tcW w:w="1210"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220"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9" w:hRule="atLeast"/>
        </w:trPr>
        <w:tc>
          <w:tcPr>
            <w:tcW w:w="3127" w:type="dxa"/>
            <w:vAlign w:val="top"/>
          </w:tcPr>
          <w:p>
            <w:pPr>
              <w:ind w:left="344"/>
              <w:spacing w:before="117" w:line="229" w:lineRule="auto"/>
              <w:rPr>
                <w:rFonts w:ascii="SimSun" w:hAnsi="SimSun" w:eastAsia="SimSun" w:cs="SimSun"/>
                <w:sz w:val="15"/>
                <w:szCs w:val="15"/>
              </w:rPr>
            </w:pPr>
            <w:r>
              <w:rPr>
                <w:rFonts w:ascii="SimSun" w:hAnsi="SimSun" w:eastAsia="SimSun" w:cs="SimSun"/>
                <w:sz w:val="15"/>
                <w:szCs w:val="15"/>
                <w:color w:val="212529"/>
                <w:spacing w:val="10"/>
              </w:rPr>
              <w:t>中心及党委办公场所物业管理费</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78" w:hRule="atLeast"/>
        </w:trPr>
        <w:tc>
          <w:tcPr>
            <w:tcW w:w="3127" w:type="dxa"/>
            <w:vAlign w:val="top"/>
          </w:tcPr>
          <w:p>
            <w:pPr>
              <w:ind w:left="24" w:right="38" w:firstLine="320"/>
              <w:spacing w:before="31" w:line="207" w:lineRule="auto"/>
              <w:rPr>
                <w:rFonts w:ascii="SimSun" w:hAnsi="SimSun" w:eastAsia="SimSun" w:cs="SimSun"/>
                <w:sz w:val="15"/>
                <w:szCs w:val="15"/>
              </w:rPr>
            </w:pPr>
            <w:r>
              <w:rPr>
                <w:rFonts w:ascii="SimSun" w:hAnsi="SimSun" w:eastAsia="SimSun" w:cs="SimSun"/>
                <w:sz w:val="15"/>
                <w:szCs w:val="15"/>
                <w:color w:val="212529"/>
                <w:spacing w:val="10"/>
              </w:rPr>
              <w:t>中心及党委办公场所暖气费、制冷费及</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2"/>
              </w:rPr>
              <w:t>电费</w:t>
            </w:r>
          </w:p>
        </w:tc>
        <w:tc>
          <w:tcPr>
            <w:tcW w:w="1210"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21.58</w:t>
            </w:r>
          </w:p>
        </w:tc>
        <w:tc>
          <w:tcPr>
            <w:tcW w:w="1220"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21.58</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r>
        <w:trPr>
          <w:trHeight w:val="384" w:hRule="atLeast"/>
        </w:trPr>
        <w:tc>
          <w:tcPr>
            <w:tcW w:w="3127" w:type="dxa"/>
            <w:vAlign w:val="top"/>
          </w:tcPr>
          <w:p>
            <w:pPr>
              <w:ind w:left="323"/>
              <w:spacing w:before="118" w:line="229" w:lineRule="auto"/>
              <w:rPr>
                <w:rFonts w:ascii="SimSun" w:hAnsi="SimSun" w:eastAsia="SimSun" w:cs="SimSun"/>
                <w:sz w:val="15"/>
                <w:szCs w:val="15"/>
              </w:rPr>
            </w:pPr>
            <w:r>
              <w:rPr>
                <w:rFonts w:ascii="SimSun" w:hAnsi="SimSun" w:eastAsia="SimSun" w:cs="SimSun"/>
                <w:sz w:val="15"/>
                <w:szCs w:val="15"/>
                <w:color w:val="212529"/>
                <w:spacing w:val="9"/>
              </w:rPr>
              <w:t>“三个一批</w:t>
            </w:r>
            <w:r>
              <w:rPr>
                <w:rFonts w:ascii="SimSun" w:hAnsi="SimSun" w:eastAsia="SimSun" w:cs="SimSun"/>
                <w:sz w:val="15"/>
                <w:szCs w:val="15"/>
                <w:color w:val="212529"/>
                <w:spacing w:val="-40"/>
              </w:rPr>
              <w:t xml:space="preserve"> </w:t>
            </w:r>
            <w:r>
              <w:rPr>
                <w:rFonts w:ascii="SimSun" w:hAnsi="SimSun" w:eastAsia="SimSun" w:cs="SimSun"/>
                <w:sz w:val="15"/>
                <w:szCs w:val="15"/>
                <w:color w:val="212529"/>
                <w:spacing w:val="9"/>
              </w:rPr>
              <w:t>”项目活动经费</w:t>
            </w:r>
          </w:p>
        </w:tc>
        <w:tc>
          <w:tcPr>
            <w:tcW w:w="1210"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1220"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100.00</w:t>
            </w:r>
          </w:p>
        </w:tc>
        <w:tc>
          <w:tcPr>
            <w:tcW w:w="637" w:type="dxa"/>
            <w:vAlign w:val="top"/>
          </w:tcPr>
          <w:p>
            <w:pPr>
              <w:pStyle w:val="TableText"/>
              <w:rPr/>
            </w:pPr>
            <w:r/>
          </w:p>
        </w:tc>
        <w:tc>
          <w:tcPr>
            <w:tcW w:w="1080" w:type="dxa"/>
            <w:vAlign w:val="top"/>
          </w:tcPr>
          <w:p>
            <w:pPr>
              <w:pStyle w:val="TableText"/>
              <w:rPr/>
            </w:pPr>
            <w:r/>
          </w:p>
        </w:tc>
        <w:tc>
          <w:tcPr>
            <w:tcW w:w="1069" w:type="dxa"/>
            <w:vAlign w:val="top"/>
          </w:tcPr>
          <w:p>
            <w:pPr>
              <w:pStyle w:val="TableText"/>
              <w:rPr/>
            </w:pPr>
            <w:r/>
          </w:p>
        </w:tc>
        <w:tc>
          <w:tcPr>
            <w:tcW w:w="815" w:type="dxa"/>
            <w:vAlign w:val="top"/>
          </w:tcPr>
          <w:p>
            <w:pPr>
              <w:pStyle w:val="TableText"/>
              <w:rPr/>
            </w:pPr>
            <w:r/>
          </w:p>
        </w:tc>
      </w:tr>
    </w:tbl>
    <w:p>
      <w:pPr>
        <w:pStyle w:val="BodyText"/>
        <w:rPr/>
      </w:pPr>
      <w:r/>
    </w:p>
    <w:p>
      <w:pPr>
        <w:sectPr>
          <w:headerReference w:type="default" r:id="rId14"/>
          <w:footerReference w:type="default" r:id="rId2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42"/>
        <w:gridCol w:w="1155"/>
        <w:gridCol w:w="1285"/>
        <w:gridCol w:w="1242"/>
        <w:gridCol w:w="1334"/>
      </w:tblGrid>
      <w:tr>
        <w:trPr>
          <w:trHeight w:val="383" w:hRule="atLeast"/>
        </w:trPr>
        <w:tc>
          <w:tcPr>
            <w:tcW w:w="414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4" w:type="dxa"/>
            <w:vAlign w:val="top"/>
            <w:tcBorders>
              <w:left w:val="single" w:color="FFFFFF" w:sz="2" w:space="0"/>
              <w:right w:val="single" w:color="FFFFFF" w:sz="2" w:space="0"/>
              <w:bottom w:val="single" w:color="FFFFFF" w:sz="4" w:space="0"/>
              <w:top w:val="single" w:color="FFFFFF" w:sz="4" w:space="0"/>
            </w:tcBorders>
          </w:tcPr>
          <w:p>
            <w:pPr>
              <w:ind w:left="531"/>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8" w:id="32"/>
            <w:bookmarkEnd w:id="32"/>
            <w:bookmarkStart w:name="bookmark18" w:id="33"/>
            <w:bookmarkEnd w:id="33"/>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824"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单位名称：长治高新区翟店工业园事业服务中心</w:t>
            </w:r>
          </w:p>
        </w:tc>
        <w:tc>
          <w:tcPr>
            <w:tcW w:w="1334" w:type="dxa"/>
            <w:vAlign w:val="top"/>
            <w:tcBorders>
              <w:left w:val="single" w:color="FFFFFF" w:sz="2" w:space="0"/>
              <w:right w:val="single" w:color="FFFFFF" w:sz="2" w:space="0"/>
              <w:top w:val="single" w:color="FFFFFF" w:sz="4" w:space="0"/>
            </w:tcBorders>
          </w:tcPr>
          <w:p>
            <w:pPr>
              <w:ind w:left="6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142" w:type="dxa"/>
            <w:vAlign w:val="top"/>
            <w:vMerge w:val="restart"/>
            <w:tcBorders>
              <w:bottom w:val="nil"/>
            </w:tcBorders>
          </w:tcPr>
          <w:p>
            <w:pPr>
              <w:ind w:left="1735"/>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55" w:type="dxa"/>
            <w:vAlign w:val="top"/>
            <w:vMerge w:val="restart"/>
            <w:tcBorders>
              <w:bottom w:val="nil"/>
            </w:tcBorders>
          </w:tcPr>
          <w:p>
            <w:pPr>
              <w:ind w:left="408"/>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61" w:type="dxa"/>
            <w:vAlign w:val="top"/>
            <w:gridSpan w:val="3"/>
          </w:tcPr>
          <w:p>
            <w:pPr>
              <w:ind w:left="135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4142" w:type="dxa"/>
            <w:vAlign w:val="top"/>
            <w:vMerge w:val="continue"/>
            <w:tcBorders>
              <w:top w:val="nil"/>
            </w:tcBorders>
          </w:tcPr>
          <w:p>
            <w:pPr>
              <w:pStyle w:val="TableText"/>
              <w:rPr/>
            </w:pPr>
            <w:r/>
          </w:p>
        </w:tc>
        <w:tc>
          <w:tcPr>
            <w:tcW w:w="1155" w:type="dxa"/>
            <w:vAlign w:val="top"/>
            <w:vMerge w:val="continue"/>
            <w:tcBorders>
              <w:top w:val="nil"/>
            </w:tcBorders>
          </w:tcPr>
          <w:p>
            <w:pPr>
              <w:pStyle w:val="TableText"/>
              <w:rPr/>
            </w:pPr>
            <w:r/>
          </w:p>
        </w:tc>
        <w:tc>
          <w:tcPr>
            <w:tcW w:w="1285" w:type="dxa"/>
            <w:vAlign w:val="top"/>
          </w:tcPr>
          <w:p>
            <w:pPr>
              <w:ind w:left="147"/>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242" w:type="dxa"/>
            <w:vAlign w:val="top"/>
          </w:tcPr>
          <w:p>
            <w:pPr>
              <w:ind w:left="206"/>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44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334" w:type="dxa"/>
            <w:vAlign w:val="top"/>
          </w:tcPr>
          <w:p>
            <w:pPr>
              <w:ind w:left="348"/>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33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142" w:type="dxa"/>
            <w:vAlign w:val="top"/>
          </w:tcPr>
          <w:p>
            <w:pPr>
              <w:ind w:left="2033"/>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55" w:type="dxa"/>
            <w:vAlign w:val="top"/>
          </w:tcPr>
          <w:p>
            <w:pPr>
              <w:ind w:left="532"/>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85" w:type="dxa"/>
            <w:vAlign w:val="top"/>
          </w:tcPr>
          <w:p>
            <w:pPr>
              <w:ind w:left="599"/>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242" w:type="dxa"/>
            <w:vAlign w:val="top"/>
          </w:tcPr>
          <w:p>
            <w:pPr>
              <w:ind w:left="572"/>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334" w:type="dxa"/>
            <w:vAlign w:val="top"/>
          </w:tcPr>
          <w:p>
            <w:pPr>
              <w:ind w:left="620"/>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142" w:type="dxa"/>
            <w:vAlign w:val="top"/>
          </w:tcPr>
          <w:p>
            <w:pPr>
              <w:pStyle w:val="TableText"/>
              <w:rPr/>
            </w:pPr>
            <w:r/>
          </w:p>
        </w:tc>
        <w:tc>
          <w:tcPr>
            <w:tcW w:w="1155" w:type="dxa"/>
            <w:vAlign w:val="top"/>
          </w:tcPr>
          <w:p>
            <w:pPr>
              <w:pStyle w:val="TableText"/>
              <w:rPr/>
            </w:pPr>
            <w:r/>
          </w:p>
        </w:tc>
        <w:tc>
          <w:tcPr>
            <w:tcW w:w="1285" w:type="dxa"/>
            <w:vAlign w:val="top"/>
          </w:tcPr>
          <w:p>
            <w:pPr>
              <w:pStyle w:val="TableText"/>
              <w:rPr/>
            </w:pPr>
            <w:r/>
          </w:p>
        </w:tc>
        <w:tc>
          <w:tcPr>
            <w:tcW w:w="1242" w:type="dxa"/>
            <w:vAlign w:val="top"/>
          </w:tcPr>
          <w:p>
            <w:pPr>
              <w:pStyle w:val="TableText"/>
              <w:rPr/>
            </w:pPr>
            <w:r/>
          </w:p>
        </w:tc>
        <w:tc>
          <w:tcPr>
            <w:tcW w:w="1334" w:type="dxa"/>
            <w:vAlign w:val="top"/>
          </w:tcPr>
          <w:p>
            <w:pPr>
              <w:pStyle w:val="TableText"/>
              <w:rPr/>
            </w:pPr>
            <w:r/>
          </w:p>
        </w:tc>
      </w:tr>
      <w:tr>
        <w:trPr>
          <w:trHeight w:val="383" w:hRule="atLeast"/>
        </w:trPr>
        <w:tc>
          <w:tcPr>
            <w:tcW w:w="4142"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155" w:type="dxa"/>
            <w:vAlign w:val="top"/>
            <w:tcBorders>
              <w:left w:val="single" w:color="FFFFFF" w:sz="2" w:space="0"/>
              <w:right w:val="single" w:color="FFFFFF" w:sz="2" w:space="0"/>
              <w:bottom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242" w:type="dxa"/>
            <w:vAlign w:val="top"/>
            <w:tcBorders>
              <w:left w:val="single" w:color="FFFFFF" w:sz="2" w:space="0"/>
              <w:right w:val="single" w:color="FFFFFF" w:sz="2" w:space="0"/>
              <w:bottom w:val="single" w:color="FFFFFF" w:sz="4" w:space="0"/>
            </w:tcBorders>
          </w:tcPr>
          <w:p>
            <w:pPr>
              <w:pStyle w:val="TableText"/>
              <w:rPr/>
            </w:pPr>
            <w:r/>
          </w:p>
        </w:tc>
        <w:tc>
          <w:tcPr>
            <w:tcW w:w="1334"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8"/>
          <w:footerReference w:type="default" r:id="rId29"/>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4"/>
      <w:bookmarkEnd w:id="34"/>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5"/>
      <w:bookmarkEnd w:id="35"/>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5" w:line="323" w:lineRule="auto"/>
        <w:jc w:val="both"/>
        <w:rPr>
          <w:rFonts w:ascii="FangSong" w:hAnsi="FangSong" w:eastAsia="FangSong" w:cs="FangSong"/>
          <w:sz w:val="23"/>
          <w:szCs w:val="23"/>
        </w:rPr>
      </w:pPr>
      <w:r>
        <w:rPr>
          <w:rFonts w:ascii="FangSong" w:hAnsi="FangSong" w:eastAsia="FangSong" w:cs="FangSong"/>
          <w:sz w:val="23"/>
          <w:szCs w:val="23"/>
          <w:spacing w:val="5"/>
        </w:rPr>
        <w:t>2025年度长治高新区翟店工业园事业服务中心预算收入总计673.39万元，其中：本年收</w:t>
      </w:r>
      <w:r>
        <w:rPr>
          <w:rFonts w:ascii="FangSong" w:hAnsi="FangSong" w:eastAsia="FangSong" w:cs="FangSong"/>
          <w:sz w:val="23"/>
          <w:szCs w:val="23"/>
        </w:rPr>
        <w:t xml:space="preserve"> </w:t>
      </w:r>
      <w:r>
        <w:rPr>
          <w:rFonts w:ascii="FangSong" w:hAnsi="FangSong" w:eastAsia="FangSong" w:cs="FangSong"/>
          <w:sz w:val="23"/>
          <w:szCs w:val="23"/>
          <w:spacing w:val="2"/>
        </w:rPr>
        <w:t>入673.39万元，上年结转0万元，比上年增加180.87万元，增长36.72%，主要原因是</w:t>
      </w:r>
      <w:r>
        <w:rPr>
          <w:rFonts w:ascii="FangSong" w:hAnsi="FangSong" w:eastAsia="FangSong" w:cs="FangSong"/>
          <w:sz w:val="23"/>
          <w:szCs w:val="23"/>
          <w:spacing w:val="1"/>
        </w:rPr>
        <w:t>首先在职</w:t>
      </w:r>
      <w:r>
        <w:rPr>
          <w:rFonts w:ascii="FangSong" w:hAnsi="FangSong" w:eastAsia="FangSong" w:cs="FangSong"/>
          <w:sz w:val="23"/>
          <w:szCs w:val="23"/>
        </w:rPr>
        <w:t xml:space="preserve"> </w:t>
      </w:r>
      <w:r>
        <w:rPr>
          <w:rFonts w:ascii="FangSong" w:hAnsi="FangSong" w:eastAsia="FangSong" w:cs="FangSong"/>
          <w:sz w:val="23"/>
          <w:szCs w:val="23"/>
          <w:spacing w:val="4"/>
        </w:rPr>
        <w:t>员工工资福利上调，社保、公积金基数调整。其次今年新增“</w:t>
      </w:r>
      <w:r>
        <w:rPr>
          <w:rFonts w:ascii="FangSong" w:hAnsi="FangSong" w:eastAsia="FangSong" w:cs="FangSong"/>
          <w:sz w:val="23"/>
          <w:szCs w:val="23"/>
          <w:spacing w:val="-88"/>
        </w:rPr>
        <w:t xml:space="preserve"> </w:t>
      </w:r>
      <w:r>
        <w:rPr>
          <w:rFonts w:ascii="FangSong" w:hAnsi="FangSong" w:eastAsia="FangSong" w:cs="FangSong"/>
          <w:sz w:val="23"/>
          <w:szCs w:val="23"/>
          <w:spacing w:val="4"/>
        </w:rPr>
        <w:t>三</w:t>
      </w:r>
      <w:r>
        <w:rPr>
          <w:rFonts w:ascii="FangSong" w:hAnsi="FangSong" w:eastAsia="FangSong" w:cs="FangSong"/>
          <w:sz w:val="23"/>
          <w:szCs w:val="23"/>
          <w:spacing w:val="3"/>
        </w:rPr>
        <w:t>个一批</w:t>
      </w:r>
      <w:r>
        <w:rPr>
          <w:rFonts w:ascii="FangSong" w:hAnsi="FangSong" w:eastAsia="FangSong" w:cs="FangSong"/>
          <w:sz w:val="23"/>
          <w:szCs w:val="23"/>
          <w:spacing w:val="-79"/>
        </w:rPr>
        <w:t xml:space="preserve"> </w:t>
      </w:r>
      <w:r>
        <w:rPr>
          <w:rFonts w:ascii="FangSong" w:hAnsi="FangSong" w:eastAsia="FangSong" w:cs="FangSong"/>
          <w:sz w:val="23"/>
          <w:szCs w:val="23"/>
          <w:spacing w:val="3"/>
        </w:rPr>
        <w:t>”项目预算，故较上</w:t>
      </w:r>
      <w:r>
        <w:rPr>
          <w:rFonts w:ascii="FangSong" w:hAnsi="FangSong" w:eastAsia="FangSong" w:cs="FangSong"/>
          <w:sz w:val="23"/>
          <w:szCs w:val="23"/>
        </w:rPr>
        <w:t xml:space="preserve"> </w:t>
      </w:r>
      <w:r>
        <w:rPr>
          <w:rFonts w:ascii="FangSong" w:hAnsi="FangSong" w:eastAsia="FangSong" w:cs="FangSong"/>
          <w:sz w:val="23"/>
          <w:szCs w:val="23"/>
          <w:spacing w:val="5"/>
        </w:rPr>
        <w:t>年有所增长。；本年单位预算支出总计673.39万元，其</w:t>
      </w:r>
      <w:r>
        <w:rPr>
          <w:rFonts w:ascii="FangSong" w:hAnsi="FangSong" w:eastAsia="FangSong" w:cs="FangSong"/>
          <w:sz w:val="23"/>
          <w:szCs w:val="23"/>
          <w:spacing w:val="4"/>
        </w:rPr>
        <w:t>中：本年预算安排673.39万元，上年</w:t>
      </w:r>
      <w:r>
        <w:rPr>
          <w:rFonts w:ascii="FangSong" w:hAnsi="FangSong" w:eastAsia="FangSong" w:cs="FangSong"/>
          <w:sz w:val="23"/>
          <w:szCs w:val="23"/>
        </w:rPr>
        <w:t xml:space="preserve"> </w:t>
      </w:r>
      <w:r>
        <w:rPr>
          <w:rFonts w:ascii="FangSong" w:hAnsi="FangSong" w:eastAsia="FangSong" w:cs="FangSong"/>
          <w:sz w:val="23"/>
          <w:szCs w:val="23"/>
          <w:spacing w:val="2"/>
        </w:rPr>
        <w:t>结转0万元，比上年增加180.87万元，增长36.72%，主要原因是首先在职员工工资福利上调，</w:t>
      </w:r>
      <w:r>
        <w:rPr>
          <w:rFonts w:ascii="FangSong" w:hAnsi="FangSong" w:eastAsia="FangSong" w:cs="FangSong"/>
          <w:sz w:val="23"/>
          <w:szCs w:val="23"/>
          <w:spacing w:val="2"/>
        </w:rPr>
        <w:t xml:space="preserve"> </w:t>
      </w:r>
      <w:r>
        <w:rPr>
          <w:rFonts w:ascii="FangSong" w:hAnsi="FangSong" w:eastAsia="FangSong" w:cs="FangSong"/>
          <w:sz w:val="23"/>
          <w:szCs w:val="23"/>
          <w:spacing w:val="-1"/>
        </w:rPr>
        <w:t>社保、公积金基数调整。其次今年新增“三个一批</w:t>
      </w:r>
      <w:r>
        <w:rPr>
          <w:rFonts w:ascii="FangSong" w:hAnsi="FangSong" w:eastAsia="FangSong" w:cs="FangSong"/>
          <w:sz w:val="23"/>
          <w:szCs w:val="23"/>
          <w:spacing w:val="-74"/>
        </w:rPr>
        <w:t xml:space="preserve"> </w:t>
      </w:r>
      <w:r>
        <w:rPr>
          <w:rFonts w:ascii="FangSong" w:hAnsi="FangSong" w:eastAsia="FangSong" w:cs="FangSong"/>
          <w:sz w:val="23"/>
          <w:szCs w:val="23"/>
          <w:spacing w:val="-1"/>
        </w:rPr>
        <w:t>”项目预算，故较上年有所增长。</w:t>
      </w:r>
    </w:p>
    <w:p>
      <w:pPr>
        <w:ind w:left="1261"/>
        <w:spacing w:before="3" w:line="230"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8"/>
          <w:position w:val="-1"/>
        </w:rPr>
        <w:t>二、收入预算情况说明</w:t>
      </w:r>
    </w:p>
    <w:p>
      <w:pPr>
        <w:ind w:left="1265" w:right="1223" w:firstLine="454"/>
        <w:spacing w:before="172" w:line="324" w:lineRule="auto"/>
        <w:rPr>
          <w:rFonts w:ascii="FangSong" w:hAnsi="FangSong" w:eastAsia="FangSong" w:cs="FangSong"/>
          <w:sz w:val="23"/>
          <w:szCs w:val="23"/>
        </w:rPr>
      </w:pPr>
      <w:r>
        <w:rPr>
          <w:rFonts w:ascii="FangSong" w:hAnsi="FangSong" w:eastAsia="FangSong" w:cs="FangSong"/>
          <w:sz w:val="23"/>
          <w:szCs w:val="23"/>
          <w:spacing w:val="5"/>
        </w:rPr>
        <w:t>2025年度长治高新区翟店工业园事业服务中心预算收入673.39万元，主要包括一般公共</w:t>
      </w:r>
      <w:r>
        <w:rPr>
          <w:rFonts w:ascii="FangSong" w:hAnsi="FangSong" w:eastAsia="FangSong" w:cs="FangSong"/>
          <w:sz w:val="23"/>
          <w:szCs w:val="23"/>
        </w:rPr>
        <w:t xml:space="preserve"> </w:t>
      </w:r>
      <w:r>
        <w:rPr>
          <w:rFonts w:ascii="FangSong" w:hAnsi="FangSong" w:eastAsia="FangSong" w:cs="FangSong"/>
          <w:sz w:val="23"/>
          <w:szCs w:val="23"/>
          <w:spacing w:val="1"/>
        </w:rPr>
        <w:t>预算拨款收入673.39万元，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rPr>
        <w:t>，</w:t>
      </w:r>
      <w:r>
        <w:rPr>
          <w:rFonts w:ascii="FangSong" w:hAnsi="FangSong" w:eastAsia="FangSong" w:cs="FangSong"/>
          <w:sz w:val="23"/>
          <w:szCs w:val="23"/>
          <w:spacing w:val="-53"/>
        </w:rPr>
        <w:t xml:space="preserve"> </w:t>
      </w:r>
      <w:r>
        <w:rPr>
          <w:rFonts w:ascii="FangSong" w:hAnsi="FangSong" w:eastAsia="FangSong" w:cs="FangSong"/>
          <w:sz w:val="23"/>
          <w:szCs w:val="23"/>
        </w:rPr>
        <w:t>占0%；</w:t>
      </w:r>
      <w:r>
        <w:rPr>
          <w:rFonts w:ascii="FangSong" w:hAnsi="FangSong" w:eastAsia="FangSong" w:cs="FangSong"/>
          <w:sz w:val="23"/>
          <w:szCs w:val="23"/>
          <w:spacing w:val="-67"/>
        </w:rPr>
        <w:t xml:space="preserve"> </w:t>
      </w:r>
      <w:r>
        <w:rPr>
          <w:rFonts w:ascii="FangSong" w:hAnsi="FangSong" w:eastAsia="FangSong" w:cs="FangSong"/>
          <w:sz w:val="23"/>
          <w:szCs w:val="23"/>
        </w:rPr>
        <w:t>国有资本经</w:t>
      </w:r>
      <w:r>
        <w:rPr>
          <w:rFonts w:ascii="FangSong" w:hAnsi="FangSong" w:eastAsia="FangSong" w:cs="FangSong"/>
          <w:sz w:val="23"/>
          <w:szCs w:val="23"/>
        </w:rPr>
        <w:t xml:space="preserve"> </w:t>
      </w:r>
      <w:r>
        <w:rPr>
          <w:rFonts w:ascii="FangSong" w:hAnsi="FangSong" w:eastAsia="FangSong" w:cs="FangSong"/>
          <w:sz w:val="23"/>
          <w:szCs w:val="23"/>
          <w:spacing w:val="-2"/>
        </w:rPr>
        <w:t>营预算拨款收入0万元，</w:t>
      </w:r>
      <w:r>
        <w:rPr>
          <w:rFonts w:ascii="FangSong" w:hAnsi="FangSong" w:eastAsia="FangSong" w:cs="FangSong"/>
          <w:sz w:val="23"/>
          <w:szCs w:val="23"/>
          <w:spacing w:val="-47"/>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w:t>
      </w:r>
      <w:r>
        <w:rPr>
          <w:rFonts w:ascii="FangSong" w:hAnsi="FangSong" w:eastAsia="FangSong" w:cs="FangSong"/>
          <w:sz w:val="23"/>
          <w:szCs w:val="23"/>
        </w:rPr>
        <w:t xml:space="preserve"> </w:t>
      </w:r>
      <w:r>
        <w:rPr>
          <w:rFonts w:ascii="FangSong" w:hAnsi="FangSong" w:eastAsia="FangSong" w:cs="FangSong"/>
          <w:sz w:val="23"/>
          <w:szCs w:val="23"/>
          <w:spacing w:val="-6"/>
        </w:rPr>
        <w:t>上年结转0万元，</w:t>
      </w:r>
      <w:r>
        <w:rPr>
          <w:rFonts w:ascii="FangSong" w:hAnsi="FangSong" w:eastAsia="FangSong" w:cs="FangSong"/>
          <w:sz w:val="23"/>
          <w:szCs w:val="23"/>
          <w:spacing w:val="-56"/>
        </w:rPr>
        <w:t xml:space="preserve"> </w:t>
      </w:r>
      <w:r>
        <w:rPr>
          <w:rFonts w:ascii="FangSong" w:hAnsi="FangSong" w:eastAsia="FangSong" w:cs="FangSong"/>
          <w:sz w:val="23"/>
          <w:szCs w:val="23"/>
          <w:spacing w:val="-6"/>
        </w:rPr>
        <w:t>占0%。</w:t>
      </w:r>
    </w:p>
    <w:p>
      <w:pPr>
        <w:pStyle w:val="BodyText"/>
        <w:spacing w:line="353" w:lineRule="auto"/>
        <w:rPr/>
      </w:pPr>
      <w:r/>
    </w:p>
    <w:p>
      <w:pPr>
        <w:ind w:firstLine="3685"/>
        <w:spacing w:before="1" w:line="2872" w:lineRule="exact"/>
        <w:rPr/>
      </w:pPr>
      <w:r>
        <w:rPr>
          <w:position w:val="-57"/>
        </w:rPr>
        <w:drawing>
          <wp:inline distT="0" distB="0" distL="0" distR="0">
            <wp:extent cx="2346419" cy="1823536"/>
            <wp:effectExtent l="0" t="0" r="0" b="0"/>
            <wp:docPr id="4" name="IM 4"/>
            <wp:cNvGraphicFramePr/>
            <a:graphic>
              <a:graphicData uri="http://schemas.openxmlformats.org/drawingml/2006/picture">
                <pic:pic>
                  <pic:nvPicPr>
                    <pic:cNvPr id="4" name="IM 4"/>
                    <pic:cNvPicPr/>
                  </pic:nvPicPr>
                  <pic:blipFill>
                    <a:blip r:embed="rId31"/>
                    <a:stretch>
                      <a:fillRect/>
                    </a:stretch>
                  </pic:blipFill>
                  <pic:spPr>
                    <a:xfrm rot="0">
                      <a:off x="0" y="0"/>
                      <a:ext cx="2346419" cy="1823536"/>
                    </a:xfrm>
                    <a:prstGeom prst="rect">
                      <a:avLst/>
                    </a:prstGeom>
                  </pic:spPr>
                </pic:pic>
              </a:graphicData>
            </a:graphic>
          </wp:inline>
        </w:drawing>
      </w:r>
    </w:p>
    <w:p>
      <w:pPr>
        <w:pStyle w:val="BodyText"/>
        <w:spacing w:line="280" w:lineRule="auto"/>
        <w:rPr/>
      </w:pPr>
      <w:r/>
    </w:p>
    <w:p>
      <w:pPr>
        <w:pStyle w:val="BodyText"/>
        <w:spacing w:line="28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7"/>
          <w:position w:val="-1"/>
        </w:rPr>
        <w:t>三、支出预算情况说明</w:t>
      </w:r>
    </w:p>
    <w:p>
      <w:pPr>
        <w:ind w:left="1259" w:right="1223" w:firstLine="461"/>
        <w:spacing w:before="186" w:line="319" w:lineRule="auto"/>
        <w:rPr>
          <w:rFonts w:ascii="FangSong" w:hAnsi="FangSong" w:eastAsia="FangSong" w:cs="FangSong"/>
          <w:sz w:val="23"/>
          <w:szCs w:val="23"/>
        </w:rPr>
      </w:pPr>
      <w:r>
        <w:rPr>
          <w:rFonts w:ascii="FangSong" w:hAnsi="FangSong" w:eastAsia="FangSong" w:cs="FangSong"/>
          <w:sz w:val="23"/>
          <w:szCs w:val="23"/>
          <w:spacing w:val="11"/>
        </w:rPr>
        <w:t>2025年度长治高新区翟店工业园事业服务中心支出</w:t>
      </w:r>
      <w:r>
        <w:rPr>
          <w:rFonts w:ascii="FangSong" w:hAnsi="FangSong" w:eastAsia="FangSong" w:cs="FangSong"/>
          <w:sz w:val="23"/>
          <w:szCs w:val="23"/>
          <w:spacing w:val="10"/>
        </w:rPr>
        <w:t>预算673.39万元，其中：基本支出</w:t>
      </w:r>
      <w:r>
        <w:rPr>
          <w:rFonts w:ascii="FangSong" w:hAnsi="FangSong" w:eastAsia="FangSong" w:cs="FangSong"/>
          <w:sz w:val="23"/>
          <w:szCs w:val="23"/>
        </w:rPr>
        <w:t xml:space="preserve"> </w:t>
      </w:r>
      <w:r>
        <w:rPr>
          <w:rFonts w:ascii="FangSong" w:hAnsi="FangSong" w:eastAsia="FangSong" w:cs="FangSong"/>
          <w:sz w:val="23"/>
          <w:szCs w:val="23"/>
          <w:spacing w:val="-3"/>
        </w:rPr>
        <w:t>213.39万元，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占31.69%；项目支出460万元，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占68.</w:t>
      </w:r>
      <w:r>
        <w:rPr>
          <w:rFonts w:ascii="FangSong" w:hAnsi="FangSong" w:eastAsia="FangSong" w:cs="FangSong"/>
          <w:sz w:val="23"/>
          <w:szCs w:val="23"/>
          <w:spacing w:val="-4"/>
        </w:rPr>
        <w:t>31%。</w:t>
      </w:r>
    </w:p>
    <w:p>
      <w:pPr>
        <w:ind w:left="1271"/>
        <w:spacing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8"/>
          <w:position w:val="-1"/>
        </w:rPr>
        <w:t>四、财政拨款收支预算总体情况说明</w:t>
      </w:r>
    </w:p>
    <w:p>
      <w:pPr>
        <w:ind w:left="1265" w:right="1223" w:firstLine="454"/>
        <w:spacing w:before="186" w:line="322" w:lineRule="auto"/>
        <w:rPr>
          <w:rFonts w:ascii="FangSong" w:hAnsi="FangSong" w:eastAsia="FangSong" w:cs="FangSong"/>
          <w:sz w:val="23"/>
          <w:szCs w:val="23"/>
        </w:rPr>
      </w:pPr>
      <w:r>
        <w:rPr>
          <w:rFonts w:ascii="FangSong" w:hAnsi="FangSong" w:eastAsia="FangSong" w:cs="FangSong"/>
          <w:sz w:val="23"/>
          <w:szCs w:val="23"/>
          <w:spacing w:val="5"/>
        </w:rPr>
        <w:t>2025年度长治高新区翟店工业园事业服务中心财政拨款收支总预算673.3</w:t>
      </w:r>
      <w:r>
        <w:rPr>
          <w:rFonts w:ascii="FangSong" w:hAnsi="FangSong" w:eastAsia="FangSong" w:cs="FangSong"/>
          <w:sz w:val="23"/>
          <w:szCs w:val="23"/>
          <w:spacing w:val="4"/>
        </w:rPr>
        <w:t>9万元。其中：</w:t>
      </w:r>
      <w:r>
        <w:rPr>
          <w:rFonts w:ascii="FangSong" w:hAnsi="FangSong" w:eastAsia="FangSong" w:cs="FangSong"/>
          <w:sz w:val="23"/>
          <w:szCs w:val="23"/>
        </w:rPr>
        <w:t xml:space="preserve"> </w:t>
      </w:r>
      <w:r>
        <w:rPr>
          <w:rFonts w:ascii="FangSong" w:hAnsi="FangSong" w:eastAsia="FangSong" w:cs="FangSong"/>
          <w:sz w:val="23"/>
          <w:szCs w:val="23"/>
          <w:spacing w:val="4"/>
        </w:rPr>
        <w:t>一般公共预算拨款673.39万元，政府性基金预算拨款0万元，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国有资本经营预算拨款0万元。</w:t>
      </w:r>
      <w:r>
        <w:rPr>
          <w:rFonts w:ascii="FangSong" w:hAnsi="FangSong" w:eastAsia="FangSong" w:cs="FangSong"/>
          <w:sz w:val="23"/>
          <w:szCs w:val="23"/>
        </w:rPr>
        <w:t xml:space="preserve"> </w:t>
      </w:r>
      <w:r>
        <w:rPr>
          <w:rFonts w:ascii="FangSong" w:hAnsi="FangSong" w:eastAsia="FangSong" w:cs="FangSong"/>
          <w:sz w:val="23"/>
          <w:szCs w:val="23"/>
          <w:spacing w:val="2"/>
        </w:rPr>
        <w:t>其中：当年拨款收入673.39万元，上年结转收入0万元。支出包括：一般公共服务支出597.84</w:t>
      </w:r>
      <w:r>
        <w:rPr>
          <w:rFonts w:ascii="FangSong" w:hAnsi="FangSong" w:eastAsia="FangSong" w:cs="FangSong"/>
          <w:sz w:val="23"/>
          <w:szCs w:val="23"/>
        </w:rPr>
        <w:t xml:space="preserve"> </w:t>
      </w:r>
      <w:r>
        <w:rPr>
          <w:rFonts w:ascii="FangSong" w:hAnsi="FangSong" w:eastAsia="FangSong" w:cs="FangSong"/>
          <w:sz w:val="23"/>
          <w:szCs w:val="23"/>
          <w:spacing w:val="7"/>
        </w:rPr>
        <w:t>万元、社会保障和就业支出38.42万元、卫生健康支出18.63万元、住房保障支出18</w:t>
      </w:r>
      <w:r>
        <w:rPr>
          <w:rFonts w:ascii="FangSong" w:hAnsi="FangSong" w:eastAsia="FangSong" w:cs="FangSong"/>
          <w:sz w:val="23"/>
          <w:szCs w:val="23"/>
          <w:spacing w:val="6"/>
        </w:rPr>
        <w:t>.49万元</w:t>
      </w:r>
      <w:r>
        <w:rPr>
          <w:rFonts w:ascii="FangSong" w:hAnsi="FangSong" w:eastAsia="FangSong" w:cs="FangSong"/>
          <w:sz w:val="23"/>
          <w:szCs w:val="23"/>
        </w:rPr>
        <w:t xml:space="preserve"> </w:t>
      </w:r>
      <w:r>
        <w:rPr>
          <w:rFonts w:ascii="FangSong" w:hAnsi="FangSong" w:eastAsia="FangSong" w:cs="FangSong"/>
          <w:sz w:val="23"/>
          <w:szCs w:val="23"/>
          <w:spacing w:val="-9"/>
        </w:rPr>
        <w:t>等。</w:t>
      </w:r>
    </w:p>
    <w:p>
      <w:pPr>
        <w:ind w:left="1264"/>
        <w:spacing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8"/>
          <w:position w:val="-1"/>
        </w:rPr>
        <w:t>五、一般公共预算支出情况说明</w:t>
      </w:r>
    </w:p>
    <w:p>
      <w:pPr>
        <w:ind w:left="1725"/>
        <w:spacing w:before="18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3" w:right="1223" w:firstLine="456"/>
        <w:spacing w:before="124" w:line="322" w:lineRule="auto"/>
        <w:rPr>
          <w:rFonts w:ascii="FangSong" w:hAnsi="FangSong" w:eastAsia="FangSong" w:cs="FangSong"/>
          <w:sz w:val="23"/>
          <w:szCs w:val="23"/>
        </w:rPr>
      </w:pPr>
      <w:r>
        <w:rPr>
          <w:rFonts w:ascii="FangSong" w:hAnsi="FangSong" w:eastAsia="FangSong" w:cs="FangSong"/>
          <w:sz w:val="23"/>
          <w:szCs w:val="23"/>
          <w:spacing w:val="2"/>
        </w:rPr>
        <w:t>2025年度长治高新区翟店工业园事业服务中心一般公共预算当年支出673.39万元,比上年</w:t>
      </w:r>
      <w:r>
        <w:rPr>
          <w:rFonts w:ascii="FangSong" w:hAnsi="FangSong" w:eastAsia="FangSong" w:cs="FangSong"/>
          <w:sz w:val="23"/>
          <w:szCs w:val="23"/>
          <w:spacing w:val="11"/>
        </w:rPr>
        <w:t xml:space="preserve"> </w:t>
      </w:r>
      <w:r>
        <w:rPr>
          <w:rFonts w:ascii="FangSong" w:hAnsi="FangSong" w:eastAsia="FangSong" w:cs="FangSong"/>
          <w:sz w:val="23"/>
          <w:szCs w:val="23"/>
          <w:spacing w:val="-1"/>
        </w:rPr>
        <w:t>增加180.87万元，增长36.72%。</w:t>
      </w:r>
    </w:p>
    <w:p>
      <w:pPr>
        <w:ind w:left="17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22"/>
          <w:footerReference w:type="default" r:id="rId30"/>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1" w:lineRule="auto"/>
        <w:rPr/>
      </w:pPr>
      <w:r/>
    </w:p>
    <w:p>
      <w:pPr>
        <w:ind w:left="1261" w:right="1223" w:firstLine="459"/>
        <w:spacing w:before="75" w:line="326" w:lineRule="auto"/>
        <w:jc w:val="both"/>
        <w:rPr>
          <w:rFonts w:ascii="FangSong" w:hAnsi="FangSong" w:eastAsia="FangSong" w:cs="FangSong"/>
          <w:sz w:val="23"/>
          <w:szCs w:val="23"/>
        </w:rPr>
      </w:pPr>
      <w:r>
        <w:rPr>
          <w:rFonts w:ascii="FangSong" w:hAnsi="FangSong" w:eastAsia="FangSong" w:cs="FangSong"/>
          <w:sz w:val="23"/>
          <w:szCs w:val="23"/>
          <w:spacing w:val="2"/>
        </w:rPr>
        <w:t>2025年度长治高新区翟店工业园事业服务中心一般公共预算当年支出673.39万元,主要用</w:t>
      </w:r>
      <w:r>
        <w:rPr>
          <w:rFonts w:ascii="FangSong" w:hAnsi="FangSong" w:eastAsia="FangSong" w:cs="FangSong"/>
          <w:sz w:val="23"/>
          <w:szCs w:val="23"/>
          <w:spacing w:val="11"/>
        </w:rPr>
        <w:t xml:space="preserve"> </w:t>
      </w:r>
      <w:r>
        <w:rPr>
          <w:rFonts w:ascii="FangSong" w:hAnsi="FangSong" w:eastAsia="FangSong" w:cs="FangSong"/>
          <w:sz w:val="23"/>
          <w:szCs w:val="23"/>
        </w:rPr>
        <w:t>于以下方面：一般公共服务支出597.84万元，</w:t>
      </w:r>
      <w:r>
        <w:rPr>
          <w:rFonts w:ascii="FangSong" w:hAnsi="FangSong" w:eastAsia="FangSong" w:cs="FangSong"/>
          <w:sz w:val="23"/>
          <w:szCs w:val="23"/>
          <w:spacing w:val="-57"/>
        </w:rPr>
        <w:t xml:space="preserve"> </w:t>
      </w:r>
      <w:r>
        <w:rPr>
          <w:rFonts w:ascii="FangSong" w:hAnsi="FangSong" w:eastAsia="FangSong" w:cs="FangSong"/>
          <w:sz w:val="23"/>
          <w:szCs w:val="23"/>
        </w:rPr>
        <w:t>占88.78%；社</w:t>
      </w:r>
      <w:r>
        <w:rPr>
          <w:rFonts w:ascii="FangSong" w:hAnsi="FangSong" w:eastAsia="FangSong" w:cs="FangSong"/>
          <w:sz w:val="23"/>
          <w:szCs w:val="23"/>
          <w:spacing w:val="-1"/>
        </w:rPr>
        <w:t>会保障和就业支出38.42万元，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w:t>
      </w:r>
      <w:r>
        <w:rPr>
          <w:rFonts w:ascii="FangSong" w:hAnsi="FangSong" w:eastAsia="FangSong" w:cs="FangSong"/>
          <w:sz w:val="23"/>
          <w:szCs w:val="23"/>
        </w:rPr>
        <w:t xml:space="preserve"> </w:t>
      </w:r>
      <w:r>
        <w:rPr>
          <w:rFonts w:ascii="FangSong" w:hAnsi="FangSong" w:eastAsia="FangSong" w:cs="FangSong"/>
          <w:sz w:val="23"/>
          <w:szCs w:val="23"/>
          <w:spacing w:val="-2"/>
        </w:rPr>
        <w:t>5.71%；卫生健康支出18.63万元，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占2.77%；住房保障支出18.49万元，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占2.</w:t>
      </w:r>
      <w:r>
        <w:rPr>
          <w:rFonts w:ascii="FangSong" w:hAnsi="FangSong" w:eastAsia="FangSong" w:cs="FangSong"/>
          <w:sz w:val="23"/>
          <w:szCs w:val="23"/>
          <w:spacing w:val="-3"/>
        </w:rPr>
        <w:t>75%等。</w:t>
      </w:r>
    </w:p>
    <w:p>
      <w:pPr>
        <w:ind w:firstLine="3845"/>
        <w:spacing w:before="131" w:line="2425" w:lineRule="exact"/>
        <w:rPr/>
      </w:pPr>
      <w:r>
        <w:rPr>
          <w:position w:val="-48"/>
        </w:rPr>
        <w:drawing>
          <wp:inline distT="0" distB="0" distL="0" distR="0">
            <wp:extent cx="2409835" cy="1539873"/>
            <wp:effectExtent l="0" t="0" r="0" b="0"/>
            <wp:docPr id="6" name="IM 6"/>
            <wp:cNvGraphicFramePr/>
            <a:graphic>
              <a:graphicData uri="http://schemas.openxmlformats.org/drawingml/2006/picture">
                <pic:pic>
                  <pic:nvPicPr>
                    <pic:cNvPr id="6" name="IM 6"/>
                    <pic:cNvPicPr/>
                  </pic:nvPicPr>
                  <pic:blipFill>
                    <a:blip r:embed="rId33"/>
                    <a:stretch>
                      <a:fillRect/>
                    </a:stretch>
                  </pic:blipFill>
                  <pic:spPr>
                    <a:xfrm rot="0">
                      <a:off x="0" y="0"/>
                      <a:ext cx="2409835" cy="1539873"/>
                    </a:xfrm>
                    <a:prstGeom prst="rect">
                      <a:avLst/>
                    </a:prstGeom>
                  </pic:spPr>
                </pic:pic>
              </a:graphicData>
            </a:graphic>
          </wp:inline>
        </w:drawing>
      </w:r>
    </w:p>
    <w:p>
      <w:pPr>
        <w:pStyle w:val="BodyText"/>
        <w:spacing w:line="289" w:lineRule="auto"/>
        <w:rPr/>
      </w:pPr>
      <w:r/>
    </w:p>
    <w:p>
      <w:pPr>
        <w:pStyle w:val="BodyText"/>
        <w:spacing w:line="289"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265" w:right="1271" w:firstLine="454"/>
        <w:spacing w:before="175" w:line="325" w:lineRule="auto"/>
        <w:rPr>
          <w:rFonts w:ascii="FangSong" w:hAnsi="FangSong" w:eastAsia="FangSong" w:cs="FangSong"/>
          <w:sz w:val="23"/>
          <w:szCs w:val="23"/>
        </w:rPr>
      </w:pPr>
      <w:r>
        <w:rPr>
          <w:rFonts w:ascii="FangSong" w:hAnsi="FangSong" w:eastAsia="FangSong" w:cs="FangSong"/>
          <w:sz w:val="23"/>
          <w:szCs w:val="23"/>
          <w:spacing w:val="4"/>
        </w:rPr>
        <w:t>2025年度长治高新区翟店工业园事业服务中心一般公共预算安排基本支出213</w:t>
      </w:r>
      <w:r>
        <w:rPr>
          <w:rFonts w:ascii="FangSong" w:hAnsi="FangSong" w:eastAsia="FangSong" w:cs="FangSong"/>
          <w:sz w:val="23"/>
          <w:szCs w:val="23"/>
          <w:spacing w:val="3"/>
        </w:rPr>
        <w:t>.39万元，</w:t>
      </w:r>
      <w:r>
        <w:rPr>
          <w:rFonts w:ascii="FangSong" w:hAnsi="FangSong" w:eastAsia="FangSong" w:cs="FangSong"/>
          <w:sz w:val="23"/>
          <w:szCs w:val="23"/>
        </w:rPr>
        <w:t xml:space="preserve"> </w:t>
      </w:r>
      <w:r>
        <w:rPr>
          <w:rFonts w:ascii="FangSong" w:hAnsi="FangSong" w:eastAsia="FangSong" w:cs="FangSong"/>
          <w:sz w:val="23"/>
          <w:szCs w:val="23"/>
          <w:spacing w:val="-6"/>
        </w:rPr>
        <w:t>其中：</w:t>
      </w:r>
    </w:p>
    <w:p>
      <w:pPr>
        <w:ind w:left="1263" w:right="1223" w:firstLine="465"/>
        <w:spacing w:before="3" w:line="323" w:lineRule="auto"/>
        <w:rPr>
          <w:rFonts w:ascii="FangSong" w:hAnsi="FangSong" w:eastAsia="FangSong" w:cs="FangSong"/>
          <w:sz w:val="23"/>
          <w:szCs w:val="23"/>
        </w:rPr>
      </w:pPr>
      <w:r>
        <w:rPr>
          <w:rFonts w:ascii="FangSong" w:hAnsi="FangSong" w:eastAsia="FangSong" w:cs="FangSong"/>
          <w:sz w:val="23"/>
          <w:szCs w:val="23"/>
          <w:spacing w:val="5"/>
        </w:rPr>
        <w:t>人员经费200.85万元，主要包括：其他工资福利支出、其他社会保障缴费、公务员医疗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补助缴费、绩效工资、基本工资、退休费、住房公积金、机关事业单位基本养老保险缴费、</w:t>
      </w:r>
      <w:r>
        <w:rPr>
          <w:rFonts w:ascii="FangSong" w:hAnsi="FangSong" w:eastAsia="FangSong" w:cs="FangSong"/>
          <w:sz w:val="23"/>
          <w:szCs w:val="23"/>
          <w:spacing w:val="12"/>
        </w:rPr>
        <w:t xml:space="preserve"> </w:t>
      </w:r>
      <w:r>
        <w:rPr>
          <w:rFonts w:ascii="FangSong" w:hAnsi="FangSong" w:eastAsia="FangSong" w:cs="FangSong"/>
          <w:sz w:val="23"/>
          <w:szCs w:val="23"/>
        </w:rPr>
        <w:t>职业年金缴费、职工基本医疗保险缴费、津贴补贴</w:t>
      </w:r>
      <w:r>
        <w:rPr>
          <w:rFonts w:ascii="FangSong" w:hAnsi="FangSong" w:eastAsia="FangSong" w:cs="FangSong"/>
          <w:sz w:val="23"/>
          <w:szCs w:val="23"/>
          <w:spacing w:val="-1"/>
        </w:rPr>
        <w:t>等；</w:t>
      </w:r>
    </w:p>
    <w:p>
      <w:pPr>
        <w:ind w:left="1271" w:right="1222" w:firstLine="458"/>
        <w:spacing w:line="323" w:lineRule="auto"/>
        <w:jc w:val="both"/>
        <w:rPr>
          <w:rFonts w:ascii="FangSong" w:hAnsi="FangSong" w:eastAsia="FangSong" w:cs="FangSong"/>
          <w:sz w:val="23"/>
          <w:szCs w:val="23"/>
        </w:rPr>
      </w:pPr>
      <w:r>
        <w:rPr>
          <w:rFonts w:ascii="FangSong" w:hAnsi="FangSong" w:eastAsia="FangSong" w:cs="FangSong"/>
          <w:sz w:val="23"/>
          <w:szCs w:val="23"/>
          <w:spacing w:val="7"/>
        </w:rPr>
        <w:t>公用经费12.54万元，主要包括：办公费、邮电费、印刷费、</w:t>
      </w:r>
      <w:r>
        <w:rPr>
          <w:rFonts w:ascii="FangSong" w:hAnsi="FangSong" w:eastAsia="FangSong" w:cs="FangSong"/>
          <w:sz w:val="23"/>
          <w:szCs w:val="23"/>
          <w:spacing w:val="-65"/>
        </w:rPr>
        <w:t xml:space="preserve"> </w:t>
      </w:r>
      <w:r>
        <w:rPr>
          <w:rFonts w:ascii="FangSong" w:hAnsi="FangSong" w:eastAsia="FangSong" w:cs="FangSong"/>
          <w:sz w:val="23"/>
          <w:szCs w:val="23"/>
          <w:spacing w:val="7"/>
        </w:rPr>
        <w:t>电</w:t>
      </w:r>
      <w:r>
        <w:rPr>
          <w:rFonts w:ascii="FangSong" w:hAnsi="FangSong" w:eastAsia="FangSong" w:cs="FangSong"/>
          <w:sz w:val="23"/>
          <w:szCs w:val="23"/>
          <w:spacing w:val="6"/>
        </w:rPr>
        <w:t>费、公务用车运行维护</w:t>
      </w:r>
      <w:r>
        <w:rPr>
          <w:rFonts w:ascii="FangSong" w:hAnsi="FangSong" w:eastAsia="FangSong" w:cs="FangSong"/>
          <w:sz w:val="23"/>
          <w:szCs w:val="23"/>
        </w:rPr>
        <w:t xml:space="preserve"> </w:t>
      </w:r>
      <w:r>
        <w:rPr>
          <w:rFonts w:ascii="FangSong" w:hAnsi="FangSong" w:eastAsia="FangSong" w:cs="FangSong"/>
          <w:sz w:val="23"/>
          <w:szCs w:val="23"/>
          <w:spacing w:val="10"/>
        </w:rPr>
        <w:t>费、其他交通费用、其他商品和服务支出、维修（护）</w:t>
      </w:r>
      <w:r>
        <w:rPr>
          <w:rFonts w:ascii="FangSong" w:hAnsi="FangSong" w:eastAsia="FangSong" w:cs="FangSong"/>
          <w:sz w:val="23"/>
          <w:szCs w:val="23"/>
          <w:spacing w:val="-69"/>
        </w:rPr>
        <w:t xml:space="preserve"> </w:t>
      </w:r>
      <w:r>
        <w:rPr>
          <w:rFonts w:ascii="FangSong" w:hAnsi="FangSong" w:eastAsia="FangSong" w:cs="FangSong"/>
          <w:sz w:val="23"/>
          <w:szCs w:val="23"/>
          <w:spacing w:val="10"/>
        </w:rPr>
        <w:t>费、委托业务费、差旅费、培</w:t>
      </w:r>
      <w:r>
        <w:rPr>
          <w:rFonts w:ascii="FangSong" w:hAnsi="FangSong" w:eastAsia="FangSong" w:cs="FangSong"/>
          <w:sz w:val="23"/>
          <w:szCs w:val="23"/>
          <w:spacing w:val="9"/>
        </w:rPr>
        <w:t>训费</w:t>
      </w:r>
      <w:r>
        <w:rPr>
          <w:rFonts w:ascii="FangSong" w:hAnsi="FangSong" w:eastAsia="FangSong" w:cs="FangSong"/>
          <w:sz w:val="23"/>
          <w:szCs w:val="23"/>
        </w:rPr>
        <w:t xml:space="preserve"> </w:t>
      </w:r>
      <w:r>
        <w:rPr>
          <w:rFonts w:ascii="FangSong" w:hAnsi="FangSong" w:eastAsia="FangSong" w:cs="FangSong"/>
          <w:sz w:val="23"/>
          <w:szCs w:val="23"/>
          <w:spacing w:val="-11"/>
        </w:rPr>
        <w:t>等。</w:t>
      </w:r>
    </w:p>
    <w:p>
      <w:pPr>
        <w:ind w:left="1255"/>
        <w:spacing w:line="229"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65" w:right="1223" w:firstLine="454"/>
        <w:spacing w:before="173" w:line="324" w:lineRule="auto"/>
        <w:jc w:val="both"/>
        <w:rPr>
          <w:rFonts w:ascii="FangSong" w:hAnsi="FangSong" w:eastAsia="FangSong" w:cs="FangSong"/>
          <w:sz w:val="23"/>
          <w:szCs w:val="23"/>
        </w:rPr>
      </w:pPr>
      <w:r>
        <w:rPr>
          <w:rFonts w:ascii="FangSong" w:hAnsi="FangSong" w:eastAsia="FangSong" w:cs="FangSong"/>
          <w:sz w:val="23"/>
          <w:szCs w:val="23"/>
          <w:spacing w:val="4"/>
        </w:rPr>
        <w:t>2025年长治高新区翟店工业园事业服务中心财政拨</w:t>
      </w:r>
      <w:r>
        <w:rPr>
          <w:rFonts w:ascii="FangSong" w:hAnsi="FangSong" w:eastAsia="FangSong" w:cs="FangSong"/>
          <w:sz w:val="23"/>
          <w:szCs w:val="23"/>
          <w:spacing w:val="3"/>
        </w:rPr>
        <w:t>款安排的“</w:t>
      </w:r>
      <w:r>
        <w:rPr>
          <w:rFonts w:ascii="FangSong" w:hAnsi="FangSong" w:eastAsia="FangSong" w:cs="FangSong"/>
          <w:sz w:val="23"/>
          <w:szCs w:val="23"/>
          <w:spacing w:val="-87"/>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”经费预算3.50万元</w:t>
      </w:r>
      <w:r>
        <w:rPr>
          <w:rFonts w:ascii="FangSong" w:hAnsi="FangSong" w:eastAsia="FangSong" w:cs="FangSong"/>
          <w:sz w:val="23"/>
          <w:szCs w:val="23"/>
        </w:rPr>
        <w:t xml:space="preserve"> </w:t>
      </w:r>
      <w:r>
        <w:rPr>
          <w:rFonts w:ascii="FangSong" w:hAnsi="FangSong" w:eastAsia="FangSong" w:cs="FangSong"/>
          <w:sz w:val="23"/>
          <w:szCs w:val="23"/>
          <w:spacing w:val="4"/>
        </w:rPr>
        <w:t>与2024年预算数相同。其中：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因公出国（境）费0万元，与上年</w:t>
      </w:r>
      <w:r>
        <w:rPr>
          <w:rFonts w:ascii="FangSong" w:hAnsi="FangSong" w:eastAsia="FangSong" w:cs="FangSong"/>
          <w:sz w:val="23"/>
          <w:szCs w:val="23"/>
          <w:spacing w:val="3"/>
        </w:rPr>
        <w:t>预算数相同；公务接待费0万</w:t>
      </w:r>
      <w:r>
        <w:rPr>
          <w:rFonts w:ascii="FangSong" w:hAnsi="FangSong" w:eastAsia="FangSong" w:cs="FangSong"/>
          <w:sz w:val="23"/>
          <w:szCs w:val="23"/>
        </w:rPr>
        <w:t xml:space="preserve"> </w:t>
      </w:r>
      <w:r>
        <w:rPr>
          <w:rFonts w:ascii="FangSong" w:hAnsi="FangSong" w:eastAsia="FangSong" w:cs="FangSong"/>
          <w:sz w:val="23"/>
          <w:szCs w:val="23"/>
          <w:spacing w:val="5"/>
        </w:rPr>
        <w:t>元，与上年预算数相同；公务用车购置及运行费3.50万元，与上年预算数相同。公务用车运</w:t>
      </w:r>
      <w:r>
        <w:rPr>
          <w:rFonts w:ascii="FangSong" w:hAnsi="FangSong" w:eastAsia="FangSong" w:cs="FangSong"/>
          <w:sz w:val="23"/>
          <w:szCs w:val="23"/>
        </w:rPr>
        <w:t xml:space="preserve"> </w:t>
      </w:r>
      <w:r>
        <w:rPr>
          <w:rFonts w:ascii="FangSong" w:hAnsi="FangSong" w:eastAsia="FangSong" w:cs="FangSong"/>
          <w:sz w:val="23"/>
          <w:szCs w:val="23"/>
        </w:rPr>
        <w:t>行维护费3.50万元，与上年预算数相同；公务用车购置费0万元，与上年预算数相同。</w:t>
      </w:r>
    </w:p>
    <w:p>
      <w:pPr>
        <w:pStyle w:val="BodyText"/>
        <w:spacing w:line="262" w:lineRule="auto"/>
        <w:rPr/>
      </w:pPr>
      <w:r/>
    </w:p>
    <w:p>
      <w:pPr>
        <w:ind w:firstLine="2187"/>
        <w:spacing w:line="2577" w:lineRule="exact"/>
        <w:rPr/>
      </w:pPr>
      <w:r>
        <w:rPr>
          <w:position w:val="-51"/>
        </w:rPr>
        <w:drawing>
          <wp:inline distT="0" distB="0" distL="0" distR="0">
            <wp:extent cx="4629421" cy="1636228"/>
            <wp:effectExtent l="0" t="0" r="0" b="0"/>
            <wp:docPr id="8" name="IM 8"/>
            <wp:cNvGraphicFramePr/>
            <a:graphic>
              <a:graphicData uri="http://schemas.openxmlformats.org/drawingml/2006/picture">
                <pic:pic>
                  <pic:nvPicPr>
                    <pic:cNvPr id="8" name="IM 8"/>
                    <pic:cNvPicPr/>
                  </pic:nvPicPr>
                  <pic:blipFill>
                    <a:blip r:embed="rId34"/>
                    <a:stretch>
                      <a:fillRect/>
                    </a:stretch>
                  </pic:blipFill>
                  <pic:spPr>
                    <a:xfrm rot="0">
                      <a:off x="0" y="0"/>
                      <a:ext cx="4629421" cy="1636228"/>
                    </a:xfrm>
                    <a:prstGeom prst="rect">
                      <a:avLst/>
                    </a:prstGeom>
                  </pic:spPr>
                </pic:pic>
              </a:graphicData>
            </a:graphic>
          </wp:inline>
        </w:drawing>
      </w:r>
    </w:p>
    <w:p>
      <w:pPr>
        <w:pStyle w:val="BodyText"/>
        <w:spacing w:line="434" w:lineRule="auto"/>
        <w:rPr/>
      </w:pPr>
      <w:r/>
    </w:p>
    <w:p>
      <w:pPr>
        <w:ind w:left="1253"/>
        <w:spacing w:before="100" w:line="230"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1"/>
        </w:rPr>
        <w:t>本单位为财政拨款事业单位，无机关运行经费。</w:t>
      </w:r>
    </w:p>
    <w:p>
      <w:pPr>
        <w:ind w:left="1258"/>
        <w:spacing w:before="121" w:line="226"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spacing w:line="226" w:lineRule="exact"/>
        <w:sectPr>
          <w:headerReference w:type="default" r:id="rId16"/>
          <w:footerReference w:type="default" r:id="rId32"/>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82" w:lineRule="auto"/>
        <w:rPr/>
      </w:pPr>
      <w:r/>
    </w:p>
    <w:p>
      <w:pPr>
        <w:pStyle w:val="BodyText"/>
        <w:spacing w:line="282" w:lineRule="auto"/>
        <w:rPr/>
      </w:pPr>
      <w:r/>
    </w:p>
    <w:p>
      <w:pPr>
        <w:ind w:left="1263" w:right="1223" w:firstLine="456"/>
        <w:spacing w:before="75" w:line="321" w:lineRule="auto"/>
        <w:rPr>
          <w:rFonts w:ascii="FangSong" w:hAnsi="FangSong" w:eastAsia="FangSong" w:cs="FangSong"/>
          <w:sz w:val="23"/>
          <w:szCs w:val="23"/>
        </w:rPr>
      </w:pPr>
      <w:r>
        <w:rPr>
          <w:rFonts w:ascii="FangSong" w:hAnsi="FangSong" w:eastAsia="FangSong" w:cs="FangSong"/>
          <w:sz w:val="23"/>
          <w:szCs w:val="23"/>
          <w:spacing w:val="5"/>
        </w:rPr>
        <w:t>2025年长治高新区翟店工业园事业服务中心政府采购预算总额6.20万元。其中：政府采</w:t>
      </w:r>
      <w:r>
        <w:rPr>
          <w:rFonts w:ascii="FangSong" w:hAnsi="FangSong" w:eastAsia="FangSong" w:cs="FangSong"/>
          <w:sz w:val="23"/>
          <w:szCs w:val="23"/>
          <w:spacing w:val="4"/>
        </w:rPr>
        <w:t xml:space="preserve"> </w:t>
      </w:r>
      <w:r>
        <w:rPr>
          <w:rFonts w:ascii="FangSong" w:hAnsi="FangSong" w:eastAsia="FangSong" w:cs="FangSong"/>
          <w:sz w:val="23"/>
          <w:szCs w:val="23"/>
        </w:rPr>
        <w:t>购货物预算5.30万元、政府采购工程预算0万元、政府采购服务预算0.90万元。</w:t>
      </w:r>
    </w:p>
    <w:p>
      <w:pPr>
        <w:ind w:left="1260"/>
        <w:spacing w:before="5"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951"/>
        <w:spacing w:before="122"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2025年编报单位整体绩效目标，涉及资金673.39万元。</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7"/>
        <w:spacing w:before="121" w:line="324" w:lineRule="auto"/>
        <w:rPr>
          <w:rFonts w:ascii="FangSong" w:hAnsi="FangSong" w:eastAsia="FangSong" w:cs="FangSong"/>
          <w:sz w:val="23"/>
          <w:szCs w:val="23"/>
        </w:rPr>
      </w:pPr>
      <w:r>
        <w:rPr>
          <w:rFonts w:ascii="FangSong" w:hAnsi="FangSong" w:eastAsia="FangSong" w:cs="FangSong"/>
          <w:sz w:val="23"/>
          <w:szCs w:val="23"/>
          <w:spacing w:val="5"/>
        </w:rPr>
        <w:t>2025年长治高新区翟店工业园事业服务中心纳入绩效目标管理的二级项目17个，共计金</w:t>
      </w:r>
      <w:r>
        <w:rPr>
          <w:rFonts w:ascii="FangSong" w:hAnsi="FangSong" w:eastAsia="FangSong" w:cs="FangSong"/>
          <w:sz w:val="23"/>
          <w:szCs w:val="23"/>
          <w:spacing w:val="9"/>
        </w:rPr>
        <w:t xml:space="preserve"> </w:t>
      </w:r>
      <w:r>
        <w:rPr>
          <w:rFonts w:ascii="FangSong" w:hAnsi="FangSong" w:eastAsia="FangSong" w:cs="FangSong"/>
          <w:sz w:val="23"/>
          <w:szCs w:val="23"/>
          <w:spacing w:val="2"/>
        </w:rPr>
        <w:t>额460.00万元。其中：其他运转类项目17个，涉及金额460.00万元；特定目标类项目0个，涉</w:t>
      </w:r>
      <w:r>
        <w:rPr>
          <w:rFonts w:ascii="FangSong" w:hAnsi="FangSong" w:eastAsia="FangSong" w:cs="FangSong"/>
          <w:sz w:val="23"/>
          <w:szCs w:val="23"/>
          <w:spacing w:val="1"/>
        </w:rPr>
        <w:t xml:space="preserve"> </w:t>
      </w:r>
      <w:r>
        <w:rPr>
          <w:rFonts w:ascii="FangSong" w:hAnsi="FangSong" w:eastAsia="FangSong" w:cs="FangSong"/>
          <w:sz w:val="23"/>
          <w:szCs w:val="23"/>
          <w:spacing w:val="1"/>
        </w:rPr>
        <w:t>及金额0万元。公开项目绩效目标17个，涉及项目金额460.00万元，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w:t>
      </w:r>
      <w:r>
        <w:rPr>
          <w:rFonts w:ascii="FangSong" w:hAnsi="FangSong" w:eastAsia="FangSong" w:cs="FangSong"/>
          <w:sz w:val="23"/>
          <w:szCs w:val="23"/>
        </w:rPr>
        <w:t>位）项目支出</w:t>
      </w:r>
      <w:r>
        <w:rPr>
          <w:rFonts w:ascii="FangSong" w:hAnsi="FangSong" w:eastAsia="FangSong" w:cs="FangSong"/>
          <w:sz w:val="23"/>
          <w:szCs w:val="23"/>
        </w:rPr>
        <w:t xml:space="preserve"> </w:t>
      </w:r>
      <w:r>
        <w:rPr>
          <w:rFonts w:ascii="FangSong" w:hAnsi="FangSong" w:eastAsia="FangSong" w:cs="FangSong"/>
          <w:sz w:val="23"/>
          <w:szCs w:val="23"/>
          <w:spacing w:val="2"/>
        </w:rPr>
        <w:t>总额的100%。其中：其他运转类项目17个，涉及项目金额460.00万元；特定目标类项目0个，</w:t>
      </w:r>
      <w:r>
        <w:rPr>
          <w:rFonts w:ascii="FangSong" w:hAnsi="FangSong" w:eastAsia="FangSong" w:cs="FangSong"/>
          <w:sz w:val="23"/>
          <w:szCs w:val="23"/>
          <w:spacing w:val="3"/>
        </w:rPr>
        <w:t xml:space="preserve"> </w:t>
      </w:r>
      <w:r>
        <w:rPr>
          <w:rFonts w:ascii="FangSong" w:hAnsi="FangSong" w:eastAsia="FangSong" w:cs="FangSong"/>
          <w:sz w:val="23"/>
          <w:szCs w:val="23"/>
          <w:spacing w:val="-1"/>
        </w:rPr>
        <w:t>涉及项目金额0万元。</w:t>
      </w:r>
    </w:p>
    <w:p>
      <w:pPr>
        <w:ind w:left="1264"/>
        <w:spacing w:before="5"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234"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747" w:lineRule="exact"/>
        <w:rPr/>
      </w:pPr>
      <w:r>
        <w:pict>
          <v:shape id="_x0000_s236" style="position:absolute;margin-left:-13.08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38"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40"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42" style="position:absolute;margin-left:491.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5766849" cy="8094185"/>
            <wp:effectExtent l="0" t="0" r="0" b="0"/>
            <wp:docPr id="10" name="IM 10"/>
            <wp:cNvGraphicFramePr/>
            <a:graphic>
              <a:graphicData uri="http://schemas.openxmlformats.org/drawingml/2006/picture">
                <pic:pic>
                  <pic:nvPicPr>
                    <pic:cNvPr id="10" name="IM 10"/>
                    <pic:cNvPicPr/>
                  </pic:nvPicPr>
                  <pic:blipFill>
                    <a:blip r:embed="rId39"/>
                    <a:stretch>
                      <a:fillRect/>
                    </a:stretch>
                  </pic:blipFill>
                  <pic:spPr>
                    <a:xfrm rot="0">
                      <a:off x="0" y="0"/>
                      <a:ext cx="5766849" cy="8094185"/>
                    </a:xfrm>
                    <a:prstGeom prst="rect">
                      <a:avLst/>
                    </a:prstGeom>
                  </pic:spPr>
                </pic:pic>
              </a:graphicData>
            </a:graphic>
          </wp:inline>
        </w:drawing>
      </w:r>
    </w:p>
    <w:p>
      <w:pPr>
        <w:spacing w:line="12747" w:lineRule="exact"/>
        <w:sectPr>
          <w:headerReference w:type="default" r:id="rId37"/>
          <w:footerReference w:type="default" r:id="rId38"/>
          <w:pgSz w:w="11900" w:h="16840"/>
          <w:pgMar w:top="642" w:right="0" w:bottom="340" w:left="0" w:header="326" w:footer="111" w:gutter="0"/>
        </w:sectPr>
        <w:rPr/>
      </w:pPr>
    </w:p>
    <w:p>
      <w:pPr>
        <w:pStyle w:val="BodyText"/>
        <w:spacing w:line="277" w:lineRule="auto"/>
        <w:rPr/>
      </w:pPr>
      <w:r>
        <w:pict>
          <v:shape id="_x0000_s244"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282" w:lineRule="exact"/>
        <w:rPr/>
      </w:pPr>
      <w:r>
        <w:pict>
          <v:shape id="_x0000_s246" style="position:absolute;margin-left:-13.08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248"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50" style="position:absolute;margin-left:491.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52"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766849" cy="7798977"/>
            <wp:effectExtent l="0" t="0" r="0" b="0"/>
            <wp:docPr id="12" name="IM 12"/>
            <wp:cNvGraphicFramePr/>
            <a:graphic>
              <a:graphicData uri="http://schemas.openxmlformats.org/drawingml/2006/picture">
                <pic:pic>
                  <pic:nvPicPr>
                    <pic:cNvPr id="12" name="IM 12"/>
                    <pic:cNvPicPr/>
                  </pic:nvPicPr>
                  <pic:blipFill>
                    <a:blip r:embed="rId41"/>
                    <a:stretch>
                      <a:fillRect/>
                    </a:stretch>
                  </pic:blipFill>
                  <pic:spPr>
                    <a:xfrm rot="0">
                      <a:off x="0" y="0"/>
                      <a:ext cx="5766849" cy="7798977"/>
                    </a:xfrm>
                    <a:prstGeom prst="rect">
                      <a:avLst/>
                    </a:prstGeom>
                  </pic:spPr>
                </pic:pic>
              </a:graphicData>
            </a:graphic>
          </wp:inline>
        </w:drawing>
      </w:r>
    </w:p>
    <w:p>
      <w:pPr>
        <w:spacing w:line="12282" w:lineRule="exact"/>
        <w:sectPr>
          <w:footerReference w:type="default" r:id="rId40"/>
          <w:pgSz w:w="11900" w:h="16840"/>
          <w:pgMar w:top="642" w:right="0" w:bottom="340" w:left="0" w:header="326" w:footer="110" w:gutter="0"/>
        </w:sectPr>
        <w:rPr/>
      </w:pPr>
    </w:p>
    <w:p>
      <w:pPr>
        <w:pStyle w:val="BodyText"/>
        <w:spacing w:line="277" w:lineRule="auto"/>
        <w:rPr/>
      </w:pPr>
      <w:r>
        <w:pict>
          <v:shape id="_x0000_s254"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152" w:lineRule="exact"/>
        <w:rPr/>
      </w:pPr>
      <w:r>
        <w:pict>
          <v:shape id="_x0000_s256" style="position:absolute;margin-left:-13.08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58"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60"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62" style="position:absolute;margin-left:491.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5766849" cy="7716595"/>
            <wp:effectExtent l="0" t="0" r="0" b="0"/>
            <wp:docPr id="14" name="IM 14"/>
            <wp:cNvGraphicFramePr/>
            <a:graphic>
              <a:graphicData uri="http://schemas.openxmlformats.org/drawingml/2006/picture">
                <pic:pic>
                  <pic:nvPicPr>
                    <pic:cNvPr id="14" name="IM 14"/>
                    <pic:cNvPicPr/>
                  </pic:nvPicPr>
                  <pic:blipFill>
                    <a:blip r:embed="rId43"/>
                    <a:stretch>
                      <a:fillRect/>
                    </a:stretch>
                  </pic:blipFill>
                  <pic:spPr>
                    <a:xfrm rot="0">
                      <a:off x="0" y="0"/>
                      <a:ext cx="5766849" cy="7716595"/>
                    </a:xfrm>
                    <a:prstGeom prst="rect">
                      <a:avLst/>
                    </a:prstGeom>
                  </pic:spPr>
                </pic:pic>
              </a:graphicData>
            </a:graphic>
          </wp:inline>
        </w:drawing>
      </w:r>
    </w:p>
    <w:p>
      <w:pPr>
        <w:spacing w:line="12152" w:lineRule="exact"/>
        <w:sectPr>
          <w:footerReference w:type="default" r:id="rId42"/>
          <w:pgSz w:w="11900" w:h="16840"/>
          <w:pgMar w:top="642" w:right="0" w:bottom="340" w:left="0" w:header="326" w:footer="110" w:gutter="0"/>
        </w:sectPr>
        <w:rPr/>
      </w:pPr>
    </w:p>
    <w:p>
      <w:pPr>
        <w:pStyle w:val="BodyText"/>
        <w:spacing w:line="277" w:lineRule="auto"/>
        <w:rPr/>
      </w:pPr>
      <w:r>
        <w:pict>
          <v:shape id="_x0000_s264"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82" w:lineRule="exact"/>
        <w:rPr/>
      </w:pPr>
      <w:r>
        <w:pict>
          <v:shape id="_x0000_s266"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268"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70" style="position:absolute;margin-left:-13.08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72"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766849" cy="8052993"/>
            <wp:effectExtent l="0" t="0" r="0" b="0"/>
            <wp:docPr id="16" name="IM 16"/>
            <wp:cNvGraphicFramePr/>
            <a:graphic>
              <a:graphicData uri="http://schemas.openxmlformats.org/drawingml/2006/picture">
                <pic:pic>
                  <pic:nvPicPr>
                    <pic:cNvPr id="16" name="IM 16"/>
                    <pic:cNvPicPr/>
                  </pic:nvPicPr>
                  <pic:blipFill>
                    <a:blip r:embed="rId45"/>
                    <a:stretch>
                      <a:fillRect/>
                    </a:stretch>
                  </pic:blipFill>
                  <pic:spPr>
                    <a:xfrm rot="0">
                      <a:off x="0" y="0"/>
                      <a:ext cx="5766849" cy="8052993"/>
                    </a:xfrm>
                    <a:prstGeom prst="rect">
                      <a:avLst/>
                    </a:prstGeom>
                  </pic:spPr>
                </pic:pic>
              </a:graphicData>
            </a:graphic>
          </wp:inline>
        </w:drawing>
      </w:r>
    </w:p>
    <w:p>
      <w:pPr>
        <w:spacing w:line="12682" w:lineRule="exact"/>
        <w:sectPr>
          <w:footerReference w:type="default" r:id="rId44"/>
          <w:pgSz w:w="11900" w:h="16840"/>
          <w:pgMar w:top="642" w:right="0" w:bottom="340" w:left="0" w:header="326" w:footer="111" w:gutter="0"/>
        </w:sectPr>
        <w:rPr/>
      </w:pPr>
    </w:p>
    <w:p>
      <w:pPr>
        <w:pStyle w:val="BodyText"/>
        <w:spacing w:line="277" w:lineRule="auto"/>
        <w:rPr/>
      </w:pPr>
      <w:r>
        <w:pict>
          <v:shape id="_x0000_s274"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347" w:lineRule="exact"/>
        <w:rPr/>
      </w:pPr>
      <w:r>
        <w:pict>
          <v:shape id="_x0000_s276" style="position:absolute;margin-left:-13.08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78"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80"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5766849" cy="7840168"/>
            <wp:effectExtent l="0" t="0" r="0" b="0"/>
            <wp:docPr id="18" name="IM 18"/>
            <wp:cNvGraphicFramePr/>
            <a:graphic>
              <a:graphicData uri="http://schemas.openxmlformats.org/drawingml/2006/picture">
                <pic:pic>
                  <pic:nvPicPr>
                    <pic:cNvPr id="18" name="IM 18"/>
                    <pic:cNvPicPr/>
                  </pic:nvPicPr>
                  <pic:blipFill>
                    <a:blip r:embed="rId47"/>
                    <a:stretch>
                      <a:fillRect/>
                    </a:stretch>
                  </pic:blipFill>
                  <pic:spPr>
                    <a:xfrm rot="0">
                      <a:off x="0" y="0"/>
                      <a:ext cx="5766849" cy="7840168"/>
                    </a:xfrm>
                    <a:prstGeom prst="rect">
                      <a:avLst/>
                    </a:prstGeom>
                  </pic:spPr>
                </pic:pic>
              </a:graphicData>
            </a:graphic>
          </wp:inline>
        </w:drawing>
      </w:r>
    </w:p>
    <w:p>
      <w:pPr>
        <w:spacing w:line="12347" w:lineRule="exact"/>
        <w:sectPr>
          <w:footerReference w:type="default" r:id="rId46"/>
          <w:pgSz w:w="11900" w:h="16840"/>
          <w:pgMar w:top="642" w:right="0" w:bottom="340" w:left="0" w:header="326" w:footer="110" w:gutter="0"/>
        </w:sectPr>
        <w:rPr/>
      </w:pPr>
    </w:p>
    <w:p>
      <w:pPr>
        <w:pStyle w:val="BodyText"/>
        <w:spacing w:line="277" w:lineRule="auto"/>
        <w:rPr/>
      </w:pPr>
      <w:r>
        <w:pict>
          <v:shape id="_x0000_s284" style="position:absolute;margin-left:491.92pt;margin-top:44.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17" w:lineRule="exact"/>
        <w:rPr/>
      </w:pPr>
      <w:r>
        <w:pict>
          <v:shape id="_x0000_s286" style="position:absolute;margin-left:491.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88"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90" style="position:absolute;margin-left:86.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92" style="position:absolute;margin-left:-13.08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766849" cy="8011801"/>
            <wp:effectExtent l="0" t="0" r="0" b="0"/>
            <wp:docPr id="20" name="IM 20"/>
            <wp:cNvGraphicFramePr/>
            <a:graphic>
              <a:graphicData uri="http://schemas.openxmlformats.org/drawingml/2006/picture">
                <pic:pic>
                  <pic:nvPicPr>
                    <pic:cNvPr id="20" name="IM 20"/>
                    <pic:cNvPicPr/>
                  </pic:nvPicPr>
                  <pic:blipFill>
                    <a:blip r:embed="rId49"/>
                    <a:stretch>
                      <a:fillRect/>
                    </a:stretch>
                  </pic:blipFill>
                  <pic:spPr>
                    <a:xfrm rot="0">
                      <a:off x="0" y="0"/>
                      <a:ext cx="5766849" cy="8011801"/>
                    </a:xfrm>
                    <a:prstGeom prst="rect">
                      <a:avLst/>
                    </a:prstGeom>
                  </pic:spPr>
                </pic:pic>
              </a:graphicData>
            </a:graphic>
          </wp:inline>
        </w:drawing>
      </w:r>
    </w:p>
    <w:p>
      <w:pPr>
        <w:spacing w:line="12617" w:lineRule="exact"/>
        <w:sectPr>
          <w:footerReference w:type="default" r:id="rId48"/>
          <w:pgSz w:w="11900" w:h="16840"/>
          <w:pgMar w:top="642" w:right="0" w:bottom="340" w:left="0" w:header="326" w:footer="111" w:gutter="0"/>
        </w:sectPr>
        <w:rPr/>
      </w:pPr>
    </w:p>
    <w:p>
      <w:pPr>
        <w:pStyle w:val="BodyText"/>
        <w:spacing w:line="277" w:lineRule="auto"/>
        <w:rPr/>
      </w:pPr>
      <w:r>
        <w:pict>
          <v:shape id="_x0000_s294"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39" w:lineRule="exact"/>
        <w:rPr/>
      </w:pPr>
      <w:r>
        <w:pict>
          <v:shape id="_x0000_s296"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298"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300" style="position:absolute;margin-left:-13.08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02" style="position:absolute;margin-left:391.92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766849" cy="8025532"/>
            <wp:effectExtent l="0" t="0" r="0" b="0"/>
            <wp:docPr id="22" name="IM 22"/>
            <wp:cNvGraphicFramePr/>
            <a:graphic>
              <a:graphicData uri="http://schemas.openxmlformats.org/drawingml/2006/picture">
                <pic:pic>
                  <pic:nvPicPr>
                    <pic:cNvPr id="22" name="IM 22"/>
                    <pic:cNvPicPr/>
                  </pic:nvPicPr>
                  <pic:blipFill>
                    <a:blip r:embed="rId51"/>
                    <a:stretch>
                      <a:fillRect/>
                    </a:stretch>
                  </pic:blipFill>
                  <pic:spPr>
                    <a:xfrm rot="0">
                      <a:off x="0" y="0"/>
                      <a:ext cx="5766849" cy="8025532"/>
                    </a:xfrm>
                    <a:prstGeom prst="rect">
                      <a:avLst/>
                    </a:prstGeom>
                  </pic:spPr>
                </pic:pic>
              </a:graphicData>
            </a:graphic>
          </wp:inline>
        </w:drawing>
      </w:r>
    </w:p>
    <w:p>
      <w:pPr>
        <w:spacing w:line="12639" w:lineRule="exact"/>
        <w:sectPr>
          <w:footerReference w:type="default" r:id="rId50"/>
          <w:pgSz w:w="11900" w:h="16840"/>
          <w:pgMar w:top="642" w:right="0" w:bottom="340" w:left="0" w:header="326" w:footer="111" w:gutter="0"/>
        </w:sectPr>
        <w:rPr/>
      </w:pPr>
    </w:p>
    <w:p>
      <w:pPr>
        <w:pStyle w:val="BodyText"/>
        <w:spacing w:line="277" w:lineRule="auto"/>
        <w:rPr/>
      </w:pPr>
      <w:r>
        <w:pict>
          <v:shape id="_x0000_s304"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61" w:lineRule="exact"/>
        <w:rPr/>
      </w:pPr>
      <w:r>
        <w:pict>
          <v:shape id="_x0000_s306"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08" style="position:absolute;margin-left:491.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10"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12" style="position:absolute;margin-left:-13.08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766849" cy="8039263"/>
            <wp:effectExtent l="0" t="0" r="0" b="0"/>
            <wp:docPr id="24" name="IM 24"/>
            <wp:cNvGraphicFramePr/>
            <a:graphic>
              <a:graphicData uri="http://schemas.openxmlformats.org/drawingml/2006/picture">
                <pic:pic>
                  <pic:nvPicPr>
                    <pic:cNvPr id="24" name="IM 24"/>
                    <pic:cNvPicPr/>
                  </pic:nvPicPr>
                  <pic:blipFill>
                    <a:blip r:embed="rId53"/>
                    <a:stretch>
                      <a:fillRect/>
                    </a:stretch>
                  </pic:blipFill>
                  <pic:spPr>
                    <a:xfrm rot="0">
                      <a:off x="0" y="0"/>
                      <a:ext cx="5766849" cy="8039263"/>
                    </a:xfrm>
                    <a:prstGeom prst="rect">
                      <a:avLst/>
                    </a:prstGeom>
                  </pic:spPr>
                </pic:pic>
              </a:graphicData>
            </a:graphic>
          </wp:inline>
        </w:drawing>
      </w:r>
    </w:p>
    <w:p>
      <w:pPr>
        <w:spacing w:line="12661" w:lineRule="exact"/>
        <w:sectPr>
          <w:footerReference w:type="default" r:id="rId52"/>
          <w:pgSz w:w="11900" w:h="16840"/>
          <w:pgMar w:top="642" w:right="0" w:bottom="340" w:left="0" w:header="326" w:footer="111" w:gutter="0"/>
        </w:sectPr>
        <w:rPr/>
      </w:pPr>
    </w:p>
    <w:p>
      <w:pPr>
        <w:pStyle w:val="BodyText"/>
        <w:spacing w:line="277" w:lineRule="auto"/>
        <w:rPr/>
      </w:pPr>
      <w:r>
        <w:pict>
          <v:shape id="_x0000_s314" style="position:absolute;margin-left:491.92pt;margin-top:44.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098" w:lineRule="exact"/>
        <w:rPr/>
      </w:pPr>
      <w:r>
        <w:pict>
          <v:shape id="_x0000_s316" style="position:absolute;margin-left:391.92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18" style="position:absolute;margin-left:491.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20"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41"/>
        </w:rPr>
        <w:drawing>
          <wp:inline distT="0" distB="0" distL="0" distR="0">
            <wp:extent cx="5766849" cy="7682268"/>
            <wp:effectExtent l="0" t="0" r="0" b="0"/>
            <wp:docPr id="26" name="IM 26"/>
            <wp:cNvGraphicFramePr/>
            <a:graphic>
              <a:graphicData uri="http://schemas.openxmlformats.org/drawingml/2006/picture">
                <pic:pic>
                  <pic:nvPicPr>
                    <pic:cNvPr id="26" name="IM 26"/>
                    <pic:cNvPicPr/>
                  </pic:nvPicPr>
                  <pic:blipFill>
                    <a:blip r:embed="rId55"/>
                    <a:stretch>
                      <a:fillRect/>
                    </a:stretch>
                  </pic:blipFill>
                  <pic:spPr>
                    <a:xfrm rot="0">
                      <a:off x="0" y="0"/>
                      <a:ext cx="5766849" cy="7682268"/>
                    </a:xfrm>
                    <a:prstGeom prst="rect">
                      <a:avLst/>
                    </a:prstGeom>
                  </pic:spPr>
                </pic:pic>
              </a:graphicData>
            </a:graphic>
          </wp:inline>
        </w:drawing>
      </w:r>
    </w:p>
    <w:p>
      <w:pPr>
        <w:spacing w:line="12098" w:lineRule="exact"/>
        <w:sectPr>
          <w:footerReference w:type="default" r:id="rId54"/>
          <w:pgSz w:w="11900" w:h="16840"/>
          <w:pgMar w:top="642" w:right="0" w:bottom="340" w:left="0" w:header="326" w:footer="111" w:gutter="0"/>
        </w:sectPr>
        <w:rPr/>
      </w:pPr>
    </w:p>
    <w:p>
      <w:pPr>
        <w:pStyle w:val="BodyText"/>
        <w:spacing w:line="277" w:lineRule="auto"/>
        <w:rPr/>
      </w:pPr>
      <w:r>
        <w:pict>
          <v:shape id="_x0000_s324"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217" w:lineRule="exact"/>
        <w:rPr/>
      </w:pPr>
      <w:r>
        <w:pict>
          <v:shape id="_x0000_s326" style="position:absolute;margin-left:-13.08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28" style="position:absolute;margin-left:86.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30"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32" style="position:absolute;margin-left:491.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766849" cy="7757785"/>
            <wp:effectExtent l="0" t="0" r="0" b="0"/>
            <wp:docPr id="28" name="IM 28"/>
            <wp:cNvGraphicFramePr/>
            <a:graphic>
              <a:graphicData uri="http://schemas.openxmlformats.org/drawingml/2006/picture">
                <pic:pic>
                  <pic:nvPicPr>
                    <pic:cNvPr id="28" name="IM 28"/>
                    <pic:cNvPicPr/>
                  </pic:nvPicPr>
                  <pic:blipFill>
                    <a:blip r:embed="rId57"/>
                    <a:stretch>
                      <a:fillRect/>
                    </a:stretch>
                  </pic:blipFill>
                  <pic:spPr>
                    <a:xfrm rot="0">
                      <a:off x="0" y="0"/>
                      <a:ext cx="5766849" cy="7757785"/>
                    </a:xfrm>
                    <a:prstGeom prst="rect">
                      <a:avLst/>
                    </a:prstGeom>
                  </pic:spPr>
                </pic:pic>
              </a:graphicData>
            </a:graphic>
          </wp:inline>
        </w:drawing>
      </w:r>
    </w:p>
    <w:p>
      <w:pPr>
        <w:spacing w:line="12217" w:lineRule="exact"/>
        <w:sectPr>
          <w:footerReference w:type="default" r:id="rId56"/>
          <w:pgSz w:w="11900" w:h="16840"/>
          <w:pgMar w:top="642" w:right="0" w:bottom="340" w:left="0" w:header="326" w:footer="111" w:gutter="0"/>
        </w:sectPr>
        <w:rPr/>
      </w:pPr>
    </w:p>
    <w:p>
      <w:pPr>
        <w:pStyle w:val="BodyText"/>
        <w:spacing w:line="277" w:lineRule="auto"/>
        <w:rPr/>
      </w:pPr>
      <w:r>
        <w:pict>
          <v:shape id="_x0000_s334" style="position:absolute;margin-left:491.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747" w:lineRule="exact"/>
        <w:rPr/>
      </w:pPr>
      <w:r>
        <w:pict>
          <v:shape id="_x0000_s336"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38" style="position:absolute;margin-left:-13.08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40" style="position:absolute;margin-left:491.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42" style="position:absolute;margin-left:86.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5766849" cy="8094185"/>
            <wp:effectExtent l="0" t="0" r="0" b="0"/>
            <wp:docPr id="30" name="IM 30"/>
            <wp:cNvGraphicFramePr/>
            <a:graphic>
              <a:graphicData uri="http://schemas.openxmlformats.org/drawingml/2006/picture">
                <pic:pic>
                  <pic:nvPicPr>
                    <pic:cNvPr id="30" name="IM 30"/>
                    <pic:cNvPicPr/>
                  </pic:nvPicPr>
                  <pic:blipFill>
                    <a:blip r:embed="rId59"/>
                    <a:stretch>
                      <a:fillRect/>
                    </a:stretch>
                  </pic:blipFill>
                  <pic:spPr>
                    <a:xfrm rot="0">
                      <a:off x="0" y="0"/>
                      <a:ext cx="5766849" cy="8094185"/>
                    </a:xfrm>
                    <a:prstGeom prst="rect">
                      <a:avLst/>
                    </a:prstGeom>
                  </pic:spPr>
                </pic:pic>
              </a:graphicData>
            </a:graphic>
          </wp:inline>
        </w:drawing>
      </w:r>
    </w:p>
    <w:p>
      <w:pPr>
        <w:spacing w:line="12747" w:lineRule="exact"/>
        <w:sectPr>
          <w:footerReference w:type="default" r:id="rId58"/>
          <w:pgSz w:w="11900" w:h="16840"/>
          <w:pgMar w:top="642" w:right="0" w:bottom="340" w:left="0" w:header="326" w:footer="111" w:gutter="0"/>
        </w:sectPr>
        <w:rPr/>
      </w:pPr>
    </w:p>
    <w:p>
      <w:pPr>
        <w:pStyle w:val="BodyText"/>
        <w:spacing w:line="277" w:lineRule="auto"/>
        <w:rPr/>
      </w:pPr>
      <w:r>
        <w:pict>
          <v:shape id="_x0000_s344" style="position:absolute;margin-left:491.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293" w:lineRule="exact"/>
        <w:rPr/>
      </w:pPr>
      <w:r>
        <w:pict>
          <v:shape id="_x0000_s346"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48"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50" style="position:absolute;margin-left:86.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52" style="position:absolute;margin-left:491.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766849" cy="7805842"/>
            <wp:effectExtent l="0" t="0" r="0" b="0"/>
            <wp:docPr id="32" name="IM 32"/>
            <wp:cNvGraphicFramePr/>
            <a:graphic>
              <a:graphicData uri="http://schemas.openxmlformats.org/drawingml/2006/picture">
                <pic:pic>
                  <pic:nvPicPr>
                    <pic:cNvPr id="32" name="IM 32"/>
                    <pic:cNvPicPr/>
                  </pic:nvPicPr>
                  <pic:blipFill>
                    <a:blip r:embed="rId61"/>
                    <a:stretch>
                      <a:fillRect/>
                    </a:stretch>
                  </pic:blipFill>
                  <pic:spPr>
                    <a:xfrm rot="0">
                      <a:off x="0" y="0"/>
                      <a:ext cx="5766849" cy="7805842"/>
                    </a:xfrm>
                    <a:prstGeom prst="rect">
                      <a:avLst/>
                    </a:prstGeom>
                  </pic:spPr>
                </pic:pic>
              </a:graphicData>
            </a:graphic>
          </wp:inline>
        </w:drawing>
      </w:r>
    </w:p>
    <w:p>
      <w:pPr>
        <w:spacing w:line="12293" w:lineRule="exact"/>
        <w:sectPr>
          <w:footerReference w:type="default" r:id="rId60"/>
          <w:pgSz w:w="11900" w:h="16840"/>
          <w:pgMar w:top="642" w:right="0" w:bottom="340" w:left="0" w:header="326" w:footer="111" w:gutter="0"/>
        </w:sectPr>
        <w:rPr/>
      </w:pPr>
    </w:p>
    <w:p>
      <w:pPr>
        <w:pStyle w:val="BodyText"/>
        <w:spacing w:line="277" w:lineRule="auto"/>
        <w:rPr/>
      </w:pPr>
      <w:r>
        <w:pict>
          <v:shape id="_x0000_s354"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61" w:lineRule="exact"/>
        <w:rPr/>
      </w:pPr>
      <w:r>
        <w:pict>
          <v:shape id="_x0000_s356" style="position:absolute;margin-left:-13.08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58" style="position:absolute;margin-left:391.92pt;margin-top:228.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60" style="position:absolute;margin-left:86.92pt;margin-top:472.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62" style="position:absolute;margin-left:491.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766849" cy="8039263"/>
            <wp:effectExtent l="0" t="0" r="0" b="0"/>
            <wp:docPr id="34" name="IM 34"/>
            <wp:cNvGraphicFramePr/>
            <a:graphic>
              <a:graphicData uri="http://schemas.openxmlformats.org/drawingml/2006/picture">
                <pic:pic>
                  <pic:nvPicPr>
                    <pic:cNvPr id="34" name="IM 34"/>
                    <pic:cNvPicPr/>
                  </pic:nvPicPr>
                  <pic:blipFill>
                    <a:blip r:embed="rId63"/>
                    <a:stretch>
                      <a:fillRect/>
                    </a:stretch>
                  </pic:blipFill>
                  <pic:spPr>
                    <a:xfrm rot="0">
                      <a:off x="0" y="0"/>
                      <a:ext cx="5766849" cy="8039263"/>
                    </a:xfrm>
                    <a:prstGeom prst="rect">
                      <a:avLst/>
                    </a:prstGeom>
                  </pic:spPr>
                </pic:pic>
              </a:graphicData>
            </a:graphic>
          </wp:inline>
        </w:drawing>
      </w:r>
    </w:p>
    <w:p>
      <w:pPr>
        <w:spacing w:line="12661" w:lineRule="exact"/>
        <w:sectPr>
          <w:footerReference w:type="default" r:id="rId62"/>
          <w:pgSz w:w="11900" w:h="16840"/>
          <w:pgMar w:top="642" w:right="0" w:bottom="340" w:left="0" w:header="326" w:footer="111" w:gutter="0"/>
        </w:sectPr>
        <w:rPr/>
      </w:pPr>
    </w:p>
    <w:p>
      <w:pPr>
        <w:pStyle w:val="BodyText"/>
        <w:spacing w:line="277" w:lineRule="auto"/>
        <w:rPr/>
      </w:pPr>
      <w:r>
        <w:pict>
          <v:shape id="_x0000_s364" style="position:absolute;margin-left:491.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725" w:lineRule="exact"/>
        <w:rPr/>
      </w:pPr>
      <w:r>
        <w:pict>
          <v:shape id="_x0000_s366" style="position:absolute;margin-left:-13.08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68" style="position:absolute;margin-left:491.92pt;margin-top:472.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70" style="position:absolute;margin-left:391.92pt;margin-top:228.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72" style="position:absolute;margin-left:86.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5766849" cy="8080455"/>
            <wp:effectExtent l="0" t="0" r="0" b="0"/>
            <wp:docPr id="36" name="IM 36"/>
            <wp:cNvGraphicFramePr/>
            <a:graphic>
              <a:graphicData uri="http://schemas.openxmlformats.org/drawingml/2006/picture">
                <pic:pic>
                  <pic:nvPicPr>
                    <pic:cNvPr id="36" name="IM 36"/>
                    <pic:cNvPicPr/>
                  </pic:nvPicPr>
                  <pic:blipFill>
                    <a:blip r:embed="rId65"/>
                    <a:stretch>
                      <a:fillRect/>
                    </a:stretch>
                  </pic:blipFill>
                  <pic:spPr>
                    <a:xfrm rot="0">
                      <a:off x="0" y="0"/>
                      <a:ext cx="5766849" cy="8080455"/>
                    </a:xfrm>
                    <a:prstGeom prst="rect">
                      <a:avLst/>
                    </a:prstGeom>
                  </pic:spPr>
                </pic:pic>
              </a:graphicData>
            </a:graphic>
          </wp:inline>
        </w:drawing>
      </w:r>
    </w:p>
    <w:p>
      <w:pPr>
        <w:spacing w:line="12725" w:lineRule="exact"/>
        <w:sectPr>
          <w:footerReference w:type="default" r:id="rId64"/>
          <w:pgSz w:w="11900" w:h="16840"/>
          <w:pgMar w:top="642" w:right="0" w:bottom="340" w:left="0" w:header="326" w:footer="111" w:gutter="0"/>
        </w:sectPr>
        <w:rPr/>
      </w:pPr>
    </w:p>
    <w:p>
      <w:pPr>
        <w:pStyle w:val="BodyText"/>
        <w:spacing w:line="277" w:lineRule="auto"/>
        <w:rPr/>
      </w:pPr>
      <w:r>
        <w:pict>
          <v:shape id="_x0000_s374" style="position:absolute;margin-left:491.92pt;margin-top:44.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93" w:lineRule="exact"/>
        <w:rPr/>
      </w:pPr>
      <w:r>
        <w:pict>
          <v:shape id="_x0000_s376" style="position:absolute;margin-left:-13.08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378" style="position:absolute;margin-left:86.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80" style="position:absolute;margin-left:491.92pt;margin-top:472.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_x0000_s382" style="position:absolute;margin-left:391.92pt;margin-top:228.067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rPr>
          <w:position w:val="-253"/>
        </w:rPr>
        <w:drawing>
          <wp:inline distT="0" distB="0" distL="0" distR="0">
            <wp:extent cx="5766849" cy="8059859"/>
            <wp:effectExtent l="0" t="0" r="0" b="0"/>
            <wp:docPr id="38" name="IM 38"/>
            <wp:cNvGraphicFramePr/>
            <a:graphic>
              <a:graphicData uri="http://schemas.openxmlformats.org/drawingml/2006/picture">
                <pic:pic>
                  <pic:nvPicPr>
                    <pic:cNvPr id="38" name="IM 38"/>
                    <pic:cNvPicPr/>
                  </pic:nvPicPr>
                  <pic:blipFill>
                    <a:blip r:embed="rId67"/>
                    <a:stretch>
                      <a:fillRect/>
                    </a:stretch>
                  </pic:blipFill>
                  <pic:spPr>
                    <a:xfrm rot="0">
                      <a:off x="0" y="0"/>
                      <a:ext cx="5766849" cy="8059859"/>
                    </a:xfrm>
                    <a:prstGeom prst="rect">
                      <a:avLst/>
                    </a:prstGeom>
                  </pic:spPr>
                </pic:pic>
              </a:graphicData>
            </a:graphic>
          </wp:inline>
        </w:drawing>
      </w:r>
    </w:p>
    <w:p>
      <w:pPr>
        <w:spacing w:line="12693" w:lineRule="exact"/>
        <w:sectPr>
          <w:footerReference w:type="default" r:id="rId66"/>
          <w:pgSz w:w="11900" w:h="16840"/>
          <w:pgMar w:top="642" w:right="0" w:bottom="340" w:left="0" w:header="326" w:footer="111" w:gutter="0"/>
        </w:sectPr>
        <w:rPr/>
      </w:pPr>
    </w:p>
    <w:p>
      <w:pPr>
        <w:pStyle w:val="BodyText"/>
        <w:spacing w:line="277" w:lineRule="auto"/>
        <w:rPr/>
      </w:pPr>
      <w:r>
        <w:pict>
          <v:shape id="_x0000_s384" style="position:absolute;margin-left:491.92pt;margin-top:44.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28" w:lineRule="exact"/>
        <w:rPr/>
      </w:pPr>
      <w:r>
        <w:pict>
          <v:shape id="_x0000_s386" style="position:absolute;margin-left:-13.08pt;margin-top:228.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388" style="position:absolute;margin-left:391.92pt;margin-top:228.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390" style="position:absolute;margin-left:491.92pt;margin-top:472.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2.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766849" cy="8018667"/>
            <wp:effectExtent l="0" t="0" r="0" b="0"/>
            <wp:docPr id="40" name="IM 40"/>
            <wp:cNvGraphicFramePr/>
            <a:graphic>
              <a:graphicData uri="http://schemas.openxmlformats.org/drawingml/2006/picture">
                <pic:pic>
                  <pic:nvPicPr>
                    <pic:cNvPr id="40" name="IM 40"/>
                    <pic:cNvPicPr/>
                  </pic:nvPicPr>
                  <pic:blipFill>
                    <a:blip r:embed="rId69"/>
                    <a:stretch>
                      <a:fillRect/>
                    </a:stretch>
                  </pic:blipFill>
                  <pic:spPr>
                    <a:xfrm rot="0">
                      <a:off x="0" y="0"/>
                      <a:ext cx="5766849" cy="8018667"/>
                    </a:xfrm>
                    <a:prstGeom prst="rect">
                      <a:avLst/>
                    </a:prstGeom>
                  </pic:spPr>
                </pic:pic>
              </a:graphicData>
            </a:graphic>
          </wp:inline>
        </w:drawing>
      </w:r>
    </w:p>
    <w:p>
      <w:pPr>
        <w:spacing w:line="12628" w:lineRule="exact"/>
        <w:sectPr>
          <w:footerReference w:type="default" r:id="rId68"/>
          <w:pgSz w:w="11900" w:h="16840"/>
          <w:pgMar w:top="642" w:right="0" w:bottom="340" w:left="0" w:header="326" w:footer="111" w:gutter="0"/>
        </w:sectPr>
        <w:rPr/>
      </w:pPr>
    </w:p>
    <w:p>
      <w:pPr>
        <w:pStyle w:val="BodyText"/>
        <w:spacing w:line="277" w:lineRule="auto"/>
        <w:rPr/>
      </w:pPr>
      <w:r>
        <w:pict>
          <v:shape id="_x0000_s394" style="position:absolute;margin-left:491.92pt;margin-top:44.1055pt;mso-position-vertical-relative:page;mso-position-horizontal-relative:page;width:119.4pt;height:18.85pt;z-index:25174118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421"/>
        <w:spacing w:line="12607" w:lineRule="exact"/>
        <w:rPr/>
      </w:pPr>
      <w:r>
        <w:pict>
          <v:shape id="_x0000_s396" style="position:absolute;margin-left:-13.08pt;margin-top:228.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398" style="position:absolute;margin-left:86.92pt;margin-top:472.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400" style="position:absolute;margin-left:491.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02" style="position:absolute;margin-left:391.92pt;margin-top:228.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766849" cy="8004936"/>
            <wp:effectExtent l="0" t="0" r="0" b="0"/>
            <wp:docPr id="42" name="IM 42"/>
            <wp:cNvGraphicFramePr/>
            <a:graphic>
              <a:graphicData uri="http://schemas.openxmlformats.org/drawingml/2006/picture">
                <pic:pic>
                  <pic:nvPicPr>
                    <pic:cNvPr id="42" name="IM 42"/>
                    <pic:cNvPicPr/>
                  </pic:nvPicPr>
                  <pic:blipFill>
                    <a:blip r:embed="rId71"/>
                    <a:stretch>
                      <a:fillRect/>
                    </a:stretch>
                  </pic:blipFill>
                  <pic:spPr>
                    <a:xfrm rot="0">
                      <a:off x="0" y="0"/>
                      <a:ext cx="5766849" cy="8004936"/>
                    </a:xfrm>
                    <a:prstGeom prst="rect">
                      <a:avLst/>
                    </a:prstGeom>
                  </pic:spPr>
                </pic:pic>
              </a:graphicData>
            </a:graphic>
          </wp:inline>
        </w:drawing>
      </w:r>
    </w:p>
    <w:p>
      <w:pPr>
        <w:spacing w:line="12607" w:lineRule="exact"/>
        <w:sectPr>
          <w:footerReference w:type="default" r:id="rId70"/>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7"/>
      <w:bookmarkEnd w:id="47"/>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截至2025年3月27日，长治高新区翟店工业园事业服务中心共有公务用车编制1辆，实有1</w:t>
      </w:r>
      <w:r>
        <w:rPr>
          <w:rFonts w:ascii="FangSong" w:hAnsi="FangSong" w:eastAsia="FangSong" w:cs="FangSong"/>
          <w:sz w:val="23"/>
          <w:szCs w:val="23"/>
          <w:spacing w:val="9"/>
        </w:rPr>
        <w:t xml:space="preserve"> </w:t>
      </w:r>
      <w:r>
        <w:rPr>
          <w:rFonts w:ascii="FangSong" w:hAnsi="FangSong" w:eastAsia="FangSong" w:cs="FangSong"/>
          <w:sz w:val="23"/>
          <w:szCs w:val="23"/>
          <w:spacing w:val="5"/>
        </w:rPr>
        <w:t>辆，其中：领导用车0辆，机要通信用车0辆，应急保障用车0辆，执法执勤用车0辆，特种专</w:t>
      </w:r>
      <w:r>
        <w:rPr>
          <w:rFonts w:ascii="FangSong" w:hAnsi="FangSong" w:eastAsia="FangSong" w:cs="FangSong"/>
          <w:sz w:val="23"/>
          <w:szCs w:val="23"/>
          <w:spacing w:val="2"/>
        </w:rPr>
        <w:t xml:space="preserve"> </w:t>
      </w:r>
      <w:r>
        <w:rPr>
          <w:rFonts w:ascii="FangSong" w:hAnsi="FangSong" w:eastAsia="FangSong" w:cs="FangSong"/>
          <w:sz w:val="23"/>
          <w:szCs w:val="23"/>
        </w:rPr>
        <w:t>业技术用车0辆，事业单位业务用车1辆，其他公务用车0辆。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73" w:right="1223" w:firstLine="451"/>
        <w:spacing w:before="123" w:line="322" w:lineRule="auto"/>
        <w:rPr>
          <w:rFonts w:ascii="FangSong" w:hAnsi="FangSong" w:eastAsia="FangSong" w:cs="FangSong"/>
          <w:sz w:val="23"/>
          <w:szCs w:val="23"/>
        </w:rPr>
      </w:pPr>
      <w:r>
        <w:rPr>
          <w:rFonts w:ascii="FangSong" w:hAnsi="FangSong" w:eastAsia="FangSong" w:cs="FangSong"/>
          <w:sz w:val="23"/>
          <w:szCs w:val="23"/>
          <w:spacing w:val="6"/>
        </w:rPr>
        <w:t>截至2025年3月27</w:t>
      </w:r>
      <w:r>
        <w:rPr>
          <w:rFonts w:ascii="FangSong" w:hAnsi="FangSong" w:eastAsia="FangSong" w:cs="FangSong"/>
          <w:sz w:val="23"/>
          <w:szCs w:val="23"/>
          <w:spacing w:val="-36"/>
        </w:rPr>
        <w:t xml:space="preserve"> </w:t>
      </w:r>
      <w:r>
        <w:rPr>
          <w:rFonts w:ascii="FangSong" w:hAnsi="FangSong" w:eastAsia="FangSong" w:cs="FangSong"/>
          <w:sz w:val="23"/>
          <w:szCs w:val="23"/>
          <w:spacing w:val="6"/>
        </w:rPr>
        <w:t>日，长治高新区翟店工业园事业服务中心使用的办公用房建筑总面积</w:t>
      </w:r>
      <w:r>
        <w:rPr>
          <w:rFonts w:ascii="FangSong" w:hAnsi="FangSong" w:eastAsia="FangSong" w:cs="FangSong"/>
          <w:sz w:val="23"/>
          <w:szCs w:val="23"/>
        </w:rPr>
        <w:t xml:space="preserve"> </w:t>
      </w:r>
      <w:r>
        <w:rPr>
          <w:rFonts w:ascii="FangSong" w:hAnsi="FangSong" w:eastAsia="FangSong" w:cs="FangSong"/>
          <w:sz w:val="23"/>
          <w:szCs w:val="23"/>
          <w:spacing w:val="-3"/>
        </w:rPr>
        <w:t>1500平方米。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截至2025年3月27日，长治高新区翟店工业园事业服务中心占有使用价值50</w:t>
      </w:r>
      <w:r>
        <w:rPr>
          <w:rFonts w:ascii="FangSong" w:hAnsi="FangSong" w:eastAsia="FangSong" w:cs="FangSong"/>
          <w:sz w:val="23"/>
          <w:szCs w:val="23"/>
          <w:spacing w:val="1"/>
        </w:rPr>
        <w:t>万元（原值）</w:t>
      </w:r>
      <w:r>
        <w:rPr>
          <w:rFonts w:ascii="FangSong" w:hAnsi="FangSong" w:eastAsia="FangSong" w:cs="FangSong"/>
          <w:sz w:val="23"/>
          <w:szCs w:val="23"/>
        </w:rPr>
        <w:t xml:space="preserve"> </w:t>
      </w:r>
      <w:r>
        <w:rPr>
          <w:rFonts w:ascii="FangSong" w:hAnsi="FangSong" w:eastAsia="FangSong" w:cs="FangSong"/>
          <w:sz w:val="23"/>
          <w:szCs w:val="23"/>
          <w:spacing w:val="5"/>
        </w:rPr>
        <w:t>以上的通用设备0台（套</w:t>
      </w:r>
      <w:r>
        <w:rPr>
          <w:rFonts w:ascii="FangSong" w:hAnsi="FangSong" w:eastAsia="FangSong" w:cs="FangSong"/>
          <w:sz w:val="23"/>
          <w:szCs w:val="23"/>
          <w:spacing w:val="16"/>
        </w:rPr>
        <w:t>）；</w:t>
      </w:r>
      <w:r>
        <w:rPr>
          <w:rFonts w:ascii="FangSong" w:hAnsi="FangSong" w:eastAsia="FangSong" w:cs="FangSong"/>
          <w:sz w:val="23"/>
          <w:szCs w:val="23"/>
          <w:spacing w:val="5"/>
        </w:rPr>
        <w:t>长治高新区翟店工业</w:t>
      </w:r>
      <w:r>
        <w:rPr>
          <w:rFonts w:ascii="FangSong" w:hAnsi="FangSong" w:eastAsia="FangSong" w:cs="FangSong"/>
          <w:sz w:val="23"/>
          <w:szCs w:val="23"/>
          <w:spacing w:val="4"/>
        </w:rPr>
        <w:t>园事业服务中心占有使用价值100万元（原</w:t>
      </w:r>
      <w:r>
        <w:rPr>
          <w:rFonts w:ascii="FangSong" w:hAnsi="FangSong" w:eastAsia="FangSong" w:cs="FangSong"/>
          <w:sz w:val="23"/>
          <w:szCs w:val="23"/>
        </w:rPr>
        <w:t xml:space="preserve"> </w:t>
      </w:r>
      <w:r>
        <w:rPr>
          <w:rFonts w:ascii="FangSong" w:hAnsi="FangSong" w:eastAsia="FangSong" w:cs="FangSong"/>
          <w:sz w:val="23"/>
          <w:szCs w:val="23"/>
          <w:spacing w:val="-1"/>
        </w:rPr>
        <w:t>值）以上的通用设备0台（套）。</w:t>
      </w:r>
    </w:p>
    <w:p>
      <w:pPr>
        <w:ind w:left="1260"/>
        <w:spacing w:line="228"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9"/>
      <w:bookmarkEnd w:id="49"/>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3"/>
        </w:rPr>
        <w:t>（二）其他</w:t>
      </w:r>
    </w:p>
    <w:p>
      <w:pPr>
        <w:ind w:left="1264" w:right="1223" w:firstLine="461"/>
        <w:spacing w:before="252" w:line="330" w:lineRule="auto"/>
        <w:rPr>
          <w:rFonts w:ascii="FangSong" w:hAnsi="FangSong" w:eastAsia="FangSong" w:cs="FangSong"/>
          <w:sz w:val="23"/>
          <w:szCs w:val="23"/>
        </w:rPr>
      </w:pPr>
      <w:r>
        <w:rPr>
          <w:rFonts w:ascii="FangSong" w:hAnsi="FangSong" w:eastAsia="FangSong" w:cs="FangSong"/>
          <w:sz w:val="23"/>
          <w:szCs w:val="23"/>
          <w:spacing w:val="6"/>
        </w:rPr>
        <w:t>本单位专项资金主要用于党建工作，资金管</w:t>
      </w:r>
      <w:r>
        <w:rPr>
          <w:rFonts w:ascii="FangSong" w:hAnsi="FangSong" w:eastAsia="FangSong" w:cs="FangSong"/>
          <w:sz w:val="23"/>
          <w:szCs w:val="23"/>
          <w:spacing w:val="5"/>
        </w:rPr>
        <w:t>理遵循公开、择优、实效原则，资金分配和</w:t>
      </w:r>
      <w:r>
        <w:rPr>
          <w:rFonts w:ascii="FangSong" w:hAnsi="FangSong" w:eastAsia="FangSong" w:cs="FangSong"/>
          <w:sz w:val="23"/>
          <w:szCs w:val="23"/>
        </w:rPr>
        <w:t xml:space="preserve"> </w:t>
      </w:r>
      <w:r>
        <w:rPr>
          <w:rFonts w:ascii="FangSong" w:hAnsi="FangSong" w:eastAsia="FangSong" w:cs="FangSong"/>
          <w:sz w:val="23"/>
          <w:szCs w:val="23"/>
          <w:spacing w:val="-1"/>
        </w:rPr>
        <w:t>使用情况向社会公开，并接受有关部门的监督。</w:t>
      </w:r>
    </w:p>
    <w:p>
      <w:pPr>
        <w:spacing w:line="330" w:lineRule="auto"/>
        <w:sectPr>
          <w:headerReference w:type="default" r:id="rId5"/>
          <w:footerReference w:type="default" r:id="rId72"/>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404" style="position:absolute;margin-left:491.92pt;margin-top:44.1055pt;mso-position-vertical-relative:page;mso-position-horizontal-relative:page;width:119.4pt;height:18.85pt;z-index:2517544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91"/>
        <w:spacing w:line="13309" w:lineRule="exact"/>
        <w:rPr/>
      </w:pPr>
      <w:r>
        <w:pict>
          <v:shape id="_x0000_s406" style="position:absolute;margin-left:-13.08pt;margin-top:228.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408" style="position:absolute;margin-left:491.92pt;margin-top:472.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10" style="position:absolute;margin-left:391.92pt;margin-top:228.067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pict>
          <v:shape id="_x0000_s412" style="position:absolute;margin-left:86.92pt;margin-top:472.067pt;mso-position-vertical-relative:text;mso-position-horizontal-relative:text;width:119.4pt;height:18.85pt;z-index:251753472;rotation:330;" fillcolor="#404040" filled="true" stroked="false" type="#_x0000_t136">
            <v:fill opacity="0.400000"/>
            <v:textpath style="font-family:&quot;SimSun&quot;;font-size:20;v-text-kern:t;mso-text-shadow:auto" string="仅供内部审核"/>
          </v:shape>
        </w:pict>
      </w:r>
      <w:r>
        <w:rPr>
          <w:position w:val="-266"/>
        </w:rPr>
        <w:drawing>
          <wp:inline distT="0" distB="0" distL="0" distR="0">
            <wp:extent cx="5931618" cy="8451181"/>
            <wp:effectExtent l="0" t="0" r="0" b="0"/>
            <wp:docPr id="44" name="IM 44"/>
            <wp:cNvGraphicFramePr/>
            <a:graphic>
              <a:graphicData uri="http://schemas.openxmlformats.org/drawingml/2006/picture">
                <pic:pic>
                  <pic:nvPicPr>
                    <pic:cNvPr id="44" name="IM 44"/>
                    <pic:cNvPicPr/>
                  </pic:nvPicPr>
                  <pic:blipFill>
                    <a:blip r:embed="rId74"/>
                    <a:stretch>
                      <a:fillRect/>
                    </a:stretch>
                  </pic:blipFill>
                  <pic:spPr>
                    <a:xfrm rot="0">
                      <a:off x="0" y="0"/>
                      <a:ext cx="5931618" cy="8451181"/>
                    </a:xfrm>
                    <a:prstGeom prst="rect">
                      <a:avLst/>
                    </a:prstGeom>
                  </pic:spPr>
                </pic:pic>
              </a:graphicData>
            </a:graphic>
          </wp:inline>
        </w:drawing>
      </w:r>
    </w:p>
    <w:p>
      <w:pPr>
        <w:spacing w:line="13309" w:lineRule="exact"/>
        <w:sectPr>
          <w:headerReference w:type="default" r:id="rId37"/>
          <w:footerReference w:type="default" r:id="rId73"/>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1"/>
      <w:bookmarkEnd w:id="5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5"/>
      <w:footerReference w:type="default" r:id="rId75"/>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5"/>
    <w:bookmarkEnd w:id="45"/>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0" w:id="46"/>
    <w:bookmarkEnd w:id="46"/>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72" style="position:absolute;margin-left:86.92pt;margin-top:27.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9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08"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4048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32"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42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523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02" style="position:absolute;margin-left:-13.08pt;margin-top:28.7633pt;mso-position-vertical-relative:text;mso-position-horizontal-relative:text;width:119.4pt;height:18.85pt;z-index:-251599872;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312.92pt;margin-top:45.105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2" style="position:absolute;margin-left:280.957pt;margin-top:406.395pt;mso-position-vertical-relative:page;mso-position-horizontal-relative:page;width:609.35pt;height:22.25pt;z-index:-25160704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638.92pt;margin-top:529.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_x0000_s116" style="position:absolute;margin-left:30pt;margin-top:29.5pt;mso-position-vertical-relative:page;mso-position-horizontal-relative:page;width:782pt;height:1pt;z-index:-251602944;"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18" style="position:absolute;margin-left:86.92pt;margin-top:27.7633pt;mso-position-vertical-relative:text;mso-position-horizontal-relative:text;width:119.4pt;height:18.85pt;z-index:-251590656;rotation:330;" fillcolor="#404040" filled="true" stroked="false" type="#_x0000_t136">
          <v:fill opacity="0.400000"/>
          <v:textpath style="font-family:&quot;SimSun&quot;;font-size:20;v-text-kern:t;mso-text-shadow:auto" string="仅供内部审核"/>
        </v:shape>
      </w:pict>
    </w:r>
    <w:r>
      <w:pict>
        <v:shape id="PowerPlusWaterMarkObject120"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391.92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86.92pt;margin-top:532.106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34" style="position:absolute;margin-left:30pt;margin-top:29.5pt;mso-position-vertical-relative:page;mso-position-horizontal-relative:page;width:535pt;height:1pt;z-index:-2515927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36" style="position:absolute;margin-left:86.92pt;margin-top:27.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pict>
        <v:shape id="PowerPlusWaterMarkObject138"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长治高新区翟店工业园事业服务中心2025年单位预算公</w:t>
    </w:r>
    <w:r>
      <w:rPr>
        <w:rFonts w:ascii="SimSun" w:hAnsi="SimSun" w:eastAsia="SimSun" w:cs="SimSun"/>
        <w:sz w:val="16"/>
        <w:szCs w:val="16"/>
        <w:spacing w:val="-2"/>
        <w:position w:val="1"/>
      </w:rPr>
      <w:t>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8" Type="http://schemas.openxmlformats.org/officeDocument/2006/relationships/fontTable" Target="fontTable.xml"/><Relationship Id="rId77" Type="http://schemas.openxmlformats.org/officeDocument/2006/relationships/styles" Target="styles.xml"/><Relationship Id="rId76" Type="http://schemas.openxmlformats.org/officeDocument/2006/relationships/settings" Target="settings.xml"/><Relationship Id="rId75" Type="http://schemas.openxmlformats.org/officeDocument/2006/relationships/footer" Target="footer39.xml"/><Relationship Id="rId74" Type="http://schemas.openxmlformats.org/officeDocument/2006/relationships/image" Target="media/image22.png"/><Relationship Id="rId73" Type="http://schemas.openxmlformats.org/officeDocument/2006/relationships/footer" Target="footer38.xml"/><Relationship Id="rId72" Type="http://schemas.openxmlformats.org/officeDocument/2006/relationships/footer" Target="footer37.xml"/><Relationship Id="rId71" Type="http://schemas.openxmlformats.org/officeDocument/2006/relationships/image" Target="media/image21.png"/><Relationship Id="rId70" Type="http://schemas.openxmlformats.org/officeDocument/2006/relationships/footer" Target="footer36.xml"/><Relationship Id="rId7" Type="http://schemas.openxmlformats.org/officeDocument/2006/relationships/header" Target="header5.xml"/><Relationship Id="rId69" Type="http://schemas.openxmlformats.org/officeDocument/2006/relationships/image" Target="media/image20.png"/><Relationship Id="rId68" Type="http://schemas.openxmlformats.org/officeDocument/2006/relationships/footer" Target="footer35.xml"/><Relationship Id="rId67" Type="http://schemas.openxmlformats.org/officeDocument/2006/relationships/image" Target="media/image19.png"/><Relationship Id="rId66" Type="http://schemas.openxmlformats.org/officeDocument/2006/relationships/footer" Target="footer34.xml"/><Relationship Id="rId65" Type="http://schemas.openxmlformats.org/officeDocument/2006/relationships/image" Target="media/image18.png"/><Relationship Id="rId64" Type="http://schemas.openxmlformats.org/officeDocument/2006/relationships/footer" Target="footer33.xml"/><Relationship Id="rId63" Type="http://schemas.openxmlformats.org/officeDocument/2006/relationships/image" Target="media/image17.png"/><Relationship Id="rId62" Type="http://schemas.openxmlformats.org/officeDocument/2006/relationships/footer" Target="footer32.xml"/><Relationship Id="rId61" Type="http://schemas.openxmlformats.org/officeDocument/2006/relationships/image" Target="media/image16.png"/><Relationship Id="rId60" Type="http://schemas.openxmlformats.org/officeDocument/2006/relationships/footer" Target="footer31.xml"/><Relationship Id="rId6" Type="http://schemas.openxmlformats.org/officeDocument/2006/relationships/footer" Target="footer1.xml"/><Relationship Id="rId59" Type="http://schemas.openxmlformats.org/officeDocument/2006/relationships/image" Target="media/image15.png"/><Relationship Id="rId58" Type="http://schemas.openxmlformats.org/officeDocument/2006/relationships/footer" Target="footer30.xml"/><Relationship Id="rId57" Type="http://schemas.openxmlformats.org/officeDocument/2006/relationships/image" Target="media/image14.png"/><Relationship Id="rId56" Type="http://schemas.openxmlformats.org/officeDocument/2006/relationships/footer" Target="footer29.xml"/><Relationship Id="rId55" Type="http://schemas.openxmlformats.org/officeDocument/2006/relationships/image" Target="media/image13.png"/><Relationship Id="rId54" Type="http://schemas.openxmlformats.org/officeDocument/2006/relationships/footer" Target="footer28.xml"/><Relationship Id="rId53" Type="http://schemas.openxmlformats.org/officeDocument/2006/relationships/image" Target="media/image12.png"/><Relationship Id="rId52" Type="http://schemas.openxmlformats.org/officeDocument/2006/relationships/footer" Target="footer27.xml"/><Relationship Id="rId51" Type="http://schemas.openxmlformats.org/officeDocument/2006/relationships/image" Target="media/image11.png"/><Relationship Id="rId50" Type="http://schemas.openxmlformats.org/officeDocument/2006/relationships/footer" Target="footer26.xml"/><Relationship Id="rId5" Type="http://schemas.openxmlformats.org/officeDocument/2006/relationships/header" Target="header4.xml"/><Relationship Id="rId49" Type="http://schemas.openxmlformats.org/officeDocument/2006/relationships/image" Target="media/image10.png"/><Relationship Id="rId48" Type="http://schemas.openxmlformats.org/officeDocument/2006/relationships/footer" Target="footer25.xml"/><Relationship Id="rId47" Type="http://schemas.openxmlformats.org/officeDocument/2006/relationships/image" Target="media/image9.png"/><Relationship Id="rId46" Type="http://schemas.openxmlformats.org/officeDocument/2006/relationships/footer" Target="footer24.xml"/><Relationship Id="rId45" Type="http://schemas.openxmlformats.org/officeDocument/2006/relationships/image" Target="media/image8.png"/><Relationship Id="rId44" Type="http://schemas.openxmlformats.org/officeDocument/2006/relationships/footer" Target="footer23.xml"/><Relationship Id="rId43" Type="http://schemas.openxmlformats.org/officeDocument/2006/relationships/image" Target="media/image7.png"/><Relationship Id="rId42" Type="http://schemas.openxmlformats.org/officeDocument/2006/relationships/footer" Target="footer22.xml"/><Relationship Id="rId41" Type="http://schemas.openxmlformats.org/officeDocument/2006/relationships/image" Target="media/image6.png"/><Relationship Id="rId40" Type="http://schemas.openxmlformats.org/officeDocument/2006/relationships/footer" Target="footer21.xml"/><Relationship Id="rId4" Type="http://schemas.openxmlformats.org/officeDocument/2006/relationships/header" Target="header3.xml"/><Relationship Id="rId39" Type="http://schemas.openxmlformats.org/officeDocument/2006/relationships/image" Target="media/image5.png"/><Relationship Id="rId38" Type="http://schemas.openxmlformats.org/officeDocument/2006/relationships/footer" Target="footer20.xml"/><Relationship Id="rId37" Type="http://schemas.openxmlformats.org/officeDocument/2006/relationships/header" Target="header14.xml"/><Relationship Id="rId36" Type="http://schemas.openxmlformats.org/officeDocument/2006/relationships/footer" Target="footer19.xml"/><Relationship Id="rId35" Type="http://schemas.openxmlformats.org/officeDocument/2006/relationships/header" Target="header13.xml"/><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footer" Target="footer18.xml"/><Relationship Id="rId31" Type="http://schemas.openxmlformats.org/officeDocument/2006/relationships/image" Target="media/image2.png"/><Relationship Id="rId30" Type="http://schemas.openxmlformats.org/officeDocument/2006/relationships/footer" Target="footer17.xml"/><Relationship Id="rId3" Type="http://schemas.openxmlformats.org/officeDocument/2006/relationships/image" Target="media/image1.png"/><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2025-03-28T20:38:58Z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2025-04-02T10:46:06</vt:filetime>
  </property>
</Properties>
</file>