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59"/>
        <w:spacing w:before="139" w:line="219" w:lineRule="auto"/>
        <w:rPr>
          <w:rFonts w:ascii="SimSun" w:hAnsi="SimSun" w:eastAsia="SimSun" w:cs="SimSun"/>
          <w:sz w:val="43"/>
          <w:szCs w:val="43"/>
        </w:rPr>
      </w:pPr>
      <w:r>
        <w:rPr>
          <w:rFonts w:ascii="SimSun" w:hAnsi="SimSun" w:eastAsia="SimSun" w:cs="SimSun"/>
          <w:sz w:val="43"/>
          <w:szCs w:val="43"/>
          <w:spacing w:val="104"/>
        </w:rPr>
        <w:t>长治高新区翟店工业园事业服务中心</w:t>
      </w:r>
    </w:p>
    <w:p>
      <w:pPr>
        <w:pStyle w:val="BodyText"/>
        <w:spacing w:line="378"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9"/>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4"/>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8"/>
          <w:position w:val="2"/>
        </w:rPr>
        <w:t xml:space="preserve"> </w:t>
      </w:r>
      <w:r>
        <w:rPr>
          <w:rFonts w:ascii="SimSun" w:hAnsi="SimSun" w:eastAsia="SimSun" w:cs="SimSun"/>
          <w:sz w:val="43"/>
          <w:szCs w:val="43"/>
          <w:spacing w:val="4"/>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37</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37</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37</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39</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15" w:right="1474" w:firstLine="557"/>
        <w:spacing w:before="284" w:line="309" w:lineRule="auto"/>
        <w:rPr>
          <w:rFonts w:ascii="FangSong" w:hAnsi="FangSong" w:eastAsia="FangSong" w:cs="FangSong"/>
          <w:sz w:val="24"/>
          <w:szCs w:val="24"/>
        </w:rPr>
      </w:pPr>
      <w:r>
        <w:rPr>
          <w:rFonts w:ascii="FangSong" w:hAnsi="FangSong" w:eastAsia="FangSong" w:cs="FangSong"/>
          <w:sz w:val="24"/>
          <w:szCs w:val="24"/>
          <w:spacing w:val="11"/>
        </w:rPr>
        <w:t>统筹翟店工业园区政企服务工作;统筹园区征地</w:t>
      </w:r>
      <w:r>
        <w:rPr>
          <w:rFonts w:ascii="FangSong" w:hAnsi="FangSong" w:eastAsia="FangSong" w:cs="FangSong"/>
          <w:sz w:val="24"/>
          <w:szCs w:val="24"/>
          <w:spacing w:val="-60"/>
        </w:rPr>
        <w:t xml:space="preserve"> </w:t>
      </w:r>
      <w:r>
        <w:rPr>
          <w:rFonts w:ascii="FangSong" w:hAnsi="FangSong" w:eastAsia="FangSong" w:cs="FangSong"/>
          <w:sz w:val="24"/>
          <w:szCs w:val="24"/>
          <w:spacing w:val="11"/>
        </w:rPr>
        <w:t>、拆迁和入区项</w:t>
      </w:r>
      <w:r>
        <w:rPr>
          <w:rFonts w:ascii="FangSong" w:hAnsi="FangSong" w:eastAsia="FangSong" w:cs="FangSong"/>
          <w:sz w:val="24"/>
          <w:szCs w:val="24"/>
          <w:spacing w:val="-44"/>
        </w:rPr>
        <w:t xml:space="preserve"> </w:t>
      </w:r>
      <w:r>
        <w:rPr>
          <w:rFonts w:ascii="FangSong" w:hAnsi="FangSong" w:eastAsia="FangSong" w:cs="FangSong"/>
          <w:sz w:val="24"/>
          <w:szCs w:val="24"/>
          <w:spacing w:val="11"/>
        </w:rPr>
        <w:t>目落地</w:t>
      </w:r>
      <w:r>
        <w:rPr>
          <w:rFonts w:ascii="FangSong" w:hAnsi="FangSong" w:eastAsia="FangSong" w:cs="FangSong"/>
          <w:sz w:val="24"/>
          <w:szCs w:val="24"/>
          <w:spacing w:val="-68"/>
        </w:rPr>
        <w:t xml:space="preserve"> </w:t>
      </w:r>
      <w:r>
        <w:rPr>
          <w:rFonts w:ascii="FangSong" w:hAnsi="FangSong" w:eastAsia="FangSong" w:cs="FangSong"/>
          <w:sz w:val="24"/>
          <w:szCs w:val="24"/>
          <w:spacing w:val="11"/>
        </w:rPr>
        <w:t>、建</w:t>
      </w:r>
      <w:r>
        <w:rPr>
          <w:rFonts w:ascii="FangSong" w:hAnsi="FangSong" w:eastAsia="FangSong" w:cs="FangSong"/>
          <w:sz w:val="24"/>
          <w:szCs w:val="24"/>
        </w:rPr>
        <w:t xml:space="preserve"> </w:t>
      </w:r>
      <w:r>
        <w:rPr>
          <w:rFonts w:ascii="FangSong" w:hAnsi="FangSong" w:eastAsia="FangSong" w:cs="FangSong"/>
          <w:sz w:val="24"/>
          <w:szCs w:val="24"/>
          <w:spacing w:val="1"/>
        </w:rPr>
        <w:t>设、</w:t>
      </w:r>
      <w:r>
        <w:rPr>
          <w:rFonts w:ascii="FangSong" w:hAnsi="FangSong" w:eastAsia="FangSong" w:cs="FangSong"/>
          <w:sz w:val="24"/>
          <w:szCs w:val="24"/>
          <w:spacing w:val="1"/>
        </w:rPr>
        <w:t xml:space="preserve"> </w:t>
      </w:r>
      <w:r>
        <w:rPr>
          <w:rFonts w:ascii="FangSong" w:hAnsi="FangSong" w:eastAsia="FangSong" w:cs="FangSong"/>
          <w:sz w:val="24"/>
          <w:szCs w:val="24"/>
          <w:spacing w:val="1"/>
        </w:rPr>
        <w:t>基础配套工作;落实高新区关于产业发展的总体部署，协</w:t>
      </w:r>
      <w:r>
        <w:rPr>
          <w:rFonts w:ascii="FangSong" w:hAnsi="FangSong" w:eastAsia="FangSong" w:cs="FangSong"/>
          <w:sz w:val="24"/>
          <w:szCs w:val="24"/>
        </w:rPr>
        <w:t>调统计部门做好监测、</w:t>
      </w:r>
      <w:r>
        <w:rPr>
          <w:rFonts w:ascii="FangSong" w:hAnsi="FangSong" w:eastAsia="FangSong" w:cs="FangSong"/>
          <w:sz w:val="24"/>
          <w:szCs w:val="24"/>
        </w:rPr>
        <w:t xml:space="preserve"> </w:t>
      </w:r>
      <w:r>
        <w:rPr>
          <w:rFonts w:ascii="FangSong" w:hAnsi="FangSong" w:eastAsia="FangSong" w:cs="FangSong"/>
          <w:sz w:val="24"/>
          <w:szCs w:val="24"/>
          <w:spacing w:val="10"/>
        </w:rPr>
        <w:t>统</w:t>
      </w:r>
      <w:r>
        <w:rPr>
          <w:rFonts w:ascii="FangSong" w:hAnsi="FangSong" w:eastAsia="FangSong" w:cs="FangSong"/>
          <w:sz w:val="24"/>
          <w:szCs w:val="24"/>
          <w:spacing w:val="10"/>
        </w:rPr>
        <w:t xml:space="preserve">  </w:t>
      </w:r>
      <w:r>
        <w:rPr>
          <w:rFonts w:ascii="FangSong" w:hAnsi="FangSong" w:eastAsia="FangSong" w:cs="FangSong"/>
          <w:sz w:val="24"/>
          <w:szCs w:val="24"/>
          <w:spacing w:val="10"/>
        </w:rPr>
        <w:t>计、分析并预测园区产业发展态势，提出政策建议;负责园区基础设施建设方</w:t>
      </w:r>
      <w:r>
        <w:rPr>
          <w:rFonts w:ascii="FangSong" w:hAnsi="FangSong" w:eastAsia="FangSong" w:cs="FangSong"/>
          <w:sz w:val="24"/>
          <w:szCs w:val="24"/>
          <w:spacing w:val="18"/>
        </w:rPr>
        <w:t xml:space="preserve"> </w:t>
      </w:r>
      <w:r>
        <w:rPr>
          <w:rFonts w:ascii="FangSong" w:hAnsi="FangSong" w:eastAsia="FangSong" w:cs="FangSong"/>
          <w:sz w:val="24"/>
          <w:szCs w:val="24"/>
          <w:spacing w:val="1"/>
        </w:rPr>
        <w:t>案、预</w:t>
      </w:r>
      <w:r>
        <w:rPr>
          <w:rFonts w:ascii="FangSong" w:hAnsi="FangSong" w:eastAsia="FangSong" w:cs="FangSong"/>
          <w:sz w:val="24"/>
          <w:szCs w:val="24"/>
          <w:spacing w:val="1"/>
        </w:rPr>
        <w:t xml:space="preserve"> </w:t>
      </w:r>
      <w:r>
        <w:rPr>
          <w:rFonts w:ascii="FangSong" w:hAnsi="FangSong" w:eastAsia="FangSong" w:cs="FangSong"/>
          <w:sz w:val="24"/>
          <w:szCs w:val="24"/>
          <w:spacing w:val="1"/>
        </w:rPr>
        <w:t>算编制工作和建设维护、管理运行工作;负责园区企业</w:t>
      </w:r>
      <w:r>
        <w:rPr>
          <w:rFonts w:ascii="FangSong" w:hAnsi="FangSong" w:eastAsia="FangSong" w:cs="FangSong"/>
          <w:sz w:val="24"/>
          <w:szCs w:val="24"/>
        </w:rPr>
        <w:t>生产、科技、开发等方</w:t>
      </w:r>
      <w:r>
        <w:rPr>
          <w:rFonts w:ascii="FangSong" w:hAnsi="FangSong" w:eastAsia="FangSong" w:cs="FangSong"/>
          <w:sz w:val="24"/>
          <w:szCs w:val="24"/>
        </w:rPr>
        <w:t xml:space="preserve"> </w:t>
      </w:r>
      <w:r>
        <w:rPr>
          <w:rFonts w:ascii="FangSong" w:hAnsi="FangSong" w:eastAsia="FangSong" w:cs="FangSong"/>
          <w:sz w:val="24"/>
          <w:szCs w:val="24"/>
          <w:spacing w:val="1"/>
        </w:rPr>
        <w:t>面的推</w:t>
      </w:r>
      <w:r>
        <w:rPr>
          <w:rFonts w:ascii="FangSong" w:hAnsi="FangSong" w:eastAsia="FangSong" w:cs="FangSong"/>
          <w:sz w:val="24"/>
          <w:szCs w:val="24"/>
          <w:spacing w:val="1"/>
        </w:rPr>
        <w:t xml:space="preserve"> </w:t>
      </w:r>
      <w:r>
        <w:rPr>
          <w:rFonts w:ascii="FangSong" w:hAnsi="FangSong" w:eastAsia="FangSong" w:cs="FangSong"/>
          <w:sz w:val="24"/>
          <w:szCs w:val="24"/>
          <w:spacing w:val="1"/>
        </w:rPr>
        <w:t>进服务工作;负责园区绿化环卫工作;负责园区党的建</w:t>
      </w:r>
      <w:r>
        <w:rPr>
          <w:rFonts w:ascii="FangSong" w:hAnsi="FangSong" w:eastAsia="FangSong" w:cs="FangSong"/>
          <w:sz w:val="24"/>
          <w:szCs w:val="24"/>
        </w:rPr>
        <w:t>设工作;负责园区信访稳</w:t>
      </w:r>
      <w:r>
        <w:rPr>
          <w:rFonts w:ascii="FangSong" w:hAnsi="FangSong" w:eastAsia="FangSong" w:cs="FangSong"/>
          <w:sz w:val="24"/>
          <w:szCs w:val="24"/>
        </w:rPr>
        <w:t xml:space="preserve"> </w:t>
      </w:r>
      <w:r>
        <w:rPr>
          <w:rFonts w:ascii="FangSong" w:hAnsi="FangSong" w:eastAsia="FangSong" w:cs="FangSong"/>
          <w:sz w:val="24"/>
          <w:szCs w:val="24"/>
          <w:spacing w:val="-9"/>
        </w:rPr>
        <w:t>定工作。</w:t>
      </w:r>
    </w:p>
    <w:p>
      <w:pPr>
        <w:ind w:left="1513"/>
        <w:spacing w:before="167"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6" w:right="1474" w:firstLine="483"/>
        <w:spacing w:before="117" w:line="306" w:lineRule="auto"/>
        <w:jc w:val="both"/>
        <w:rPr>
          <w:rFonts w:ascii="FangSong" w:hAnsi="FangSong" w:eastAsia="FangSong" w:cs="FangSong"/>
          <w:sz w:val="24"/>
          <w:szCs w:val="24"/>
        </w:rPr>
      </w:pPr>
      <w:r>
        <w:rPr>
          <w:rFonts w:ascii="FangSong" w:hAnsi="FangSong" w:eastAsia="FangSong" w:cs="FangSong"/>
          <w:sz w:val="24"/>
          <w:szCs w:val="24"/>
          <w:spacing w:val="1"/>
        </w:rPr>
        <w:t>长治高新区翟店工业园事业服务中心为财政拨款事业</w:t>
      </w:r>
      <w:r>
        <w:rPr>
          <w:rFonts w:ascii="FangSong" w:hAnsi="FangSong" w:eastAsia="FangSong" w:cs="FangSong"/>
          <w:sz w:val="24"/>
          <w:szCs w:val="24"/>
        </w:rPr>
        <w:t>单位，副县级建制，核定编</w:t>
      </w:r>
      <w:r>
        <w:rPr>
          <w:rFonts w:ascii="FangSong" w:hAnsi="FangSong" w:eastAsia="FangSong" w:cs="FangSong"/>
          <w:sz w:val="24"/>
          <w:szCs w:val="24"/>
        </w:rPr>
        <w:t xml:space="preserve"> </w:t>
      </w:r>
      <w:r>
        <w:rPr>
          <w:rFonts w:ascii="FangSong" w:hAnsi="FangSong" w:eastAsia="FangSong" w:cs="FangSong"/>
          <w:sz w:val="24"/>
          <w:szCs w:val="24"/>
          <w:spacing w:val="3"/>
        </w:rPr>
        <w:t>制12名，副县级领导职数1名、正科级领</w:t>
      </w:r>
      <w:r>
        <w:rPr>
          <w:rFonts w:ascii="FangSong" w:hAnsi="FangSong" w:eastAsia="FangSong" w:cs="FangSong"/>
          <w:sz w:val="24"/>
          <w:szCs w:val="24"/>
          <w:spacing w:val="2"/>
        </w:rPr>
        <w:t>导职数</w:t>
      </w:r>
      <w:r>
        <w:rPr>
          <w:rFonts w:ascii="FangSong" w:hAnsi="FangSong" w:eastAsia="FangSong" w:cs="FangSong"/>
          <w:sz w:val="24"/>
          <w:szCs w:val="24"/>
          <w:spacing w:val="2"/>
        </w:rPr>
        <w:t xml:space="preserve"> </w:t>
      </w:r>
      <w:r>
        <w:rPr>
          <w:rFonts w:ascii="FangSong" w:hAnsi="FangSong" w:eastAsia="FangSong" w:cs="FangSong"/>
          <w:sz w:val="24"/>
          <w:szCs w:val="24"/>
          <w:spacing w:val="2"/>
        </w:rPr>
        <w:t>5名，</w:t>
      </w:r>
      <w:r>
        <w:rPr>
          <w:rFonts w:ascii="FangSong" w:hAnsi="FangSong" w:eastAsia="FangSong" w:cs="FangSong"/>
          <w:sz w:val="24"/>
          <w:szCs w:val="24"/>
          <w:spacing w:val="-70"/>
        </w:rPr>
        <w:t xml:space="preserve"> </w:t>
      </w:r>
      <w:r>
        <w:rPr>
          <w:rFonts w:ascii="FangSong" w:hAnsi="FangSong" w:eastAsia="FangSong" w:cs="FangSong"/>
          <w:sz w:val="24"/>
          <w:szCs w:val="24"/>
          <w:spacing w:val="2"/>
        </w:rPr>
        <w:t>内设综合科、企业服务科，招</w:t>
      </w:r>
      <w:r>
        <w:rPr>
          <w:rFonts w:ascii="FangSong" w:hAnsi="FangSong" w:eastAsia="FangSong" w:cs="FangSong"/>
          <w:sz w:val="24"/>
          <w:szCs w:val="24"/>
        </w:rPr>
        <w:t xml:space="preserve"> </w:t>
      </w:r>
      <w:r>
        <w:rPr>
          <w:rFonts w:ascii="FangSong" w:hAnsi="FangSong" w:eastAsia="FangSong" w:cs="FangSong"/>
          <w:sz w:val="24"/>
          <w:szCs w:val="24"/>
          <w:spacing w:val="-2"/>
        </w:rPr>
        <w:t>商引资与项目建设科均为正科级建制，共核定副科级领导职数2名。</w:t>
      </w:r>
    </w:p>
    <w:p>
      <w:pPr>
        <w:ind w:left="1536" w:right="1475" w:firstLine="463"/>
        <w:spacing w:before="6" w:line="306" w:lineRule="auto"/>
        <w:rPr>
          <w:rFonts w:ascii="FangSong" w:hAnsi="FangSong" w:eastAsia="FangSong" w:cs="FangSong"/>
          <w:sz w:val="24"/>
          <w:szCs w:val="24"/>
        </w:rPr>
      </w:pPr>
      <w:r>
        <w:rPr>
          <w:rFonts w:ascii="FangSong" w:hAnsi="FangSong" w:eastAsia="FangSong" w:cs="FangSong"/>
          <w:sz w:val="24"/>
          <w:szCs w:val="24"/>
          <w:spacing w:val="1"/>
        </w:rPr>
        <w:t>从部门预算构成看，长治高新区翟店工业园事业服务中</w:t>
      </w:r>
      <w:r>
        <w:rPr>
          <w:rFonts w:ascii="FangSong" w:hAnsi="FangSong" w:eastAsia="FangSong" w:cs="FangSong"/>
          <w:sz w:val="24"/>
          <w:szCs w:val="24"/>
        </w:rPr>
        <w:t>心预算主要包括长治高新</w:t>
      </w:r>
      <w:r>
        <w:rPr>
          <w:rFonts w:ascii="FangSong" w:hAnsi="FangSong" w:eastAsia="FangSong" w:cs="FangSong"/>
          <w:sz w:val="24"/>
          <w:szCs w:val="24"/>
        </w:rPr>
        <w:t xml:space="preserve"> </w:t>
      </w:r>
      <w:r>
        <w:rPr>
          <w:rFonts w:ascii="FangSong" w:hAnsi="FangSong" w:eastAsia="FangSong" w:cs="FangSong"/>
          <w:sz w:val="24"/>
          <w:szCs w:val="24"/>
          <w:spacing w:val="-5"/>
        </w:rPr>
        <w:t>区翟店工业园事业服务中心。</w:t>
      </w:r>
    </w:p>
    <w:p>
      <w:pPr>
        <w:ind w:left="1539" w:right="1475" w:firstLine="464"/>
        <w:spacing w:before="1" w:line="312" w:lineRule="auto"/>
        <w:rPr>
          <w:rFonts w:ascii="FangSong" w:hAnsi="FangSong" w:eastAsia="FangSong" w:cs="FangSong"/>
          <w:sz w:val="24"/>
          <w:szCs w:val="24"/>
        </w:rPr>
      </w:pPr>
      <w:r>
        <w:rPr>
          <w:rFonts w:ascii="FangSong" w:hAnsi="FangSong" w:eastAsia="FangSong" w:cs="FangSong"/>
          <w:sz w:val="24"/>
          <w:szCs w:val="24"/>
          <w:spacing w:val="1"/>
        </w:rPr>
        <w:t>纳入长治高新区翟店工业园事业服务中心预算</w:t>
      </w:r>
      <w:r>
        <w:rPr>
          <w:rFonts w:ascii="FangSong" w:hAnsi="FangSong" w:eastAsia="FangSong" w:cs="FangSong"/>
          <w:sz w:val="24"/>
          <w:szCs w:val="24"/>
        </w:rPr>
        <w:t>的单位包括：长治高新区翟店工业</w:t>
      </w:r>
      <w:r>
        <w:rPr>
          <w:rFonts w:ascii="FangSong" w:hAnsi="FangSong" w:eastAsia="FangSong" w:cs="FangSong"/>
          <w:sz w:val="24"/>
          <w:szCs w:val="24"/>
        </w:rPr>
        <w:t xml:space="preserve"> </w:t>
      </w:r>
      <w:r>
        <w:rPr>
          <w:rFonts w:ascii="FangSong" w:hAnsi="FangSong" w:eastAsia="FangSong" w:cs="FangSong"/>
          <w:sz w:val="24"/>
          <w:szCs w:val="24"/>
          <w:spacing w:val="-8"/>
        </w:rPr>
        <w:t>园事业服务中心。</w:t>
      </w:r>
    </w:p>
    <w:p>
      <w:pPr>
        <w:spacing w:line="312"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部门名称：长治高新区翟店工业园事业服务中心</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673.39</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2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597.84</w:t>
            </w:r>
          </w:p>
        </w:tc>
        <w:tc>
          <w:tcPr>
            <w:tcW w:w="1153" w:type="dxa"/>
            <w:vAlign w:val="top"/>
          </w:tcPr>
          <w:p>
            <w:pPr>
              <w:ind w:right="27"/>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597.84</w:t>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38.42</w:t>
            </w:r>
          </w:p>
        </w:tc>
        <w:tc>
          <w:tcPr>
            <w:tcW w:w="115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38.42</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1153"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15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7"/>
              <w:spacing w:before="186"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2"/>
              <w:spacing w:before="186"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1153" w:type="dxa"/>
            <w:vAlign w:val="top"/>
          </w:tcPr>
          <w:p>
            <w:pPr>
              <w:pStyle w:val="TableText"/>
              <w:ind w:left="576"/>
              <w:spacing w:before="186"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7"/>
              <w:spacing w:before="188"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2"/>
              <w:spacing w:before="188"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1153" w:type="dxa"/>
            <w:vAlign w:val="top"/>
          </w:tcPr>
          <w:p>
            <w:pPr>
              <w:pStyle w:val="TableText"/>
              <w:ind w:left="576"/>
              <w:spacing w:before="188"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部门名称：长治高新区翟店工业园事业服务中心</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1274" w:type="dxa"/>
            <w:vAlign w:val="top"/>
          </w:tcPr>
          <w:p>
            <w:pPr>
              <w:pStyle w:val="TableText"/>
              <w:ind w:left="702"/>
              <w:spacing w:before="149"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597.84</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597.84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97" w:type="dxa"/>
            <w:vAlign w:val="top"/>
          </w:tcPr>
          <w:p>
            <w:pPr>
              <w:ind w:left="5"/>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550.44</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550.44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38"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137.84</w:t>
            </w:r>
          </w:p>
        </w:tc>
        <w:tc>
          <w:tcPr>
            <w:tcW w:w="1274"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137.84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2997" w:type="dxa"/>
            <w:vAlign w:val="top"/>
          </w:tcPr>
          <w:p>
            <w:pPr>
              <w:ind w:left="7" w:right="104" w:hanging="4"/>
              <w:spacing w:before="26"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务支出</w:t>
            </w:r>
          </w:p>
        </w:tc>
        <w:tc>
          <w:tcPr>
            <w:tcW w:w="1438" w:type="dxa"/>
            <w:vAlign w:val="top"/>
          </w:tcPr>
          <w:p>
            <w:pPr>
              <w:ind w:right="25"/>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1"/>
              </w:rPr>
              <w:t>412.60</w:t>
            </w:r>
          </w:p>
        </w:tc>
        <w:tc>
          <w:tcPr>
            <w:tcW w:w="1274"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1"/>
              </w:rPr>
              <w:t>412.60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20105</w:t>
            </w:r>
          </w:p>
        </w:tc>
        <w:tc>
          <w:tcPr>
            <w:tcW w:w="2997" w:type="dxa"/>
            <w:vAlign w:val="top"/>
          </w:tcPr>
          <w:p>
            <w:pPr>
              <w:ind w:left="6"/>
              <w:spacing w:before="132" w:line="219" w:lineRule="auto"/>
              <w:rPr>
                <w:rFonts w:ascii="SimSun" w:hAnsi="SimSun" w:eastAsia="SimSun" w:cs="SimSun"/>
                <w:sz w:val="18"/>
                <w:szCs w:val="18"/>
              </w:rPr>
            </w:pPr>
            <w:r>
              <w:rPr>
                <w:rFonts w:ascii="SimSun" w:hAnsi="SimSun" w:eastAsia="SimSun" w:cs="SimSun"/>
                <w:sz w:val="18"/>
                <w:szCs w:val="18"/>
                <w:color w:val="212529"/>
                <w:spacing w:val="-2"/>
              </w:rPr>
              <w:t>统计信息事务</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2010507</w:t>
            </w:r>
          </w:p>
        </w:tc>
        <w:tc>
          <w:tcPr>
            <w:tcW w:w="299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1"/>
              </w:rPr>
              <w:t>专项普查活动</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20113</w:t>
            </w:r>
          </w:p>
        </w:tc>
        <w:tc>
          <w:tcPr>
            <w:tcW w:w="2997" w:type="dxa"/>
            <w:vAlign w:val="top"/>
          </w:tcPr>
          <w:p>
            <w:pPr>
              <w:ind w:left="7"/>
              <w:spacing w:before="134" w:line="219" w:lineRule="auto"/>
              <w:rPr>
                <w:rFonts w:ascii="SimSun" w:hAnsi="SimSun" w:eastAsia="SimSun" w:cs="SimSun"/>
                <w:sz w:val="18"/>
                <w:szCs w:val="18"/>
              </w:rPr>
            </w:pPr>
            <w:r>
              <w:rPr>
                <w:rFonts w:ascii="SimSun" w:hAnsi="SimSun" w:eastAsia="SimSun" w:cs="SimSun"/>
                <w:sz w:val="18"/>
                <w:szCs w:val="18"/>
                <w:color w:val="212529"/>
                <w:spacing w:val="-2"/>
              </w:rPr>
              <w:t>商贸事务</w:t>
            </w:r>
          </w:p>
        </w:tc>
        <w:tc>
          <w:tcPr>
            <w:tcW w:w="1438"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2011308</w:t>
            </w:r>
          </w:p>
        </w:tc>
        <w:tc>
          <w:tcPr>
            <w:tcW w:w="2997" w:type="dxa"/>
            <w:vAlign w:val="top"/>
          </w:tcPr>
          <w:p>
            <w:pPr>
              <w:ind w:left="5"/>
              <w:spacing w:before="136" w:line="219" w:lineRule="auto"/>
              <w:rPr>
                <w:rFonts w:ascii="SimSun" w:hAnsi="SimSun" w:eastAsia="SimSun" w:cs="SimSun"/>
                <w:sz w:val="18"/>
                <w:szCs w:val="18"/>
              </w:rPr>
            </w:pPr>
            <w:r>
              <w:rPr>
                <w:rFonts w:ascii="SimSun" w:hAnsi="SimSun" w:eastAsia="SimSun" w:cs="SimSun"/>
                <w:sz w:val="18"/>
                <w:szCs w:val="18"/>
                <w:color w:val="212529"/>
                <w:spacing w:val="-2"/>
              </w:rPr>
              <w:t>招商引资</w:t>
            </w:r>
          </w:p>
        </w:tc>
        <w:tc>
          <w:tcPr>
            <w:tcW w:w="1438"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20136</w:t>
            </w:r>
          </w:p>
        </w:tc>
        <w:tc>
          <w:tcPr>
            <w:tcW w:w="2997" w:type="dxa"/>
            <w:vAlign w:val="top"/>
          </w:tcPr>
          <w:p>
            <w:pPr>
              <w:ind w:left="3"/>
              <w:spacing w:before="136"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38"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274" w:type="dxa"/>
            <w:vAlign w:val="top"/>
          </w:tcPr>
          <w:p>
            <w:pPr>
              <w:ind w:right="2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2013699</w:t>
            </w:r>
          </w:p>
        </w:tc>
        <w:tc>
          <w:tcPr>
            <w:tcW w:w="2997" w:type="dxa"/>
            <w:vAlign w:val="top"/>
          </w:tcPr>
          <w:p>
            <w:pPr>
              <w:ind w:left="3"/>
              <w:spacing w:before="137"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38"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274"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38.42</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38.42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36.15</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36.15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3.41</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3.41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23.70</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23.70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97" w:type="dxa"/>
            <w:vAlign w:val="top"/>
          </w:tcPr>
          <w:p>
            <w:pPr>
              <w:ind w:left="3"/>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9.03</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9.03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438"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1.74</w:t>
            </w:r>
          </w:p>
        </w:tc>
        <w:tc>
          <w:tcPr>
            <w:tcW w:w="1274"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1"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2997" w:type="dxa"/>
            <w:vAlign w:val="top"/>
          </w:tcPr>
          <w:p>
            <w:pPr>
              <w:ind w:left="3"/>
              <w:spacing w:before="116"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438" w:type="dxa"/>
            <w:vAlign w:val="top"/>
          </w:tcPr>
          <w:p>
            <w:pPr>
              <w:ind w:right="2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1.74</w:t>
            </w:r>
          </w:p>
        </w:tc>
        <w:tc>
          <w:tcPr>
            <w:tcW w:w="1274" w:type="dxa"/>
            <w:vAlign w:val="top"/>
          </w:tcPr>
          <w:p>
            <w:pPr>
              <w:ind w:right="2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1.74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2997" w:type="dxa"/>
            <w:vAlign w:val="top"/>
          </w:tcPr>
          <w:p>
            <w:pPr>
              <w:ind w:left="3"/>
              <w:spacing w:before="109"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4"/>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0.53</w:t>
            </w:r>
          </w:p>
        </w:tc>
        <w:tc>
          <w:tcPr>
            <w:tcW w:w="1274" w:type="dxa"/>
            <w:vAlign w:val="top"/>
          </w:tcPr>
          <w:p>
            <w:pPr>
              <w:ind w:right="23"/>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0.53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2997" w:type="dxa"/>
            <w:vAlign w:val="top"/>
          </w:tcPr>
          <w:p>
            <w:pPr>
              <w:ind w:left="3"/>
              <w:spacing w:before="111"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4"/>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0.53</w:t>
            </w:r>
          </w:p>
        </w:tc>
        <w:tc>
          <w:tcPr>
            <w:tcW w:w="1274" w:type="dxa"/>
            <w:vAlign w:val="top"/>
          </w:tcPr>
          <w:p>
            <w:pPr>
              <w:ind w:right="23"/>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0.53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1274" w:type="dxa"/>
            <w:vAlign w:val="top"/>
          </w:tcPr>
          <w:p>
            <w:pPr>
              <w:ind w:right="21"/>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1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1274" w:type="dxa"/>
            <w:vAlign w:val="top"/>
          </w:tcPr>
          <w:p>
            <w:pPr>
              <w:ind w:right="2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1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12.82</w:t>
            </w:r>
          </w:p>
        </w:tc>
        <w:tc>
          <w:tcPr>
            <w:tcW w:w="1274" w:type="dxa"/>
            <w:vAlign w:val="top"/>
          </w:tcPr>
          <w:p>
            <w:pPr>
              <w:ind w:right="2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12.82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10"/>
              <w:spacing w:before="11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38" w:type="dxa"/>
            <w:vAlign w:val="top"/>
          </w:tcPr>
          <w:p>
            <w:pPr>
              <w:ind w:right="23"/>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5.81</w:t>
            </w:r>
          </w:p>
        </w:tc>
        <w:tc>
          <w:tcPr>
            <w:tcW w:w="1274" w:type="dxa"/>
            <w:vAlign w:val="top"/>
          </w:tcPr>
          <w:p>
            <w:pPr>
              <w:ind w:right="2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5.81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2"/>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274" w:type="dxa"/>
            <w:vAlign w:val="top"/>
          </w:tcPr>
          <w:p>
            <w:pPr>
              <w:ind w:right="21"/>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274" w:type="dxa"/>
            <w:vAlign w:val="top"/>
          </w:tcPr>
          <w:p>
            <w:pPr>
              <w:ind w:right="21"/>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1" w:hRule="atLeast"/>
        </w:trPr>
        <w:tc>
          <w:tcPr>
            <w:tcW w:w="143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274" w:type="dxa"/>
            <w:vAlign w:val="top"/>
          </w:tcPr>
          <w:p>
            <w:pPr>
              <w:ind w:right="2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26"/>
        <w:gridCol w:w="1393"/>
        <w:gridCol w:w="1339"/>
        <w:gridCol w:w="1345"/>
      </w:tblGrid>
      <w:tr>
        <w:trPr>
          <w:trHeight w:val="320"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74"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81" w:type="dxa"/>
            <w:vAlign w:val="top"/>
            <w:gridSpan w:val="2"/>
          </w:tcPr>
          <w:p>
            <w:pPr>
              <w:ind w:left="2368"/>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77" w:type="dxa"/>
            <w:vAlign w:val="top"/>
            <w:gridSpan w:val="3"/>
          </w:tcPr>
          <w:p>
            <w:pPr>
              <w:ind w:left="154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55" w:type="dxa"/>
            <w:vAlign w:val="top"/>
          </w:tcPr>
          <w:p>
            <w:pPr>
              <w:ind w:left="53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4"/>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93" w:type="dxa"/>
            <w:vAlign w:val="top"/>
          </w:tcPr>
          <w:p>
            <w:pPr>
              <w:ind w:left="526"/>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7"/>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81" w:type="dxa"/>
            <w:vAlign w:val="top"/>
            <w:gridSpan w:val="2"/>
          </w:tcPr>
          <w:p>
            <w:pPr>
              <w:ind w:left="2370"/>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pStyle w:val="TableText"/>
              <w:ind w:left="883"/>
              <w:spacing w:before="96"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1339" w:type="dxa"/>
            <w:vAlign w:val="top"/>
          </w:tcPr>
          <w:p>
            <w:pPr>
              <w:pStyle w:val="TableText"/>
              <w:ind w:left="831"/>
              <w:spacing w:before="96" w:line="173" w:lineRule="auto"/>
              <w:rPr>
                <w:sz w:val="14"/>
                <w:szCs w:val="14"/>
              </w:rPr>
            </w:pPr>
            <w:r>
              <w:rPr>
                <w:sz w:val="14"/>
                <w:szCs w:val="14"/>
                <w:color w:val="212529"/>
              </w:rPr>
              <w:t>213.</w:t>
            </w:r>
            <w:r>
              <w:rPr>
                <w:sz w:val="14"/>
                <w:szCs w:val="14"/>
                <w:color w:val="212529"/>
                <w:spacing w:val="6"/>
              </w:rPr>
              <w:t xml:space="preserve"> </w:t>
            </w:r>
            <w:r>
              <w:rPr>
                <w:sz w:val="14"/>
                <w:szCs w:val="14"/>
                <w:color w:val="212529"/>
              </w:rPr>
              <w:t>39</w:t>
            </w:r>
          </w:p>
        </w:tc>
        <w:tc>
          <w:tcPr>
            <w:tcW w:w="1345" w:type="dxa"/>
            <w:vAlign w:val="top"/>
          </w:tcPr>
          <w:p>
            <w:pPr>
              <w:pStyle w:val="TableText"/>
              <w:ind w:left="831"/>
              <w:spacing w:before="96" w:line="172" w:lineRule="auto"/>
              <w:rPr>
                <w:sz w:val="14"/>
                <w:szCs w:val="14"/>
              </w:rPr>
            </w:pPr>
            <w:r>
              <w:rPr>
                <w:sz w:val="14"/>
                <w:szCs w:val="14"/>
                <w:color w:val="212529"/>
              </w:rPr>
              <w:t>460.</w:t>
            </w:r>
            <w:r>
              <w:rPr>
                <w:sz w:val="14"/>
                <w:szCs w:val="14"/>
                <w:color w:val="212529"/>
                <w:spacing w:val="9"/>
              </w:rPr>
              <w:t xml:space="preserve"> </w:t>
            </w:r>
            <w:r>
              <w:rPr>
                <w:sz w:val="14"/>
                <w:szCs w:val="14"/>
                <w:color w:val="212529"/>
              </w:rPr>
              <w:t>00</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326" w:type="dxa"/>
            <w:vAlign w:val="top"/>
          </w:tcPr>
          <w:p>
            <w:pPr>
              <w:ind w:left="2"/>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597.84</w:t>
            </w:r>
          </w:p>
        </w:tc>
        <w:tc>
          <w:tcPr>
            <w:tcW w:w="1339" w:type="dxa"/>
            <w:vAlign w:val="top"/>
          </w:tcPr>
          <w:p>
            <w:pPr>
              <w:pStyle w:val="TableText"/>
              <w:ind w:left="841"/>
              <w:spacing w:before="96" w:line="162" w:lineRule="auto"/>
              <w:rPr>
                <w:sz w:val="15"/>
                <w:szCs w:val="15"/>
              </w:rPr>
            </w:pPr>
            <w:r>
              <w:rPr>
                <w:sz w:val="15"/>
                <w:szCs w:val="15"/>
                <w:color w:val="212529"/>
                <w:spacing w:val="1"/>
              </w:rPr>
              <w:t>137.84</w:t>
            </w:r>
          </w:p>
        </w:tc>
        <w:tc>
          <w:tcPr>
            <w:tcW w:w="1345" w:type="dxa"/>
            <w:vAlign w:val="top"/>
          </w:tcPr>
          <w:p>
            <w:pPr>
              <w:pStyle w:val="TableText"/>
              <w:ind w:left="831"/>
              <w:spacing w:before="97" w:line="172" w:lineRule="auto"/>
              <w:rPr>
                <w:sz w:val="14"/>
                <w:szCs w:val="14"/>
              </w:rPr>
            </w:pPr>
            <w:r>
              <w:rPr>
                <w:sz w:val="14"/>
                <w:szCs w:val="14"/>
                <w:color w:val="212529"/>
              </w:rPr>
              <w:t>460.</w:t>
            </w:r>
            <w:r>
              <w:rPr>
                <w:sz w:val="14"/>
                <w:szCs w:val="14"/>
                <w:color w:val="212529"/>
                <w:spacing w:val="9"/>
              </w:rPr>
              <w:t xml:space="preserve"> </w:t>
            </w:r>
            <w:r>
              <w:rPr>
                <w:sz w:val="14"/>
                <w:szCs w:val="14"/>
                <w:color w:val="212529"/>
              </w:rPr>
              <w:t>00</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326" w:type="dxa"/>
            <w:vAlign w:val="top"/>
          </w:tcPr>
          <w:p>
            <w:pPr>
              <w:ind w:left="1"/>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550.44</w:t>
            </w:r>
          </w:p>
        </w:tc>
        <w:tc>
          <w:tcPr>
            <w:tcW w:w="1339" w:type="dxa"/>
            <w:vAlign w:val="top"/>
          </w:tcPr>
          <w:p>
            <w:pPr>
              <w:pStyle w:val="TableText"/>
              <w:ind w:left="841"/>
              <w:spacing w:before="96" w:line="162" w:lineRule="auto"/>
              <w:rPr>
                <w:sz w:val="15"/>
                <w:szCs w:val="15"/>
              </w:rPr>
            </w:pPr>
            <w:r>
              <w:rPr>
                <w:sz w:val="15"/>
                <w:szCs w:val="15"/>
                <w:color w:val="212529"/>
                <w:spacing w:val="1"/>
              </w:rPr>
              <w:t>137.84</w:t>
            </w:r>
          </w:p>
        </w:tc>
        <w:tc>
          <w:tcPr>
            <w:tcW w:w="1345" w:type="dxa"/>
            <w:vAlign w:val="top"/>
          </w:tcPr>
          <w:p>
            <w:pPr>
              <w:pStyle w:val="TableText"/>
              <w:ind w:left="831"/>
              <w:spacing w:before="96" w:line="173" w:lineRule="auto"/>
              <w:rPr>
                <w:sz w:val="14"/>
                <w:szCs w:val="14"/>
              </w:rPr>
            </w:pPr>
            <w:r>
              <w:rPr>
                <w:sz w:val="14"/>
                <w:szCs w:val="14"/>
                <w:color w:val="212529"/>
              </w:rPr>
              <w:t>412.</w:t>
            </w:r>
            <w:r>
              <w:rPr>
                <w:sz w:val="14"/>
                <w:szCs w:val="14"/>
                <w:color w:val="212529"/>
                <w:spacing w:val="9"/>
              </w:rPr>
              <w:t xml:space="preserve"> </w:t>
            </w:r>
            <w:r>
              <w:rPr>
                <w:sz w:val="14"/>
                <w:szCs w:val="14"/>
                <w:color w:val="212529"/>
              </w:rPr>
              <w:t>60</w:t>
            </w:r>
          </w:p>
        </w:tc>
      </w:tr>
      <w:tr>
        <w:trPr>
          <w:trHeight w:val="314"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326" w:type="dxa"/>
            <w:vAlign w:val="top"/>
          </w:tcPr>
          <w:p>
            <w:pPr>
              <w:ind w:left="2"/>
              <w:spacing w:before="78"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339"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345" w:type="dxa"/>
            <w:vAlign w:val="top"/>
          </w:tcPr>
          <w:p>
            <w:pPr>
              <w:pStyle w:val="TableText"/>
              <w:rPr/>
            </w:pPr>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326" w:type="dxa"/>
            <w:vAlign w:val="top"/>
          </w:tcPr>
          <w:p>
            <w:pPr>
              <w:spacing w:before="78"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412.60</w:t>
            </w:r>
          </w:p>
        </w:tc>
        <w:tc>
          <w:tcPr>
            <w:tcW w:w="1339" w:type="dxa"/>
            <w:vAlign w:val="top"/>
          </w:tcPr>
          <w:p>
            <w:pPr>
              <w:pStyle w:val="TableText"/>
              <w:rPr/>
            </w:pPr>
            <w:r/>
          </w:p>
        </w:tc>
        <w:tc>
          <w:tcPr>
            <w:tcW w:w="1345"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412.60</w:t>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326" w:type="dxa"/>
            <w:vAlign w:val="top"/>
          </w:tcPr>
          <w:p>
            <w:pPr>
              <w:ind w:left="2"/>
              <w:spacing w:before="78"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39" w:type="dxa"/>
            <w:vAlign w:val="top"/>
          </w:tcPr>
          <w:p>
            <w:pPr>
              <w:pStyle w:val="TableText"/>
              <w:rPr/>
            </w:pPr>
            <w:r/>
          </w:p>
        </w:tc>
        <w:tc>
          <w:tcPr>
            <w:tcW w:w="1345" w:type="dxa"/>
            <w:vAlign w:val="top"/>
          </w:tcPr>
          <w:p>
            <w:pPr>
              <w:pStyle w:val="TableText"/>
              <w:ind w:left="916"/>
              <w:spacing w:before="98" w:line="186" w:lineRule="auto"/>
              <w:rPr>
                <w:sz w:val="13"/>
                <w:szCs w:val="13"/>
              </w:rPr>
            </w:pPr>
            <w:r>
              <w:rPr>
                <w:sz w:val="13"/>
                <w:szCs w:val="13"/>
                <w:color w:val="212529"/>
                <w:spacing w:val="3"/>
              </w:rPr>
              <w:t>30.</w:t>
            </w:r>
            <w:r>
              <w:rPr>
                <w:sz w:val="13"/>
                <w:szCs w:val="13"/>
                <w:color w:val="212529"/>
                <w:spacing w:val="15"/>
                <w:w w:val="101"/>
              </w:rPr>
              <w:t xml:space="preserve"> </w:t>
            </w:r>
            <w:r>
              <w:rPr>
                <w:sz w:val="13"/>
                <w:szCs w:val="13"/>
                <w:color w:val="212529"/>
                <w:spacing w:val="3"/>
              </w:rPr>
              <w:t>00</w:t>
            </w:r>
          </w:p>
        </w:tc>
      </w:tr>
      <w:tr>
        <w:trPr>
          <w:trHeight w:val="314" w:hRule="atLeast"/>
        </w:trPr>
        <w:tc>
          <w:tcPr>
            <w:tcW w:w="1755"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326"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39" w:type="dxa"/>
            <w:vAlign w:val="top"/>
          </w:tcPr>
          <w:p>
            <w:pPr>
              <w:pStyle w:val="TableText"/>
              <w:rPr/>
            </w:pPr>
            <w:r/>
          </w:p>
        </w:tc>
        <w:tc>
          <w:tcPr>
            <w:tcW w:w="1345"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314" w:hRule="atLeast"/>
        </w:trPr>
        <w:tc>
          <w:tcPr>
            <w:tcW w:w="1755"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20113</w:t>
            </w:r>
          </w:p>
        </w:tc>
        <w:tc>
          <w:tcPr>
            <w:tcW w:w="3326" w:type="dxa"/>
            <w:vAlign w:val="top"/>
          </w:tcPr>
          <w:p>
            <w:pPr>
              <w:ind w:left="3"/>
              <w:spacing w:before="79" w:line="229" w:lineRule="auto"/>
              <w:rPr>
                <w:rFonts w:ascii="SimSun" w:hAnsi="SimSun" w:eastAsia="SimSun" w:cs="SimSun"/>
                <w:sz w:val="15"/>
                <w:szCs w:val="15"/>
              </w:rPr>
            </w:pPr>
            <w:r>
              <w:rPr>
                <w:rFonts w:ascii="SimSun" w:hAnsi="SimSun" w:eastAsia="SimSun" w:cs="SimSun"/>
                <w:sz w:val="15"/>
                <w:szCs w:val="15"/>
                <w:color w:val="212529"/>
                <w:spacing w:val="9"/>
              </w:rPr>
              <w:t>商贸事务</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pStyle w:val="TableText"/>
              <w:ind w:left="997"/>
              <w:spacing w:before="98"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2011308</w:t>
            </w:r>
          </w:p>
        </w:tc>
        <w:tc>
          <w:tcPr>
            <w:tcW w:w="3326" w:type="dxa"/>
            <w:vAlign w:val="top"/>
          </w:tcPr>
          <w:p>
            <w:pPr>
              <w:ind w:left="1"/>
              <w:spacing w:before="79" w:line="230" w:lineRule="auto"/>
              <w:rPr>
                <w:rFonts w:ascii="SimSun" w:hAnsi="SimSun" w:eastAsia="SimSun" w:cs="SimSun"/>
                <w:sz w:val="15"/>
                <w:szCs w:val="15"/>
              </w:rPr>
            </w:pPr>
            <w:r>
              <w:rPr>
                <w:rFonts w:ascii="SimSun" w:hAnsi="SimSun" w:eastAsia="SimSun" w:cs="SimSun"/>
                <w:sz w:val="15"/>
                <w:szCs w:val="15"/>
                <w:color w:val="212529"/>
                <w:spacing w:val="9"/>
              </w:rPr>
              <w:t>招商引资</w:t>
            </w:r>
          </w:p>
        </w:tc>
        <w:tc>
          <w:tcPr>
            <w:tcW w:w="1393" w:type="dxa"/>
            <w:vAlign w:val="top"/>
          </w:tcPr>
          <w:p>
            <w:pPr>
              <w:ind w:right="22"/>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ind w:right="24"/>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39" w:type="dxa"/>
            <w:vAlign w:val="top"/>
          </w:tcPr>
          <w:p>
            <w:pPr>
              <w:pStyle w:val="TableText"/>
              <w:rPr/>
            </w:pPr>
            <w:r/>
          </w:p>
        </w:tc>
        <w:tc>
          <w:tcPr>
            <w:tcW w:w="1345" w:type="dxa"/>
            <w:vAlign w:val="top"/>
          </w:tcPr>
          <w:p>
            <w:pPr>
              <w:pStyle w:val="TableText"/>
              <w:ind w:left="925"/>
              <w:spacing w:before="98" w:line="187" w:lineRule="auto"/>
              <w:rPr>
                <w:sz w:val="13"/>
                <w:szCs w:val="13"/>
              </w:rPr>
            </w:pPr>
            <w:r>
              <w:rPr>
                <w:sz w:val="13"/>
                <w:szCs w:val="13"/>
                <w:color w:val="212529"/>
                <w:spacing w:val="2"/>
              </w:rPr>
              <w:t>12.</w:t>
            </w:r>
            <w:r>
              <w:rPr>
                <w:sz w:val="13"/>
                <w:szCs w:val="13"/>
                <w:color w:val="212529"/>
                <w:spacing w:val="11"/>
                <w:w w:val="102"/>
              </w:rPr>
              <w:t xml:space="preserve"> </w:t>
            </w:r>
            <w:r>
              <w:rPr>
                <w:sz w:val="13"/>
                <w:szCs w:val="13"/>
                <w:color w:val="212529"/>
                <w:spacing w:val="2"/>
              </w:rPr>
              <w:t>40</w:t>
            </w:r>
          </w:p>
        </w:tc>
      </w:tr>
      <w:tr>
        <w:trPr>
          <w:trHeight w:val="314" w:hRule="atLeast"/>
        </w:trPr>
        <w:tc>
          <w:tcPr>
            <w:tcW w:w="1755"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2013699</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39" w:type="dxa"/>
            <w:vAlign w:val="top"/>
          </w:tcPr>
          <w:p>
            <w:pPr>
              <w:pStyle w:val="TableText"/>
              <w:rPr/>
            </w:pPr>
            <w:r/>
          </w:p>
        </w:tc>
        <w:tc>
          <w:tcPr>
            <w:tcW w:w="134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26" w:type="dxa"/>
            <w:vAlign w:val="top"/>
          </w:tcPr>
          <w:p>
            <w:pPr>
              <w:ind w:left="2"/>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93" w:type="dxa"/>
            <w:vAlign w:val="top"/>
          </w:tcPr>
          <w:p>
            <w:pPr>
              <w:ind w:right="22"/>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38.42</w:t>
            </w:r>
          </w:p>
        </w:tc>
        <w:tc>
          <w:tcPr>
            <w:tcW w:w="1339" w:type="dxa"/>
            <w:vAlign w:val="top"/>
          </w:tcPr>
          <w:p>
            <w:pPr>
              <w:pStyle w:val="TableText"/>
              <w:ind w:left="914"/>
              <w:spacing w:before="100" w:line="186" w:lineRule="auto"/>
              <w:rPr>
                <w:sz w:val="13"/>
                <w:szCs w:val="13"/>
              </w:rPr>
            </w:pPr>
            <w:r>
              <w:rPr>
                <w:sz w:val="13"/>
                <w:szCs w:val="13"/>
                <w:color w:val="212529"/>
                <w:spacing w:val="4"/>
              </w:rPr>
              <w:t>38.</w:t>
            </w:r>
            <w:r>
              <w:rPr>
                <w:sz w:val="13"/>
                <w:szCs w:val="13"/>
                <w:color w:val="212529"/>
                <w:spacing w:val="9"/>
              </w:rPr>
              <w:t xml:space="preserve"> </w:t>
            </w:r>
            <w:r>
              <w:rPr>
                <w:sz w:val="13"/>
                <w:szCs w:val="13"/>
                <w:color w:val="212529"/>
                <w:spacing w:val="4"/>
              </w:rPr>
              <w:t>42</w:t>
            </w:r>
          </w:p>
        </w:tc>
        <w:tc>
          <w:tcPr>
            <w:tcW w:w="1345" w:type="dxa"/>
            <w:vAlign w:val="top"/>
          </w:tcPr>
          <w:p>
            <w:pPr>
              <w:pStyle w:val="TableText"/>
              <w:rPr/>
            </w:pPr>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26"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36.15</w:t>
            </w:r>
          </w:p>
        </w:tc>
        <w:tc>
          <w:tcPr>
            <w:tcW w:w="1339" w:type="dxa"/>
            <w:vAlign w:val="top"/>
          </w:tcPr>
          <w:p>
            <w:pPr>
              <w:pStyle w:val="TableText"/>
              <w:ind w:left="914"/>
              <w:spacing w:before="100" w:line="186" w:lineRule="auto"/>
              <w:rPr>
                <w:sz w:val="13"/>
                <w:szCs w:val="13"/>
              </w:rPr>
            </w:pPr>
            <w:r>
              <w:rPr>
                <w:sz w:val="13"/>
                <w:szCs w:val="13"/>
                <w:color w:val="212529"/>
                <w:spacing w:val="4"/>
              </w:rPr>
              <w:t>36.</w:t>
            </w:r>
            <w:r>
              <w:rPr>
                <w:sz w:val="13"/>
                <w:szCs w:val="13"/>
                <w:color w:val="212529"/>
                <w:spacing w:val="9"/>
              </w:rPr>
              <w:t xml:space="preserve"> </w:t>
            </w:r>
            <w:r>
              <w:rPr>
                <w:sz w:val="13"/>
                <w:szCs w:val="13"/>
                <w:color w:val="212529"/>
                <w:spacing w:val="4"/>
              </w:rPr>
              <w:t>15</w:t>
            </w:r>
          </w:p>
        </w:tc>
        <w:tc>
          <w:tcPr>
            <w:tcW w:w="1345" w:type="dxa"/>
            <w:vAlign w:val="top"/>
          </w:tcPr>
          <w:p>
            <w:pPr>
              <w:pStyle w:val="TableText"/>
              <w:rPr/>
            </w:pPr>
            <w:r/>
          </w:p>
        </w:tc>
      </w:tr>
      <w:tr>
        <w:trPr>
          <w:trHeight w:val="314" w:hRule="atLeast"/>
        </w:trPr>
        <w:tc>
          <w:tcPr>
            <w:tcW w:w="1755"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26" w:type="dxa"/>
            <w:vAlign w:val="top"/>
          </w:tcPr>
          <w:p>
            <w:pPr>
              <w:ind w:left="2"/>
              <w:spacing w:before="81"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339"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26"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93"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339" w:type="dxa"/>
            <w:vAlign w:val="top"/>
          </w:tcPr>
          <w:p>
            <w:pPr>
              <w:ind w:right="20"/>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326"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339"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345" w:type="dxa"/>
            <w:vAlign w:val="top"/>
          </w:tcPr>
          <w:p>
            <w:pPr>
              <w:pStyle w:val="TableText"/>
              <w:rPr/>
            </w:pPr>
            <w:r/>
          </w:p>
        </w:tc>
      </w:tr>
      <w:tr>
        <w:trPr>
          <w:trHeight w:val="314" w:hRule="atLeast"/>
        </w:trPr>
        <w:tc>
          <w:tcPr>
            <w:tcW w:w="1755"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326"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339" w:type="dxa"/>
            <w:vAlign w:val="top"/>
          </w:tcPr>
          <w:p>
            <w:pPr>
              <w:pStyle w:val="TableText"/>
              <w:ind w:left="1004"/>
              <w:spacing w:before="101" w:line="187" w:lineRule="auto"/>
              <w:rPr>
                <w:sz w:val="13"/>
                <w:szCs w:val="13"/>
              </w:rPr>
            </w:pPr>
            <w:r>
              <w:rPr>
                <w:sz w:val="13"/>
                <w:szCs w:val="13"/>
                <w:color w:val="212529"/>
                <w:spacing w:val="3"/>
              </w:rPr>
              <w:t>1.</w:t>
            </w:r>
            <w:r>
              <w:rPr>
                <w:sz w:val="13"/>
                <w:szCs w:val="13"/>
                <w:color w:val="212529"/>
                <w:spacing w:val="3"/>
              </w:rPr>
              <w:t xml:space="preserve"> </w:t>
            </w:r>
            <w:r>
              <w:rPr>
                <w:sz w:val="13"/>
                <w:szCs w:val="13"/>
                <w:color w:val="212529"/>
                <w:spacing w:val="3"/>
              </w:rPr>
              <w:t>74</w:t>
            </w:r>
          </w:p>
        </w:tc>
        <w:tc>
          <w:tcPr>
            <w:tcW w:w="1345" w:type="dxa"/>
            <w:vAlign w:val="top"/>
          </w:tcPr>
          <w:p>
            <w:pPr>
              <w:pStyle w:val="TableText"/>
              <w:rPr/>
            </w:pPr>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326"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393"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339" w:type="dxa"/>
            <w:vAlign w:val="top"/>
          </w:tcPr>
          <w:p>
            <w:pPr>
              <w:ind w:right="20"/>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345" w:type="dxa"/>
            <w:vAlign w:val="top"/>
          </w:tcPr>
          <w:p>
            <w:pPr>
              <w:pStyle w:val="TableText"/>
              <w:rPr/>
            </w:pPr>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326"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339" w:type="dxa"/>
            <w:vAlign w:val="top"/>
          </w:tcPr>
          <w:p>
            <w:pPr>
              <w:pStyle w:val="TableText"/>
              <w:ind w:left="993"/>
              <w:spacing w:before="102"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53</w:t>
            </w:r>
          </w:p>
        </w:tc>
        <w:tc>
          <w:tcPr>
            <w:tcW w:w="1345" w:type="dxa"/>
            <w:vAlign w:val="top"/>
          </w:tcPr>
          <w:p>
            <w:pPr>
              <w:pStyle w:val="TableText"/>
              <w:rPr/>
            </w:pPr>
            <w:r/>
          </w:p>
        </w:tc>
      </w:tr>
      <w:tr>
        <w:trPr>
          <w:trHeight w:val="314" w:hRule="atLeast"/>
        </w:trPr>
        <w:tc>
          <w:tcPr>
            <w:tcW w:w="1755"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326" w:type="dxa"/>
            <w:vAlign w:val="top"/>
          </w:tcPr>
          <w:p>
            <w:pPr>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339" w:type="dxa"/>
            <w:vAlign w:val="top"/>
          </w:tcPr>
          <w:p>
            <w:pPr>
              <w:ind w:right="20"/>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345" w:type="dxa"/>
            <w:vAlign w:val="top"/>
          </w:tcPr>
          <w:p>
            <w:pPr>
              <w:pStyle w:val="TableText"/>
              <w:rPr/>
            </w:pPr>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26" w:type="dxa"/>
            <w:vAlign w:val="top"/>
          </w:tcPr>
          <w:p>
            <w:pPr>
              <w:ind w:left="2"/>
              <w:spacing w:before="8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339" w:type="dxa"/>
            <w:vAlign w:val="top"/>
          </w:tcPr>
          <w:p>
            <w:pPr>
              <w:pStyle w:val="TableText"/>
              <w:ind w:left="922"/>
              <w:spacing w:before="102" w:line="162" w:lineRule="auto"/>
              <w:rPr>
                <w:sz w:val="15"/>
                <w:szCs w:val="15"/>
              </w:rPr>
            </w:pPr>
            <w:r>
              <w:rPr>
                <w:sz w:val="15"/>
                <w:szCs w:val="15"/>
                <w:color w:val="212529"/>
                <w:spacing w:val="1"/>
              </w:rPr>
              <w:t>18.63</w:t>
            </w:r>
          </w:p>
        </w:tc>
        <w:tc>
          <w:tcPr>
            <w:tcW w:w="1345" w:type="dxa"/>
            <w:vAlign w:val="top"/>
          </w:tcPr>
          <w:p>
            <w:pPr>
              <w:pStyle w:val="TableText"/>
              <w:rPr/>
            </w:pPr>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26"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339" w:type="dxa"/>
            <w:vAlign w:val="top"/>
          </w:tcPr>
          <w:p>
            <w:pPr>
              <w:pStyle w:val="TableText"/>
              <w:ind w:left="922"/>
              <w:spacing w:before="102" w:line="162" w:lineRule="auto"/>
              <w:rPr>
                <w:sz w:val="15"/>
                <w:szCs w:val="15"/>
              </w:rPr>
            </w:pPr>
            <w:r>
              <w:rPr>
                <w:sz w:val="15"/>
                <w:szCs w:val="15"/>
                <w:color w:val="212529"/>
                <w:spacing w:val="1"/>
              </w:rPr>
              <w:t>18.63</w:t>
            </w:r>
          </w:p>
        </w:tc>
        <w:tc>
          <w:tcPr>
            <w:tcW w:w="1345" w:type="dxa"/>
            <w:vAlign w:val="top"/>
          </w:tcPr>
          <w:p>
            <w:pPr>
              <w:pStyle w:val="TableText"/>
              <w:rPr/>
            </w:pPr>
            <w:r/>
          </w:p>
        </w:tc>
      </w:tr>
      <w:tr>
        <w:trPr>
          <w:trHeight w:val="314" w:hRule="atLeast"/>
        </w:trPr>
        <w:tc>
          <w:tcPr>
            <w:tcW w:w="1755"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26"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339"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345" w:type="dxa"/>
            <w:vAlign w:val="top"/>
          </w:tcPr>
          <w:p>
            <w:pPr>
              <w:pStyle w:val="TableText"/>
              <w:rPr/>
            </w:pPr>
            <w:r/>
          </w:p>
        </w:tc>
      </w:tr>
      <w:tr>
        <w:trPr>
          <w:trHeight w:val="314" w:hRule="atLeast"/>
        </w:trPr>
        <w:tc>
          <w:tcPr>
            <w:tcW w:w="1755"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326" w:type="dxa"/>
            <w:vAlign w:val="top"/>
          </w:tcPr>
          <w:p>
            <w:pPr>
              <w:ind w:left="5"/>
              <w:spacing w:before="8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339" w:type="dxa"/>
            <w:vAlign w:val="top"/>
          </w:tcPr>
          <w:p>
            <w:pPr>
              <w:ind w:right="20"/>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345" w:type="dxa"/>
            <w:vAlign w:val="top"/>
          </w:tcPr>
          <w:p>
            <w:pPr>
              <w:pStyle w:val="TableText"/>
              <w:rPr/>
            </w:pPr>
            <w:r/>
          </w:p>
        </w:tc>
      </w:tr>
      <w:tr>
        <w:trPr>
          <w:trHeight w:val="314" w:hRule="atLeast"/>
        </w:trPr>
        <w:tc>
          <w:tcPr>
            <w:tcW w:w="1755"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39" w:type="dxa"/>
            <w:vAlign w:val="top"/>
          </w:tcPr>
          <w:p>
            <w:pPr>
              <w:pStyle w:val="TableText"/>
              <w:ind w:left="922"/>
              <w:spacing w:before="103" w:line="162" w:lineRule="auto"/>
              <w:rPr>
                <w:sz w:val="15"/>
                <w:szCs w:val="15"/>
              </w:rPr>
            </w:pPr>
            <w:r>
              <w:rPr>
                <w:sz w:val="15"/>
                <w:szCs w:val="15"/>
                <w:color w:val="212529"/>
                <w:spacing w:val="1"/>
              </w:rPr>
              <w:t>18.49</w:t>
            </w:r>
          </w:p>
        </w:tc>
        <w:tc>
          <w:tcPr>
            <w:tcW w:w="1345" w:type="dxa"/>
            <w:vAlign w:val="top"/>
          </w:tcPr>
          <w:p>
            <w:pPr>
              <w:pStyle w:val="TableText"/>
              <w:rPr/>
            </w:pPr>
            <w:r/>
          </w:p>
        </w:tc>
      </w:tr>
      <w:tr>
        <w:trPr>
          <w:trHeight w:val="314" w:hRule="atLeast"/>
        </w:trPr>
        <w:tc>
          <w:tcPr>
            <w:tcW w:w="1755"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39" w:type="dxa"/>
            <w:vAlign w:val="top"/>
          </w:tcPr>
          <w:p>
            <w:pPr>
              <w:pStyle w:val="TableText"/>
              <w:ind w:left="922"/>
              <w:spacing w:before="104" w:line="162" w:lineRule="auto"/>
              <w:rPr>
                <w:sz w:val="15"/>
                <w:szCs w:val="15"/>
              </w:rPr>
            </w:pPr>
            <w:r>
              <w:rPr>
                <w:sz w:val="15"/>
                <w:szCs w:val="15"/>
                <w:color w:val="212529"/>
                <w:spacing w:val="1"/>
              </w:rPr>
              <w:t>18.49</w:t>
            </w:r>
          </w:p>
        </w:tc>
        <w:tc>
          <w:tcPr>
            <w:tcW w:w="1345" w:type="dxa"/>
            <w:vAlign w:val="top"/>
          </w:tcPr>
          <w:p>
            <w:pPr>
              <w:pStyle w:val="TableText"/>
              <w:rPr/>
            </w:pPr>
            <w:r/>
          </w:p>
        </w:tc>
      </w:tr>
      <w:tr>
        <w:trPr>
          <w:trHeight w:val="319" w:hRule="atLeast"/>
        </w:trPr>
        <w:tc>
          <w:tcPr>
            <w:tcW w:w="1755"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26" w:type="dxa"/>
            <w:vAlign w:val="top"/>
          </w:tcPr>
          <w:p>
            <w:pPr>
              <w:ind w:left="1"/>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93" w:type="dxa"/>
            <w:vAlign w:val="top"/>
          </w:tcPr>
          <w:p>
            <w:pPr>
              <w:ind w:right="22"/>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39" w:type="dxa"/>
            <w:vAlign w:val="top"/>
          </w:tcPr>
          <w:p>
            <w:pPr>
              <w:ind w:right="20"/>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45"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673.39</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597.84</w:t>
            </w:r>
          </w:p>
        </w:tc>
        <w:tc>
          <w:tcPr>
            <w:tcW w:w="106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597.84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38.42</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38.42</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2"/>
              <w:spacing w:before="138"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0"/>
              <w:spacing w:before="138" w:line="172" w:lineRule="auto"/>
              <w:rPr>
                <w:sz w:val="14"/>
                <w:szCs w:val="14"/>
              </w:rPr>
            </w:pPr>
            <w:r>
              <w:rPr>
                <w:sz w:val="14"/>
                <w:szCs w:val="14"/>
                <w:color w:val="212529"/>
                <w:spacing w:val="1"/>
              </w:rPr>
              <w:t>673.</w:t>
            </w:r>
            <w:r>
              <w:rPr>
                <w:sz w:val="14"/>
                <w:szCs w:val="14"/>
                <w:color w:val="212529"/>
                <w:spacing w:val="1"/>
              </w:rPr>
              <w:t xml:space="preserve"> </w:t>
            </w:r>
            <w:r>
              <w:rPr>
                <w:sz w:val="14"/>
                <w:szCs w:val="14"/>
                <w:color w:val="212529"/>
                <w:spacing w:val="1"/>
              </w:rPr>
              <w:t>39</w:t>
            </w:r>
          </w:p>
        </w:tc>
        <w:tc>
          <w:tcPr>
            <w:tcW w:w="1069" w:type="dxa"/>
            <w:vAlign w:val="top"/>
          </w:tcPr>
          <w:p>
            <w:pPr>
              <w:pStyle w:val="TableText"/>
              <w:ind w:left="285"/>
              <w:spacing w:before="138"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2"/>
              <w:spacing w:before="136"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0"/>
              <w:spacing w:before="136"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1069" w:type="dxa"/>
            <w:vAlign w:val="top"/>
          </w:tcPr>
          <w:p>
            <w:pPr>
              <w:pStyle w:val="TableText"/>
              <w:ind w:left="285"/>
              <w:spacing w:before="136"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3294"/>
        <w:gridCol w:w="1480"/>
        <w:gridCol w:w="1361"/>
        <w:gridCol w:w="140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4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1409" w:type="dxa"/>
            <w:vAlign w:val="top"/>
            <w:tcBorders>
              <w:top w:val="single" w:color="FFFFFF" w:sz="4" w:space="0"/>
              <w:left w:val="single" w:color="FFFFFF" w:sz="2" w:space="0"/>
              <w:right w:val="single" w:color="FFFFFF" w:sz="2" w:space="0"/>
            </w:tcBorders>
          </w:tcPr>
          <w:p>
            <w:pPr>
              <w:ind w:left="73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08" w:type="dxa"/>
            <w:vAlign w:val="top"/>
            <w:gridSpan w:val="2"/>
          </w:tcPr>
          <w:p>
            <w:pPr>
              <w:ind w:left="228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50" w:type="dxa"/>
            <w:vAlign w:val="top"/>
            <w:gridSpan w:val="3"/>
          </w:tcPr>
          <w:p>
            <w:pPr>
              <w:ind w:left="163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14" w:type="dxa"/>
            <w:vAlign w:val="top"/>
          </w:tcPr>
          <w:p>
            <w:pPr>
              <w:ind w:left="46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80" w:type="dxa"/>
            <w:vAlign w:val="top"/>
          </w:tcPr>
          <w:p>
            <w:pPr>
              <w:ind w:left="572"/>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7"/>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08" w:type="dxa"/>
            <w:vAlign w:val="top"/>
            <w:gridSpan w:val="2"/>
          </w:tcPr>
          <w:p>
            <w:pPr>
              <w:ind w:left="228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80" w:type="dxa"/>
            <w:vAlign w:val="top"/>
          </w:tcPr>
          <w:p>
            <w:pPr>
              <w:pStyle w:val="TableText"/>
              <w:ind w:left="974"/>
              <w:spacing w:before="87"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1361" w:type="dxa"/>
            <w:vAlign w:val="top"/>
          </w:tcPr>
          <w:p>
            <w:pPr>
              <w:pStyle w:val="TableText"/>
              <w:ind w:left="856"/>
              <w:spacing w:before="87" w:line="173" w:lineRule="auto"/>
              <w:rPr>
                <w:sz w:val="14"/>
                <w:szCs w:val="14"/>
              </w:rPr>
            </w:pPr>
            <w:r>
              <w:rPr>
                <w:sz w:val="14"/>
                <w:szCs w:val="14"/>
                <w:color w:val="212529"/>
              </w:rPr>
              <w:t>213.</w:t>
            </w:r>
            <w:r>
              <w:rPr>
                <w:sz w:val="14"/>
                <w:szCs w:val="14"/>
                <w:color w:val="212529"/>
                <w:spacing w:val="6"/>
              </w:rPr>
              <w:t xml:space="preserve"> </w:t>
            </w:r>
            <w:r>
              <w:rPr>
                <w:sz w:val="14"/>
                <w:szCs w:val="14"/>
                <w:color w:val="212529"/>
              </w:rPr>
              <w:t>39</w:t>
            </w:r>
          </w:p>
        </w:tc>
        <w:tc>
          <w:tcPr>
            <w:tcW w:w="1409" w:type="dxa"/>
            <w:vAlign w:val="top"/>
          </w:tcPr>
          <w:p>
            <w:pPr>
              <w:pStyle w:val="TableText"/>
              <w:ind w:left="895"/>
              <w:spacing w:before="87" w:line="172" w:lineRule="auto"/>
              <w:rPr>
                <w:sz w:val="14"/>
                <w:szCs w:val="14"/>
              </w:rPr>
            </w:pPr>
            <w:r>
              <w:rPr>
                <w:sz w:val="14"/>
                <w:szCs w:val="14"/>
                <w:color w:val="212529"/>
              </w:rPr>
              <w:t>460.</w:t>
            </w:r>
            <w:r>
              <w:rPr>
                <w:sz w:val="14"/>
                <w:szCs w:val="14"/>
                <w:color w:val="212529"/>
                <w:spacing w:val="9"/>
              </w:rPr>
              <w:t xml:space="preserve"> </w:t>
            </w:r>
            <w:r>
              <w:rPr>
                <w:sz w:val="14"/>
                <w:szCs w:val="14"/>
                <w:color w:val="212529"/>
              </w:rPr>
              <w:t>00</w:t>
            </w:r>
          </w:p>
        </w:tc>
      </w:tr>
      <w:tr>
        <w:trPr>
          <w:trHeight w:val="292" w:hRule="atLeast"/>
        </w:trPr>
        <w:tc>
          <w:tcPr>
            <w:tcW w:w="161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94"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80"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597.84</w:t>
            </w:r>
          </w:p>
        </w:tc>
        <w:tc>
          <w:tcPr>
            <w:tcW w:w="1361"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409"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460.00</w:t>
            </w:r>
          </w:p>
        </w:tc>
      </w:tr>
      <w:tr>
        <w:trPr>
          <w:trHeight w:val="292" w:hRule="atLeast"/>
        </w:trPr>
        <w:tc>
          <w:tcPr>
            <w:tcW w:w="161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94" w:type="dxa"/>
            <w:vAlign w:val="top"/>
          </w:tcPr>
          <w:p>
            <w:pPr>
              <w:ind w:left="2"/>
              <w:spacing w:before="6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80"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550.44</w:t>
            </w:r>
          </w:p>
        </w:tc>
        <w:tc>
          <w:tcPr>
            <w:tcW w:w="1361"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409"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412.60</w:t>
            </w:r>
          </w:p>
        </w:tc>
      </w:tr>
      <w:tr>
        <w:trPr>
          <w:trHeight w:val="292" w:hRule="atLeast"/>
        </w:trPr>
        <w:tc>
          <w:tcPr>
            <w:tcW w:w="161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94"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361"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409" w:type="dxa"/>
            <w:vAlign w:val="top"/>
          </w:tcPr>
          <w:p>
            <w:pPr>
              <w:pStyle w:val="TableText"/>
              <w:rPr/>
            </w:pPr>
            <w:r/>
          </w:p>
        </w:tc>
      </w:tr>
      <w:tr>
        <w:trPr>
          <w:trHeight w:val="292"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94" w:type="dxa"/>
            <w:vAlign w:val="top"/>
          </w:tcPr>
          <w:p>
            <w:pPr>
              <w:ind w:left="1"/>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412.60</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412.60</w:t>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294" w:type="dxa"/>
            <w:vAlign w:val="top"/>
          </w:tcPr>
          <w:p>
            <w:pPr>
              <w:ind w:left="3"/>
              <w:spacing w:before="71"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20113</w:t>
            </w:r>
          </w:p>
        </w:tc>
        <w:tc>
          <w:tcPr>
            <w:tcW w:w="3294" w:type="dxa"/>
            <w:vAlign w:val="top"/>
          </w:tcPr>
          <w:p>
            <w:pPr>
              <w:ind w:left="4"/>
              <w:spacing w:before="73" w:line="229" w:lineRule="auto"/>
              <w:rPr>
                <w:rFonts w:ascii="SimSun" w:hAnsi="SimSun" w:eastAsia="SimSun" w:cs="SimSun"/>
                <w:sz w:val="15"/>
                <w:szCs w:val="15"/>
              </w:rPr>
            </w:pPr>
            <w:r>
              <w:rPr>
                <w:rFonts w:ascii="SimSun" w:hAnsi="SimSun" w:eastAsia="SimSun" w:cs="SimSun"/>
                <w:sz w:val="15"/>
                <w:szCs w:val="15"/>
                <w:color w:val="212529"/>
                <w:spacing w:val="9"/>
              </w:rPr>
              <w:t>商贸事务</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2011308</w:t>
            </w:r>
          </w:p>
        </w:tc>
        <w:tc>
          <w:tcPr>
            <w:tcW w:w="3294" w:type="dxa"/>
            <w:vAlign w:val="top"/>
          </w:tcPr>
          <w:p>
            <w:pPr>
              <w:ind w:left="2"/>
              <w:spacing w:before="72" w:line="230" w:lineRule="auto"/>
              <w:rPr>
                <w:rFonts w:ascii="SimSun" w:hAnsi="SimSun" w:eastAsia="SimSun" w:cs="SimSun"/>
                <w:sz w:val="15"/>
                <w:szCs w:val="15"/>
              </w:rPr>
            </w:pPr>
            <w:r>
              <w:rPr>
                <w:rFonts w:ascii="SimSun" w:hAnsi="SimSun" w:eastAsia="SimSun" w:cs="SimSun"/>
                <w:sz w:val="15"/>
                <w:szCs w:val="15"/>
                <w:color w:val="212529"/>
                <w:spacing w:val="9"/>
              </w:rPr>
              <w:t>招商引资</w:t>
            </w:r>
          </w:p>
        </w:tc>
        <w:tc>
          <w:tcPr>
            <w:tcW w:w="1480" w:type="dxa"/>
            <w:vAlign w:val="top"/>
          </w:tcPr>
          <w:p>
            <w:pPr>
              <w:ind w:right="17"/>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294" w:type="dxa"/>
            <w:vAlign w:val="top"/>
          </w:tcPr>
          <w:p>
            <w:pPr>
              <w:ind w:left="1"/>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2013699</w:t>
            </w:r>
          </w:p>
        </w:tc>
        <w:tc>
          <w:tcPr>
            <w:tcW w:w="3294" w:type="dxa"/>
            <w:vAlign w:val="top"/>
          </w:tcPr>
          <w:p>
            <w:pPr>
              <w:ind w:left="1"/>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293" w:hRule="atLeast"/>
        </w:trPr>
        <w:tc>
          <w:tcPr>
            <w:tcW w:w="161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94" w:type="dxa"/>
            <w:vAlign w:val="top"/>
          </w:tcPr>
          <w:p>
            <w:pPr>
              <w:ind w:left="3"/>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38.42</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38.42</w:t>
            </w:r>
          </w:p>
        </w:tc>
        <w:tc>
          <w:tcPr>
            <w:tcW w:w="1409" w:type="dxa"/>
            <w:vAlign w:val="top"/>
          </w:tcPr>
          <w:p>
            <w:pPr>
              <w:pStyle w:val="TableText"/>
              <w:rPr/>
            </w:pPr>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ind w:left="2"/>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36.15</w:t>
            </w:r>
          </w:p>
        </w:tc>
        <w:tc>
          <w:tcPr>
            <w:tcW w:w="1361"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36.15</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94"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409" w:type="dxa"/>
            <w:vAlign w:val="top"/>
          </w:tcPr>
          <w:p>
            <w:pPr>
              <w:pStyle w:val="TableText"/>
              <w:rPr/>
            </w:pPr>
            <w:r/>
          </w:p>
        </w:tc>
      </w:tr>
      <w:tr>
        <w:trPr>
          <w:trHeight w:val="292" w:hRule="atLeast"/>
        </w:trPr>
        <w:tc>
          <w:tcPr>
            <w:tcW w:w="161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409" w:type="dxa"/>
            <w:vAlign w:val="top"/>
          </w:tcPr>
          <w:p>
            <w:pPr>
              <w:pStyle w:val="TableText"/>
              <w:rPr/>
            </w:pPr>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294" w:type="dxa"/>
            <w:vAlign w:val="top"/>
          </w:tcPr>
          <w:p>
            <w:pPr>
              <w:ind w:left="1"/>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409" w:type="dxa"/>
            <w:vAlign w:val="top"/>
          </w:tcPr>
          <w:p>
            <w:pPr>
              <w:pStyle w:val="TableText"/>
              <w:rPr/>
            </w:pPr>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294" w:type="dxa"/>
            <w:vAlign w:val="top"/>
          </w:tcPr>
          <w:p>
            <w:pPr>
              <w:ind w:left="1"/>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409" w:type="dxa"/>
            <w:vAlign w:val="top"/>
          </w:tcPr>
          <w:p>
            <w:pPr>
              <w:pStyle w:val="TableText"/>
              <w:rPr/>
            </w:pPr>
            <w:r/>
          </w:p>
        </w:tc>
      </w:tr>
      <w:tr>
        <w:trPr>
          <w:trHeight w:val="292"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409" w:type="dxa"/>
            <w:vAlign w:val="top"/>
          </w:tcPr>
          <w:p>
            <w:pPr>
              <w:pStyle w:val="TableText"/>
              <w:rPr/>
            </w:pPr>
            <w:r/>
          </w:p>
        </w:tc>
      </w:tr>
      <w:tr>
        <w:trPr>
          <w:trHeight w:val="293"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294" w:type="dxa"/>
            <w:vAlign w:val="top"/>
          </w:tcPr>
          <w:p>
            <w:pPr>
              <w:ind w:left="1"/>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361"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409" w:type="dxa"/>
            <w:vAlign w:val="top"/>
          </w:tcPr>
          <w:p>
            <w:pPr>
              <w:pStyle w:val="TableText"/>
              <w:rPr/>
            </w:pPr>
            <w:r/>
          </w:p>
        </w:tc>
      </w:tr>
      <w:tr>
        <w:trPr>
          <w:trHeight w:val="292"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ind w:left="3"/>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409" w:type="dxa"/>
            <w:vAlign w:val="top"/>
          </w:tcPr>
          <w:p>
            <w:pPr>
              <w:pStyle w:val="TableText"/>
              <w:rPr/>
            </w:pPr>
            <w:r/>
          </w:p>
        </w:tc>
      </w:tr>
      <w:tr>
        <w:trPr>
          <w:trHeight w:val="292"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ind w:left="2"/>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361"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409" w:type="dxa"/>
            <w:vAlign w:val="top"/>
          </w:tcPr>
          <w:p>
            <w:pPr>
              <w:pStyle w:val="TableText"/>
              <w:rPr/>
            </w:pPr>
            <w:r/>
          </w:p>
        </w:tc>
      </w:tr>
      <w:tr>
        <w:trPr>
          <w:trHeight w:val="293" w:hRule="atLeast"/>
        </w:trPr>
        <w:tc>
          <w:tcPr>
            <w:tcW w:w="1614"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ind w:left="3"/>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409" w:type="dxa"/>
            <w:vAlign w:val="top"/>
          </w:tcPr>
          <w:p>
            <w:pPr>
              <w:pStyle w:val="TableText"/>
              <w:rPr/>
            </w:pPr>
            <w:r/>
          </w:p>
        </w:tc>
      </w:tr>
      <w:tr>
        <w:trPr>
          <w:trHeight w:val="292" w:hRule="atLeast"/>
        </w:trPr>
        <w:tc>
          <w:tcPr>
            <w:tcW w:w="1614"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361"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409" w:type="dxa"/>
            <w:vAlign w:val="top"/>
          </w:tcPr>
          <w:p>
            <w:pPr>
              <w:pStyle w:val="TableText"/>
              <w:rPr/>
            </w:pPr>
            <w:r/>
          </w:p>
        </w:tc>
      </w:tr>
      <w:tr>
        <w:trPr>
          <w:trHeight w:val="292" w:hRule="atLeast"/>
        </w:trPr>
        <w:tc>
          <w:tcPr>
            <w:tcW w:w="1614"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ind w:left="2"/>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409" w:type="dxa"/>
            <w:vAlign w:val="top"/>
          </w:tcPr>
          <w:p>
            <w:pPr>
              <w:pStyle w:val="TableText"/>
              <w:rPr/>
            </w:pPr>
            <w:r/>
          </w:p>
        </w:tc>
      </w:tr>
      <w:tr>
        <w:trPr>
          <w:trHeight w:val="293" w:hRule="atLeast"/>
        </w:trPr>
        <w:tc>
          <w:tcPr>
            <w:tcW w:w="1614"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ind w:left="2"/>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80"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61"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409" w:type="dxa"/>
            <w:vAlign w:val="top"/>
          </w:tcPr>
          <w:p>
            <w:pPr>
              <w:pStyle w:val="TableText"/>
              <w:rPr/>
            </w:pPr>
            <w:r/>
          </w:p>
        </w:tc>
      </w:tr>
      <w:tr>
        <w:trPr>
          <w:trHeight w:val="298" w:hRule="atLeast"/>
        </w:trPr>
        <w:tc>
          <w:tcPr>
            <w:tcW w:w="1614"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ind w:left="2"/>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80" w:type="dxa"/>
            <w:vAlign w:val="top"/>
          </w:tcPr>
          <w:p>
            <w:pPr>
              <w:ind w:right="1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61" w:type="dxa"/>
            <w:vAlign w:val="top"/>
          </w:tcPr>
          <w:p>
            <w:pPr>
              <w:ind w:right="1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409"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1"/>
              <w:spacing w:before="87" w:line="186" w:lineRule="auto"/>
              <w:rPr>
                <w:sz w:val="13"/>
                <w:szCs w:val="13"/>
              </w:rPr>
            </w:pPr>
            <w:r>
              <w:rPr>
                <w:sz w:val="13"/>
                <w:szCs w:val="13"/>
                <w:color w:val="212529"/>
                <w:spacing w:val="4"/>
              </w:rPr>
              <w:t>213.</w:t>
            </w:r>
            <w:r>
              <w:rPr>
                <w:sz w:val="13"/>
                <w:szCs w:val="13"/>
                <w:color w:val="212529"/>
                <w:spacing w:val="15"/>
                <w:w w:val="102"/>
              </w:rPr>
              <w:t xml:space="preserve"> </w:t>
            </w:r>
            <w:r>
              <w:rPr>
                <w:sz w:val="13"/>
                <w:szCs w:val="13"/>
                <w:color w:val="212529"/>
                <w:spacing w:val="4"/>
              </w:rPr>
              <w:t>39</w:t>
            </w:r>
          </w:p>
        </w:tc>
        <w:tc>
          <w:tcPr>
            <w:tcW w:w="1188" w:type="dxa"/>
            <w:vAlign w:val="top"/>
          </w:tcPr>
          <w:p>
            <w:pPr>
              <w:pStyle w:val="TableText"/>
              <w:ind w:left="684"/>
              <w:spacing w:before="87" w:line="186" w:lineRule="auto"/>
              <w:rPr>
                <w:sz w:val="13"/>
                <w:szCs w:val="13"/>
              </w:rPr>
            </w:pPr>
            <w:r>
              <w:rPr>
                <w:sz w:val="13"/>
                <w:szCs w:val="13"/>
                <w:color w:val="212529"/>
                <w:spacing w:val="5"/>
              </w:rPr>
              <w:t>200.</w:t>
            </w:r>
            <w:r>
              <w:rPr>
                <w:sz w:val="13"/>
                <w:szCs w:val="13"/>
                <w:color w:val="212529"/>
                <w:spacing w:val="9"/>
              </w:rPr>
              <w:t xml:space="preserve"> </w:t>
            </w:r>
            <w:r>
              <w:rPr>
                <w:sz w:val="13"/>
                <w:szCs w:val="13"/>
                <w:color w:val="212529"/>
                <w:spacing w:val="5"/>
              </w:rPr>
              <w:t>85</w:t>
            </w:r>
          </w:p>
        </w:tc>
        <w:tc>
          <w:tcPr>
            <w:tcW w:w="1118" w:type="dxa"/>
            <w:vAlign w:val="top"/>
          </w:tcPr>
          <w:p>
            <w:pPr>
              <w:pStyle w:val="TableText"/>
              <w:ind w:left="699"/>
              <w:spacing w:before="86" w:line="162" w:lineRule="auto"/>
              <w:rPr>
                <w:sz w:val="15"/>
                <w:szCs w:val="15"/>
              </w:rPr>
            </w:pPr>
            <w:r>
              <w:rPr>
                <w:sz w:val="15"/>
                <w:szCs w:val="15"/>
                <w:color w:val="212529"/>
                <w:spacing w:val="2"/>
              </w:rPr>
              <w:t>12.54</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197.43</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197.43</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70.23</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70.23</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8.28</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8.28</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43.79</w:t>
            </w:r>
          </w:p>
        </w:tc>
        <w:tc>
          <w:tcPr>
            <w:tcW w:w="1118" w:type="dxa"/>
            <w:vAlign w:val="top"/>
          </w:tcPr>
          <w:p>
            <w:pPr>
              <w:pStyle w:val="TableText"/>
              <w:rPr/>
            </w:pPr>
            <w:r/>
          </w:p>
        </w:tc>
      </w:tr>
      <w:tr>
        <w:trPr>
          <w:trHeight w:val="293"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118" w:type="dxa"/>
            <w:vAlign w:val="top"/>
          </w:tcPr>
          <w:p>
            <w:pPr>
              <w:pStyle w:val="TableText"/>
              <w:rPr/>
            </w:pPr>
            <w:r/>
          </w:p>
        </w:tc>
      </w:tr>
      <w:tr>
        <w:trPr>
          <w:trHeight w:val="292" w:hRule="atLeast"/>
        </w:trPr>
        <w:tc>
          <w:tcPr>
            <w:tcW w:w="3310"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118" w:type="dxa"/>
            <w:vAlign w:val="top"/>
          </w:tcPr>
          <w:p>
            <w:pPr>
              <w:pStyle w:val="TableText"/>
              <w:rPr/>
            </w:pPr>
            <w:r/>
          </w:p>
        </w:tc>
      </w:tr>
      <w:tr>
        <w:trPr>
          <w:trHeight w:val="293"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12.63</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12.63</w:t>
            </w:r>
          </w:p>
        </w:tc>
        <w:tc>
          <w:tcPr>
            <w:tcW w:w="1118" w:type="dxa"/>
            <w:vAlign w:val="top"/>
          </w:tcPr>
          <w:p>
            <w:pPr>
              <w:pStyle w:val="TableText"/>
              <w:rPr/>
            </w:pPr>
            <w:r/>
          </w:p>
        </w:tc>
      </w:tr>
      <w:tr>
        <w:trPr>
          <w:trHeight w:val="293" w:hRule="atLeast"/>
        </w:trPr>
        <w:tc>
          <w:tcPr>
            <w:tcW w:w="3310"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188" w:type="dxa"/>
            <w:vAlign w:val="top"/>
          </w:tcPr>
          <w:p>
            <w:pPr>
              <w:ind w:right="16"/>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118" w:type="dxa"/>
            <w:vAlign w:val="top"/>
          </w:tcPr>
          <w:p>
            <w:pPr>
              <w:pStyle w:val="TableText"/>
              <w:rPr/>
            </w:pPr>
            <w:r/>
          </w:p>
        </w:tc>
      </w:tr>
      <w:tr>
        <w:trPr>
          <w:trHeight w:val="293"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0.73</w:t>
            </w:r>
          </w:p>
        </w:tc>
        <w:tc>
          <w:tcPr>
            <w:tcW w:w="1118" w:type="dxa"/>
            <w:vAlign w:val="top"/>
          </w:tcPr>
          <w:p>
            <w:pPr>
              <w:pStyle w:val="TableText"/>
              <w:rPr/>
            </w:pPr>
            <w:r/>
          </w:p>
        </w:tc>
      </w:tr>
      <w:tr>
        <w:trPr>
          <w:trHeight w:val="293" w:hRule="atLeast"/>
        </w:trPr>
        <w:tc>
          <w:tcPr>
            <w:tcW w:w="3310"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118" w:type="dxa"/>
            <w:vAlign w:val="top"/>
          </w:tcPr>
          <w:p>
            <w:pPr>
              <w:pStyle w:val="TableText"/>
              <w:rPr/>
            </w:pPr>
            <w:r/>
          </w:p>
        </w:tc>
      </w:tr>
      <w:tr>
        <w:trPr>
          <w:trHeight w:val="293" w:hRule="atLeast"/>
        </w:trPr>
        <w:tc>
          <w:tcPr>
            <w:tcW w:w="3310" w:type="dxa"/>
            <w:vAlign w:val="top"/>
          </w:tcPr>
          <w:p>
            <w:pPr>
              <w:ind w:left="330"/>
              <w:spacing w:before="71"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w:t>
            </w:r>
          </w:p>
        </w:tc>
        <w:tc>
          <w:tcPr>
            <w:tcW w:w="1118" w:type="dxa"/>
            <w:vAlign w:val="top"/>
          </w:tcPr>
          <w:p>
            <w:pPr>
              <w:pStyle w:val="TableText"/>
              <w:rPr/>
            </w:pPr>
            <w:r/>
          </w:p>
        </w:tc>
      </w:tr>
      <w:tr>
        <w:trPr>
          <w:trHeight w:val="292" w:hRule="atLeast"/>
        </w:trPr>
        <w:tc>
          <w:tcPr>
            <w:tcW w:w="3310"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12.54</w:t>
            </w:r>
          </w:p>
        </w:tc>
        <w:tc>
          <w:tcPr>
            <w:tcW w:w="1188" w:type="dxa"/>
            <w:vAlign w:val="top"/>
          </w:tcPr>
          <w:p>
            <w:pPr>
              <w:pStyle w:val="TableText"/>
              <w:rPr/>
            </w:pPr>
            <w:r/>
          </w:p>
        </w:tc>
        <w:tc>
          <w:tcPr>
            <w:tcW w:w="1118"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12.54</w:t>
            </w:r>
          </w:p>
        </w:tc>
      </w:tr>
      <w:tr>
        <w:trPr>
          <w:trHeight w:val="293" w:hRule="atLeast"/>
        </w:trPr>
        <w:tc>
          <w:tcPr>
            <w:tcW w:w="3310"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310" w:type="dxa"/>
            <w:vAlign w:val="top"/>
          </w:tcPr>
          <w:p>
            <w:pPr>
              <w:ind w:left="344"/>
              <w:spacing w:before="71"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r>
      <w:tr>
        <w:trPr>
          <w:trHeight w:val="293" w:hRule="atLeast"/>
        </w:trPr>
        <w:tc>
          <w:tcPr>
            <w:tcW w:w="3310" w:type="dxa"/>
            <w:vAlign w:val="top"/>
          </w:tcPr>
          <w:p>
            <w:pPr>
              <w:ind w:left="349"/>
              <w:spacing w:before="71"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r>
      <w:tr>
        <w:trPr>
          <w:trHeight w:val="293" w:hRule="atLeast"/>
        </w:trPr>
        <w:tc>
          <w:tcPr>
            <w:tcW w:w="3310" w:type="dxa"/>
            <w:vAlign w:val="top"/>
          </w:tcPr>
          <w:p>
            <w:pPr>
              <w:ind w:left="343"/>
              <w:spacing w:before="71"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r>
      <w:tr>
        <w:trPr>
          <w:trHeight w:val="292" w:hRule="atLeast"/>
        </w:trPr>
        <w:tc>
          <w:tcPr>
            <w:tcW w:w="3310"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310" w:type="dxa"/>
            <w:vAlign w:val="top"/>
          </w:tcPr>
          <w:p>
            <w:pPr>
              <w:ind w:left="333"/>
              <w:spacing w:before="72"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r>
      <w:tr>
        <w:trPr>
          <w:trHeight w:val="293"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188" w:type="dxa"/>
            <w:vAlign w:val="top"/>
          </w:tcPr>
          <w:p>
            <w:pPr>
              <w:pStyle w:val="TableText"/>
              <w:rPr/>
            </w:pPr>
            <w:r/>
          </w:p>
        </w:tc>
        <w:tc>
          <w:tcPr>
            <w:tcW w:w="1118" w:type="dxa"/>
            <w:vAlign w:val="top"/>
          </w:tcPr>
          <w:p>
            <w:pPr>
              <w:ind w:right="22"/>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0.27</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0.27</w:t>
            </w:r>
          </w:p>
        </w:tc>
      </w:tr>
      <w:tr>
        <w:trPr>
          <w:trHeight w:val="292" w:hRule="atLeast"/>
        </w:trPr>
        <w:tc>
          <w:tcPr>
            <w:tcW w:w="3310"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78" w:type="dxa"/>
            <w:vAlign w:val="top"/>
          </w:tcPr>
          <w:p>
            <w:pPr>
              <w:ind w:left="331"/>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r>
      <w:tr>
        <w:trPr>
          <w:trHeight w:val="293"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r>
      <w:tr>
        <w:trPr>
          <w:trHeight w:val="292" w:hRule="atLeast"/>
        </w:trPr>
        <w:tc>
          <w:tcPr>
            <w:tcW w:w="331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r>
      <w:tr>
        <w:trPr>
          <w:trHeight w:val="292" w:hRule="atLeast"/>
        </w:trPr>
        <w:tc>
          <w:tcPr>
            <w:tcW w:w="3310"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118" w:type="dxa"/>
            <w:vAlign w:val="top"/>
          </w:tcPr>
          <w:p>
            <w:pPr>
              <w:pStyle w:val="TableText"/>
              <w:rPr/>
            </w:pPr>
            <w:r/>
          </w:p>
        </w:tc>
      </w:tr>
      <w:tr>
        <w:trPr>
          <w:trHeight w:val="298" w:hRule="atLeast"/>
        </w:trPr>
        <w:tc>
          <w:tcPr>
            <w:tcW w:w="3310"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118" w:type="dxa"/>
            <w:vAlign w:val="top"/>
          </w:tcPr>
          <w:p>
            <w:pPr>
              <w:pStyle w:val="TableText"/>
              <w:rPr/>
            </w:pPr>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9"/>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9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9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9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82" w:type="dxa"/>
            <w:vAlign w:val="top"/>
          </w:tcPr>
          <w:p>
            <w:pPr>
              <w:pStyle w:val="TableText"/>
              <w:rPr/>
            </w:pPr>
            <w:r/>
          </w:p>
        </w:tc>
        <w:tc>
          <w:tcPr>
            <w:tcW w:w="1420" w:type="dxa"/>
            <w:vAlign w:val="top"/>
          </w:tcPr>
          <w:p>
            <w:pPr>
              <w:pStyle w:val="TableText"/>
              <w:rPr/>
            </w:pPr>
            <w:r/>
          </w:p>
        </w:tc>
      </w:tr>
    </w:tbl>
    <w:p>
      <w:pPr>
        <w:pStyle w:val="BodyText"/>
        <w:rPr/>
      </w:pPr>
      <w:r/>
    </w:p>
    <w:p>
      <w:pPr>
        <w:sectPr>
          <w:headerReference w:type="default" r:id="rId9"/>
          <w:footerReference w:type="default" r:id="rId27"/>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9"/>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02"/>
        <w:gridCol w:w="1166"/>
        <w:gridCol w:w="1166"/>
        <w:gridCol w:w="832"/>
        <w:gridCol w:w="1253"/>
        <w:gridCol w:w="1080"/>
        <w:gridCol w:w="859"/>
      </w:tblGrid>
      <w:tr>
        <w:trPr>
          <w:trHeight w:val="384" w:hRule="atLeast"/>
        </w:trPr>
        <w:tc>
          <w:tcPr>
            <w:tcW w:w="28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9" w:type="dxa"/>
            <w:vAlign w:val="top"/>
            <w:gridSpan w:val="2"/>
            <w:tcBorders>
              <w:bottom w:val="single" w:color="FFFFFF" w:sz="4" w:space="0"/>
              <w:top w:val="single" w:color="FFFFFF" w:sz="4" w:space="0"/>
              <w:left w:val="single" w:color="FFFFFF" w:sz="2" w:space="0"/>
              <w:right w:val="single" w:color="FFFFFF" w:sz="2" w:space="0"/>
            </w:tcBorders>
          </w:tcPr>
          <w:p>
            <w:pPr>
              <w:ind w:left="113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19"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1939" w:type="dxa"/>
            <w:vAlign w:val="top"/>
            <w:gridSpan w:val="2"/>
            <w:tcBorders>
              <w:top w:val="single" w:color="FFFFFF" w:sz="4" w:space="0"/>
              <w:left w:val="single" w:color="FFFFFF" w:sz="2" w:space="0"/>
              <w:right w:val="single" w:color="FFFFFF" w:sz="2" w:space="0"/>
            </w:tcBorders>
          </w:tcPr>
          <w:p>
            <w:pPr>
              <w:ind w:left="1266"/>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802" w:type="dxa"/>
            <w:vAlign w:val="top"/>
            <w:vMerge w:val="restart"/>
            <w:tcBorders>
              <w:bottom w:val="nil"/>
            </w:tcBorders>
          </w:tcPr>
          <w:p>
            <w:pPr>
              <w:ind w:left="1065"/>
              <w:spacing w:before="30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66" w:type="dxa"/>
            <w:vAlign w:val="top"/>
            <w:vMerge w:val="restart"/>
            <w:tcBorders>
              <w:bottom w:val="nil"/>
            </w:tcBorders>
          </w:tcPr>
          <w:p>
            <w:pPr>
              <w:ind w:left="412"/>
              <w:spacing w:before="30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51" w:type="dxa"/>
            <w:vAlign w:val="top"/>
            <w:gridSpan w:val="3"/>
          </w:tcPr>
          <w:p>
            <w:pPr>
              <w:ind w:left="1052"/>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9"/>
              <w:spacing w:before="21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9"/>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59" w:type="dxa"/>
            <w:vAlign w:val="top"/>
            <w:vMerge w:val="restart"/>
            <w:tcBorders>
              <w:bottom w:val="nil"/>
            </w:tcBorders>
          </w:tcPr>
          <w:p>
            <w:pPr>
              <w:ind w:left="96"/>
              <w:spacing w:before="30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02" w:type="dxa"/>
            <w:vAlign w:val="top"/>
            <w:vMerge w:val="continue"/>
            <w:tcBorders>
              <w:top w:val="nil"/>
            </w:tcBorders>
          </w:tcPr>
          <w:p>
            <w:pPr>
              <w:pStyle w:val="TableText"/>
              <w:rPr/>
            </w:pPr>
            <w:r/>
          </w:p>
        </w:tc>
        <w:tc>
          <w:tcPr>
            <w:tcW w:w="1166" w:type="dxa"/>
            <w:vAlign w:val="top"/>
            <w:vMerge w:val="continue"/>
            <w:tcBorders>
              <w:top w:val="nil"/>
            </w:tcBorders>
          </w:tcPr>
          <w:p>
            <w:pPr>
              <w:pStyle w:val="TableText"/>
              <w:rPr/>
            </w:pPr>
            <w:r/>
          </w:p>
        </w:tc>
        <w:tc>
          <w:tcPr>
            <w:tcW w:w="1166" w:type="dxa"/>
            <w:vAlign w:val="top"/>
          </w:tcPr>
          <w:p>
            <w:pPr>
              <w:ind w:left="86"/>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2" w:right="95" w:hanging="79"/>
              <w:spacing w:before="2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53" w:type="dxa"/>
            <w:vAlign w:val="top"/>
          </w:tcPr>
          <w:p>
            <w:pPr>
              <w:ind w:left="67"/>
              <w:spacing w:before="2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3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59" w:type="dxa"/>
            <w:vAlign w:val="top"/>
            <w:vMerge w:val="continue"/>
            <w:tcBorders>
              <w:top w:val="nil"/>
            </w:tcBorders>
          </w:tcPr>
          <w:p>
            <w:pPr>
              <w:pStyle w:val="TableText"/>
              <w:rPr/>
            </w:pPr>
            <w:r/>
          </w:p>
        </w:tc>
      </w:tr>
      <w:tr>
        <w:trPr>
          <w:trHeight w:val="379" w:hRule="atLeast"/>
        </w:trPr>
        <w:tc>
          <w:tcPr>
            <w:tcW w:w="2802" w:type="dxa"/>
            <w:vAlign w:val="top"/>
          </w:tcPr>
          <w:p>
            <w:pPr>
              <w:ind w:left="1363"/>
              <w:spacing w:before="111"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66" w:type="dxa"/>
            <w:vAlign w:val="top"/>
          </w:tcPr>
          <w:p>
            <w:pPr>
              <w:ind w:left="536"/>
              <w:spacing w:before="111"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66" w:type="dxa"/>
            <w:vAlign w:val="top"/>
          </w:tcPr>
          <w:p>
            <w:pPr>
              <w:ind w:left="538"/>
              <w:spacing w:before="111"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7"/>
              <w:spacing w:before="111"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53" w:type="dxa"/>
            <w:vAlign w:val="top"/>
          </w:tcPr>
          <w:p>
            <w:pPr>
              <w:ind w:left="582"/>
              <w:spacing w:before="111"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6"/>
              <w:spacing w:before="111"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59" w:type="dxa"/>
            <w:vAlign w:val="top"/>
          </w:tcPr>
          <w:p>
            <w:pPr>
              <w:ind w:left="387"/>
              <w:spacing w:before="111"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802" w:type="dxa"/>
            <w:vAlign w:val="top"/>
          </w:tcPr>
          <w:p>
            <w:pPr>
              <w:ind w:left="7"/>
              <w:spacing w:before="111" w:line="229" w:lineRule="auto"/>
              <w:rPr>
                <w:rFonts w:ascii="SimSun" w:hAnsi="SimSun" w:eastAsia="SimSun" w:cs="SimSun"/>
                <w:sz w:val="15"/>
                <w:szCs w:val="15"/>
              </w:rPr>
            </w:pPr>
            <w:r>
              <w:rPr>
                <w:rFonts w:ascii="SimSun" w:hAnsi="SimSun" w:eastAsia="SimSun" w:cs="SimSun"/>
                <w:sz w:val="15"/>
                <w:szCs w:val="15"/>
                <w:color w:val="212529"/>
                <w:spacing w:val="11"/>
              </w:rPr>
              <w:t>长治高新区翟店工业园事业服务中心</w:t>
            </w:r>
          </w:p>
        </w:tc>
        <w:tc>
          <w:tcPr>
            <w:tcW w:w="1166"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460.00</w:t>
            </w:r>
          </w:p>
        </w:tc>
        <w:tc>
          <w:tcPr>
            <w:tcW w:w="1166"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88"/>
              <w:spacing w:before="111" w:line="229" w:lineRule="auto"/>
              <w:rPr>
                <w:rFonts w:ascii="SimSun" w:hAnsi="SimSun" w:eastAsia="SimSun" w:cs="SimSun"/>
                <w:sz w:val="15"/>
                <w:szCs w:val="15"/>
              </w:rPr>
            </w:pPr>
            <w:r>
              <w:rPr>
                <w:rFonts w:ascii="SimSun" w:hAnsi="SimSun" w:eastAsia="SimSun" w:cs="SimSun"/>
                <w:sz w:val="15"/>
                <w:szCs w:val="15"/>
                <w:color w:val="212529"/>
                <w:spacing w:val="11"/>
              </w:rPr>
              <w:t>长治高新区翟店工业园事业服务中心</w:t>
            </w:r>
          </w:p>
        </w:tc>
        <w:tc>
          <w:tcPr>
            <w:tcW w:w="1166"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460.00</w:t>
            </w:r>
          </w:p>
        </w:tc>
        <w:tc>
          <w:tcPr>
            <w:tcW w:w="1166"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1"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166"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120.00</w:t>
            </w:r>
          </w:p>
        </w:tc>
        <w:tc>
          <w:tcPr>
            <w:tcW w:w="1166"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2"/>
              <w:spacing w:before="111" w:line="229" w:lineRule="auto"/>
              <w:rPr>
                <w:rFonts w:ascii="SimSun" w:hAnsi="SimSun" w:eastAsia="SimSun" w:cs="SimSun"/>
                <w:sz w:val="15"/>
                <w:szCs w:val="15"/>
              </w:rPr>
            </w:pPr>
            <w:r>
              <w:rPr>
                <w:rFonts w:ascii="SimSun" w:hAnsi="SimSun" w:eastAsia="SimSun" w:cs="SimSun"/>
                <w:sz w:val="15"/>
                <w:szCs w:val="15"/>
                <w:color w:val="212529"/>
                <w:spacing w:val="10"/>
              </w:rPr>
              <w:t>安全专家劳务费</w:t>
            </w:r>
          </w:p>
        </w:tc>
        <w:tc>
          <w:tcPr>
            <w:tcW w:w="1166"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166"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69"/>
              <w:spacing w:before="111" w:line="230" w:lineRule="auto"/>
              <w:rPr>
                <w:rFonts w:ascii="SimSun" w:hAnsi="SimSun" w:eastAsia="SimSun" w:cs="SimSun"/>
                <w:sz w:val="15"/>
                <w:szCs w:val="15"/>
              </w:rPr>
            </w:pPr>
            <w:r>
              <w:rPr>
                <w:rFonts w:ascii="SimSun" w:hAnsi="SimSun" w:eastAsia="SimSun" w:cs="SimSun"/>
                <w:sz w:val="15"/>
                <w:szCs w:val="15"/>
                <w:color w:val="212529"/>
                <w:spacing w:val="11"/>
              </w:rPr>
              <w:t>规上企业及固投人员统计工作补助</w:t>
            </w:r>
          </w:p>
        </w:tc>
        <w:tc>
          <w:tcPr>
            <w:tcW w:w="1166" w:type="dxa"/>
            <w:vAlign w:val="top"/>
          </w:tcPr>
          <w:p>
            <w:pPr>
              <w:ind w:right="21"/>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66" w:type="dxa"/>
            <w:vAlign w:val="top"/>
          </w:tcPr>
          <w:p>
            <w:pPr>
              <w:ind w:right="20"/>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82"/>
              <w:spacing w:before="112" w:line="229" w:lineRule="auto"/>
              <w:rPr>
                <w:rFonts w:ascii="SimSun" w:hAnsi="SimSun" w:eastAsia="SimSun" w:cs="SimSun"/>
                <w:sz w:val="15"/>
                <w:szCs w:val="15"/>
              </w:rPr>
            </w:pPr>
            <w:r>
              <w:rPr>
                <w:rFonts w:ascii="SimSun" w:hAnsi="SimSun" w:eastAsia="SimSun" w:cs="SimSun"/>
                <w:sz w:val="15"/>
                <w:szCs w:val="15"/>
                <w:color w:val="212529"/>
                <w:spacing w:val="10"/>
              </w:rPr>
              <w:t>中心及党委办公场所租赁费</w:t>
            </w:r>
          </w:p>
        </w:tc>
        <w:tc>
          <w:tcPr>
            <w:tcW w:w="1166"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36.00</w:t>
            </w:r>
          </w:p>
        </w:tc>
        <w:tc>
          <w:tcPr>
            <w:tcW w:w="1166"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8" w:right="37" w:firstLine="173"/>
              <w:spacing w:before="26" w:line="210" w:lineRule="auto"/>
              <w:rPr>
                <w:rFonts w:ascii="SimSun" w:hAnsi="SimSun" w:eastAsia="SimSun" w:cs="SimSun"/>
                <w:sz w:val="15"/>
                <w:szCs w:val="15"/>
              </w:rPr>
            </w:pPr>
            <w:r>
              <w:rPr>
                <w:rFonts w:ascii="SimSun" w:hAnsi="SimSun" w:eastAsia="SimSun" w:cs="SimSun"/>
                <w:sz w:val="15"/>
                <w:szCs w:val="15"/>
                <w:color w:val="212529"/>
                <w:spacing w:val="10"/>
              </w:rPr>
              <w:t>园区企业党委党支部书记、党务工作 </w:t>
            </w:r>
            <w:r>
              <w:rPr>
                <w:rFonts w:ascii="SimSun" w:hAnsi="SimSun" w:eastAsia="SimSun" w:cs="SimSun"/>
                <w:sz w:val="15"/>
                <w:szCs w:val="15"/>
                <w:color w:val="212529"/>
                <w:spacing w:val="8"/>
              </w:rPr>
              <w:t>者工作补贴（6000元/年）</w:t>
            </w:r>
          </w:p>
        </w:tc>
        <w:tc>
          <w:tcPr>
            <w:tcW w:w="1166"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w:t>
            </w:r>
          </w:p>
        </w:tc>
        <w:tc>
          <w:tcPr>
            <w:tcW w:w="1166"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8" w:right="37" w:firstLine="152"/>
              <w:spacing w:before="27" w:line="210" w:lineRule="auto"/>
              <w:rPr>
                <w:rFonts w:ascii="SimSun" w:hAnsi="SimSun" w:eastAsia="SimSun" w:cs="SimSun"/>
                <w:sz w:val="15"/>
                <w:szCs w:val="15"/>
              </w:rPr>
            </w:pPr>
            <w:r>
              <w:rPr>
                <w:rFonts w:ascii="SimSun" w:hAnsi="SimSun" w:eastAsia="SimSun" w:cs="SimSun"/>
                <w:sz w:val="15"/>
                <w:szCs w:val="15"/>
                <w:color w:val="212529"/>
                <w:spacing w:val="11"/>
              </w:rPr>
              <w:t>企业党委党支部工作经费（联合支部</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7"/>
              </w:rPr>
              <w:t>1280元/年、独立支部2000元/年）</w:t>
            </w:r>
          </w:p>
        </w:tc>
        <w:tc>
          <w:tcPr>
            <w:tcW w:w="1166"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6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11"/>
              </w:rPr>
              <w:t>幼儿保育费及婴幼儿保教费</w:t>
            </w:r>
          </w:p>
        </w:tc>
        <w:tc>
          <w:tcPr>
            <w:tcW w:w="1166"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2.42</w:t>
            </w:r>
          </w:p>
        </w:tc>
        <w:tc>
          <w:tcPr>
            <w:tcW w:w="116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2.42</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69"/>
              <w:spacing w:before="113" w:line="230" w:lineRule="auto"/>
              <w:rPr>
                <w:rFonts w:ascii="SimSun" w:hAnsi="SimSun" w:eastAsia="SimSun" w:cs="SimSun"/>
                <w:sz w:val="15"/>
                <w:szCs w:val="15"/>
              </w:rPr>
            </w:pPr>
            <w:r>
              <w:rPr>
                <w:rFonts w:ascii="SimSun" w:hAnsi="SimSun" w:eastAsia="SimSun" w:cs="SimSun"/>
                <w:sz w:val="15"/>
                <w:szCs w:val="15"/>
                <w:color w:val="212529"/>
                <w:spacing w:val="9"/>
              </w:rPr>
              <w:t>招商经费</w:t>
            </w:r>
          </w:p>
        </w:tc>
        <w:tc>
          <w:tcPr>
            <w:tcW w:w="1166"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5" w:right="37" w:firstLine="166"/>
              <w:spacing w:before="28" w:line="209" w:lineRule="auto"/>
              <w:rPr>
                <w:rFonts w:ascii="SimSun" w:hAnsi="SimSun" w:eastAsia="SimSun" w:cs="SimSun"/>
                <w:sz w:val="15"/>
                <w:szCs w:val="15"/>
              </w:rPr>
            </w:pPr>
            <w:r>
              <w:rPr>
                <w:rFonts w:ascii="SimSun" w:hAnsi="SimSun" w:eastAsia="SimSun" w:cs="SimSun"/>
                <w:sz w:val="15"/>
                <w:szCs w:val="15"/>
                <w:color w:val="212529"/>
                <w:spacing w:val="10"/>
              </w:rPr>
              <w:t>园区企业党委党建工作经费及培训经 </w:t>
            </w:r>
            <w:r>
              <w:rPr>
                <w:rFonts w:ascii="SimSun" w:hAnsi="SimSun" w:eastAsia="SimSun" w:cs="SimSun"/>
                <w:sz w:val="15"/>
                <w:szCs w:val="15"/>
                <w:color w:val="212529"/>
              </w:rPr>
              <w:t>费</w:t>
            </w:r>
          </w:p>
        </w:tc>
        <w:tc>
          <w:tcPr>
            <w:tcW w:w="1166"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7" w:right="37" w:firstLine="174"/>
              <w:spacing w:before="29" w:line="209" w:lineRule="auto"/>
              <w:rPr>
                <w:rFonts w:ascii="SimSun" w:hAnsi="SimSun" w:eastAsia="SimSun" w:cs="SimSun"/>
                <w:sz w:val="15"/>
                <w:szCs w:val="15"/>
              </w:rPr>
            </w:pPr>
            <w:r>
              <w:rPr>
                <w:rFonts w:ascii="SimSun" w:hAnsi="SimSun" w:eastAsia="SimSun" w:cs="SimSun"/>
                <w:sz w:val="15"/>
                <w:szCs w:val="15"/>
                <w:color w:val="212529"/>
                <w:spacing w:val="10"/>
              </w:rPr>
              <w:t>园区检查工作经费（公务用车运行维 </w:t>
            </w:r>
            <w:r>
              <w:rPr>
                <w:rFonts w:ascii="SimSun" w:hAnsi="SimSun" w:eastAsia="SimSun" w:cs="SimSun"/>
                <w:sz w:val="15"/>
                <w:szCs w:val="15"/>
                <w:color w:val="212529"/>
                <w:spacing w:val="4"/>
              </w:rPr>
              <w:t>护费）</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82"/>
              <w:spacing w:before="115" w:line="229" w:lineRule="auto"/>
              <w:rPr>
                <w:rFonts w:ascii="SimSun" w:hAnsi="SimSun" w:eastAsia="SimSun" w:cs="SimSun"/>
                <w:sz w:val="15"/>
                <w:szCs w:val="15"/>
              </w:rPr>
            </w:pPr>
            <w:r>
              <w:rPr>
                <w:rFonts w:ascii="SimSun" w:hAnsi="SimSun" w:eastAsia="SimSun" w:cs="SimSun"/>
                <w:sz w:val="15"/>
                <w:szCs w:val="15"/>
                <w:color w:val="212529"/>
                <w:spacing w:val="10"/>
              </w:rPr>
              <w:t>园区建设及防火工作经费</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4"/>
              <w:spacing w:before="116" w:line="228" w:lineRule="auto"/>
              <w:rPr>
                <w:rFonts w:ascii="SimSun" w:hAnsi="SimSun" w:eastAsia="SimSun" w:cs="SimSun"/>
                <w:sz w:val="15"/>
                <w:szCs w:val="15"/>
              </w:rPr>
            </w:pPr>
            <w:r>
              <w:rPr>
                <w:rFonts w:ascii="SimSun" w:hAnsi="SimSun" w:eastAsia="SimSun" w:cs="SimSun"/>
                <w:sz w:val="15"/>
                <w:szCs w:val="15"/>
                <w:color w:val="212529"/>
                <w:spacing w:val="11"/>
              </w:rPr>
              <w:t>翟店镇政府环境、卫生整治费</w:t>
            </w:r>
          </w:p>
        </w:tc>
        <w:tc>
          <w:tcPr>
            <w:tcW w:w="1166" w:type="dxa"/>
            <w:vAlign w:val="top"/>
          </w:tcPr>
          <w:p>
            <w:pPr>
              <w:ind w:right="21"/>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166" w:type="dxa"/>
            <w:vAlign w:val="top"/>
          </w:tcPr>
          <w:p>
            <w:pPr>
              <w:ind w:right="20"/>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82"/>
              <w:spacing w:before="117" w:line="230" w:lineRule="auto"/>
              <w:rPr>
                <w:rFonts w:ascii="SimSun" w:hAnsi="SimSun" w:eastAsia="SimSun" w:cs="SimSun"/>
                <w:sz w:val="15"/>
                <w:szCs w:val="15"/>
              </w:rPr>
            </w:pPr>
            <w:r>
              <w:rPr>
                <w:rFonts w:ascii="SimSun" w:hAnsi="SimSun" w:eastAsia="SimSun" w:cs="SimSun"/>
                <w:sz w:val="15"/>
                <w:szCs w:val="15"/>
                <w:color w:val="212529"/>
                <w:spacing w:val="8"/>
              </w:rPr>
              <w:t>园区工作经费</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2"/>
              <w:spacing w:before="117" w:line="228" w:lineRule="auto"/>
              <w:rPr>
                <w:rFonts w:ascii="SimSun" w:hAnsi="SimSun" w:eastAsia="SimSun" w:cs="SimSun"/>
                <w:sz w:val="15"/>
                <w:szCs w:val="15"/>
              </w:rPr>
            </w:pPr>
            <w:r>
              <w:rPr>
                <w:rFonts w:ascii="SimSun" w:hAnsi="SimSun" w:eastAsia="SimSun" w:cs="SimSun"/>
                <w:sz w:val="15"/>
                <w:szCs w:val="15"/>
                <w:color w:val="212529"/>
                <w:spacing w:val="10"/>
              </w:rPr>
              <w:t>办公设备采购</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82"/>
              <w:spacing w:before="117" w:line="229" w:lineRule="auto"/>
              <w:rPr>
                <w:rFonts w:ascii="SimSun" w:hAnsi="SimSun" w:eastAsia="SimSun" w:cs="SimSun"/>
                <w:sz w:val="15"/>
                <w:szCs w:val="15"/>
              </w:rPr>
            </w:pPr>
            <w:r>
              <w:rPr>
                <w:rFonts w:ascii="SimSun" w:hAnsi="SimSun" w:eastAsia="SimSun" w:cs="SimSun"/>
                <w:sz w:val="15"/>
                <w:szCs w:val="15"/>
                <w:color w:val="212529"/>
                <w:spacing w:val="10"/>
              </w:rPr>
              <w:t>中心及党委办公场所物业管理费</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6" w:right="37" w:firstLine="176"/>
              <w:spacing w:before="31" w:line="208" w:lineRule="auto"/>
              <w:rPr>
                <w:rFonts w:ascii="SimSun" w:hAnsi="SimSun" w:eastAsia="SimSun" w:cs="SimSun"/>
                <w:sz w:val="15"/>
                <w:szCs w:val="15"/>
              </w:rPr>
            </w:pPr>
            <w:r>
              <w:rPr>
                <w:rFonts w:ascii="SimSun" w:hAnsi="SimSun" w:eastAsia="SimSun" w:cs="SimSun"/>
                <w:sz w:val="15"/>
                <w:szCs w:val="15"/>
                <w:color w:val="212529"/>
                <w:spacing w:val="10"/>
              </w:rPr>
              <w:t>中心及党委办公场所暖气费、制冷费 </w:t>
            </w:r>
            <w:r>
              <w:rPr>
                <w:rFonts w:ascii="SimSun" w:hAnsi="SimSun" w:eastAsia="SimSun" w:cs="SimSun"/>
                <w:sz w:val="15"/>
                <w:szCs w:val="15"/>
                <w:color w:val="212529"/>
                <w:spacing w:val="9"/>
              </w:rPr>
              <w:t>及电费</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21.58</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21.58</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84" w:hRule="atLeast"/>
        </w:trPr>
        <w:tc>
          <w:tcPr>
            <w:tcW w:w="2802" w:type="dxa"/>
            <w:vAlign w:val="top"/>
          </w:tcPr>
          <w:p>
            <w:pPr>
              <w:ind w:left="161"/>
              <w:spacing w:before="118" w:line="229" w:lineRule="auto"/>
              <w:rPr>
                <w:rFonts w:ascii="SimSun" w:hAnsi="SimSun" w:eastAsia="SimSun" w:cs="SimSun"/>
                <w:sz w:val="15"/>
                <w:szCs w:val="15"/>
              </w:rPr>
            </w:pPr>
            <w:r>
              <w:rPr>
                <w:rFonts w:ascii="SimSun" w:hAnsi="SimSun" w:eastAsia="SimSun" w:cs="SimSun"/>
                <w:sz w:val="15"/>
                <w:szCs w:val="15"/>
                <w:color w:val="212529"/>
                <w:spacing w:val="9"/>
              </w:rPr>
              <w:t>“三个一批</w:t>
            </w:r>
            <w:r>
              <w:rPr>
                <w:rFonts w:ascii="SimSun" w:hAnsi="SimSun" w:eastAsia="SimSun" w:cs="SimSun"/>
                <w:sz w:val="15"/>
                <w:szCs w:val="15"/>
                <w:color w:val="212529"/>
                <w:spacing w:val="-40"/>
              </w:rPr>
              <w:t xml:space="preserve"> </w:t>
            </w:r>
            <w:r>
              <w:rPr>
                <w:rFonts w:ascii="SimSun" w:hAnsi="SimSun" w:eastAsia="SimSun" w:cs="SimSun"/>
                <w:sz w:val="15"/>
                <w:szCs w:val="15"/>
                <w:color w:val="212529"/>
                <w:spacing w:val="9"/>
              </w:rPr>
              <w:t>”项目活动经费</w:t>
            </w:r>
          </w:p>
        </w:tc>
        <w:tc>
          <w:tcPr>
            <w:tcW w:w="1166" w:type="dxa"/>
            <w:vAlign w:val="top"/>
          </w:tcPr>
          <w:p>
            <w:pPr>
              <w:ind w:right="21"/>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66"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8" w:id="32"/>
            <w:bookmarkEnd w:id="32"/>
            <w:bookmarkStart w:name="bookmark18" w:id="33"/>
            <w:bookmarkEnd w:id="33"/>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部门名称：长治高新区翟店工业园事业服务中心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9"/>
          <w:footerReference w:type="default" r:id="rId31"/>
          <w:pgSz w:w="11900" w:h="16840"/>
          <w:pgMar w:top="642" w:right="0" w:bottom="340" w:left="0" w:header="326" w:footer="111"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4"/>
      <w:bookmarkEnd w:id="34"/>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5"/>
      <w:bookmarkEnd w:id="35"/>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3" w:right="1223" w:firstLine="456"/>
        <w:spacing w:before="185" w:line="323" w:lineRule="auto"/>
        <w:jc w:val="both"/>
        <w:rPr>
          <w:rFonts w:ascii="FangSong" w:hAnsi="FangSong" w:eastAsia="FangSong" w:cs="FangSong"/>
          <w:sz w:val="23"/>
          <w:szCs w:val="23"/>
        </w:rPr>
      </w:pPr>
      <w:r>
        <w:rPr>
          <w:rFonts w:ascii="FangSong" w:hAnsi="FangSong" w:eastAsia="FangSong" w:cs="FangSong"/>
          <w:sz w:val="23"/>
          <w:szCs w:val="23"/>
          <w:spacing w:val="5"/>
        </w:rPr>
        <w:t>2025年度长治高新区翟店工业园事业服务中心预算收入总计673.39万元，其中：本年收</w:t>
      </w:r>
      <w:r>
        <w:rPr>
          <w:rFonts w:ascii="FangSong" w:hAnsi="FangSong" w:eastAsia="FangSong" w:cs="FangSong"/>
          <w:sz w:val="23"/>
          <w:szCs w:val="23"/>
        </w:rPr>
        <w:t xml:space="preserve"> </w:t>
      </w:r>
      <w:r>
        <w:rPr>
          <w:rFonts w:ascii="FangSong" w:hAnsi="FangSong" w:eastAsia="FangSong" w:cs="FangSong"/>
          <w:sz w:val="23"/>
          <w:szCs w:val="23"/>
          <w:spacing w:val="2"/>
        </w:rPr>
        <w:t>入673.39万元，上年结转0万元，比上年增加180.87万元，增长36.72%，主要原因是</w:t>
      </w:r>
      <w:r>
        <w:rPr>
          <w:rFonts w:ascii="FangSong" w:hAnsi="FangSong" w:eastAsia="FangSong" w:cs="FangSong"/>
          <w:sz w:val="23"/>
          <w:szCs w:val="23"/>
          <w:spacing w:val="1"/>
        </w:rPr>
        <w:t>首先在职</w:t>
      </w:r>
      <w:r>
        <w:rPr>
          <w:rFonts w:ascii="FangSong" w:hAnsi="FangSong" w:eastAsia="FangSong" w:cs="FangSong"/>
          <w:sz w:val="23"/>
          <w:szCs w:val="23"/>
        </w:rPr>
        <w:t xml:space="preserve"> </w:t>
      </w:r>
      <w:r>
        <w:rPr>
          <w:rFonts w:ascii="FangSong" w:hAnsi="FangSong" w:eastAsia="FangSong" w:cs="FangSong"/>
          <w:sz w:val="23"/>
          <w:szCs w:val="23"/>
          <w:spacing w:val="4"/>
        </w:rPr>
        <w:t>员工工资福利上调，社保、公积金基数调整。其次今年新增“</w:t>
      </w:r>
      <w:r>
        <w:rPr>
          <w:rFonts w:ascii="FangSong" w:hAnsi="FangSong" w:eastAsia="FangSong" w:cs="FangSong"/>
          <w:sz w:val="23"/>
          <w:szCs w:val="23"/>
          <w:spacing w:val="-88"/>
        </w:rPr>
        <w:t xml:space="preserve"> </w:t>
      </w:r>
      <w:r>
        <w:rPr>
          <w:rFonts w:ascii="FangSong" w:hAnsi="FangSong" w:eastAsia="FangSong" w:cs="FangSong"/>
          <w:sz w:val="23"/>
          <w:szCs w:val="23"/>
          <w:spacing w:val="4"/>
        </w:rPr>
        <w:t>三</w:t>
      </w:r>
      <w:r>
        <w:rPr>
          <w:rFonts w:ascii="FangSong" w:hAnsi="FangSong" w:eastAsia="FangSong" w:cs="FangSong"/>
          <w:sz w:val="23"/>
          <w:szCs w:val="23"/>
          <w:spacing w:val="3"/>
        </w:rPr>
        <w:t>个一批</w:t>
      </w:r>
      <w:r>
        <w:rPr>
          <w:rFonts w:ascii="FangSong" w:hAnsi="FangSong" w:eastAsia="FangSong" w:cs="FangSong"/>
          <w:sz w:val="23"/>
          <w:szCs w:val="23"/>
          <w:spacing w:val="-79"/>
        </w:rPr>
        <w:t xml:space="preserve"> </w:t>
      </w:r>
      <w:r>
        <w:rPr>
          <w:rFonts w:ascii="FangSong" w:hAnsi="FangSong" w:eastAsia="FangSong" w:cs="FangSong"/>
          <w:sz w:val="23"/>
          <w:szCs w:val="23"/>
          <w:spacing w:val="3"/>
        </w:rPr>
        <w:t>”项目预算，故较上</w:t>
      </w:r>
      <w:r>
        <w:rPr>
          <w:rFonts w:ascii="FangSong" w:hAnsi="FangSong" w:eastAsia="FangSong" w:cs="FangSong"/>
          <w:sz w:val="23"/>
          <w:szCs w:val="23"/>
        </w:rPr>
        <w:t xml:space="preserve"> </w:t>
      </w:r>
      <w:r>
        <w:rPr>
          <w:rFonts w:ascii="FangSong" w:hAnsi="FangSong" w:eastAsia="FangSong" w:cs="FangSong"/>
          <w:sz w:val="23"/>
          <w:szCs w:val="23"/>
          <w:spacing w:val="5"/>
        </w:rPr>
        <w:t>年有所增长。；本年部门预算支出总计673.39万元，其</w:t>
      </w:r>
      <w:r>
        <w:rPr>
          <w:rFonts w:ascii="FangSong" w:hAnsi="FangSong" w:eastAsia="FangSong" w:cs="FangSong"/>
          <w:sz w:val="23"/>
          <w:szCs w:val="23"/>
          <w:spacing w:val="4"/>
        </w:rPr>
        <w:t>中：本年预算安排673.39万元，上年</w:t>
      </w:r>
      <w:r>
        <w:rPr>
          <w:rFonts w:ascii="FangSong" w:hAnsi="FangSong" w:eastAsia="FangSong" w:cs="FangSong"/>
          <w:sz w:val="23"/>
          <w:szCs w:val="23"/>
        </w:rPr>
        <w:t xml:space="preserve"> </w:t>
      </w:r>
      <w:r>
        <w:rPr>
          <w:rFonts w:ascii="FangSong" w:hAnsi="FangSong" w:eastAsia="FangSong" w:cs="FangSong"/>
          <w:sz w:val="23"/>
          <w:szCs w:val="23"/>
          <w:spacing w:val="2"/>
        </w:rPr>
        <w:t>结转0万元，比上年增加180.87万元，增长36.72%，主要原因是首先在职员工工资福利上调，</w:t>
      </w:r>
      <w:r>
        <w:rPr>
          <w:rFonts w:ascii="FangSong" w:hAnsi="FangSong" w:eastAsia="FangSong" w:cs="FangSong"/>
          <w:sz w:val="23"/>
          <w:szCs w:val="23"/>
          <w:spacing w:val="2"/>
        </w:rPr>
        <w:t xml:space="preserve"> </w:t>
      </w:r>
      <w:r>
        <w:rPr>
          <w:rFonts w:ascii="FangSong" w:hAnsi="FangSong" w:eastAsia="FangSong" w:cs="FangSong"/>
          <w:sz w:val="23"/>
          <w:szCs w:val="23"/>
          <w:spacing w:val="-1"/>
        </w:rPr>
        <w:t>社保、公积金基数调整。其次今年新增“三个一批</w:t>
      </w:r>
      <w:r>
        <w:rPr>
          <w:rFonts w:ascii="FangSong" w:hAnsi="FangSong" w:eastAsia="FangSong" w:cs="FangSong"/>
          <w:sz w:val="23"/>
          <w:szCs w:val="23"/>
          <w:spacing w:val="-74"/>
        </w:rPr>
        <w:t xml:space="preserve"> </w:t>
      </w:r>
      <w:r>
        <w:rPr>
          <w:rFonts w:ascii="FangSong" w:hAnsi="FangSong" w:eastAsia="FangSong" w:cs="FangSong"/>
          <w:sz w:val="23"/>
          <w:szCs w:val="23"/>
          <w:spacing w:val="-1"/>
        </w:rPr>
        <w:t>”项目预算，故较上年有所增长。</w:t>
      </w:r>
    </w:p>
    <w:p>
      <w:pPr>
        <w:ind w:left="1261"/>
        <w:spacing w:before="3" w:line="230" w:lineRule="exact"/>
        <w:outlineLvl w:val="1"/>
        <w:rPr>
          <w:rFonts w:ascii="Microsoft YaHei" w:hAnsi="Microsoft YaHei" w:eastAsia="Microsoft YaHei" w:cs="Microsoft YaHei"/>
          <w:sz w:val="22"/>
          <w:szCs w:val="22"/>
        </w:rPr>
      </w:pPr>
      <w:bookmarkStart w:name="bookmark21" w:id="36"/>
      <w:bookmarkEnd w:id="36"/>
      <w:r>
        <w:rPr>
          <w:rFonts w:ascii="Microsoft YaHei" w:hAnsi="Microsoft YaHei" w:eastAsia="Microsoft YaHei" w:cs="Microsoft YaHei"/>
          <w:sz w:val="22"/>
          <w:szCs w:val="22"/>
          <w:spacing w:val="8"/>
          <w:position w:val="-1"/>
        </w:rPr>
        <w:t>二、收入预算情况说明</w:t>
      </w:r>
    </w:p>
    <w:p>
      <w:pPr>
        <w:ind w:left="1265" w:right="1223" w:firstLine="454"/>
        <w:spacing w:before="172" w:line="324" w:lineRule="auto"/>
        <w:rPr>
          <w:rFonts w:ascii="FangSong" w:hAnsi="FangSong" w:eastAsia="FangSong" w:cs="FangSong"/>
          <w:sz w:val="23"/>
          <w:szCs w:val="23"/>
        </w:rPr>
      </w:pPr>
      <w:r>
        <w:rPr>
          <w:rFonts w:ascii="FangSong" w:hAnsi="FangSong" w:eastAsia="FangSong" w:cs="FangSong"/>
          <w:sz w:val="23"/>
          <w:szCs w:val="23"/>
          <w:spacing w:val="5"/>
        </w:rPr>
        <w:t>2025年度长治高新区翟店工业园事业服务中心预算收入673.39万元，主要包括一般公共</w:t>
      </w:r>
      <w:r>
        <w:rPr>
          <w:rFonts w:ascii="FangSong" w:hAnsi="FangSong" w:eastAsia="FangSong" w:cs="FangSong"/>
          <w:sz w:val="23"/>
          <w:szCs w:val="23"/>
        </w:rPr>
        <w:t xml:space="preserve"> </w:t>
      </w:r>
      <w:r>
        <w:rPr>
          <w:rFonts w:ascii="FangSong" w:hAnsi="FangSong" w:eastAsia="FangSong" w:cs="FangSong"/>
          <w:sz w:val="23"/>
          <w:szCs w:val="23"/>
          <w:spacing w:val="1"/>
        </w:rPr>
        <w:t>预算拨款收入673.39万元，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rPr>
        <w:t>，</w:t>
      </w:r>
      <w:r>
        <w:rPr>
          <w:rFonts w:ascii="FangSong" w:hAnsi="FangSong" w:eastAsia="FangSong" w:cs="FangSong"/>
          <w:sz w:val="23"/>
          <w:szCs w:val="23"/>
          <w:spacing w:val="-53"/>
        </w:rPr>
        <w:t xml:space="preserve"> </w:t>
      </w:r>
      <w:r>
        <w:rPr>
          <w:rFonts w:ascii="FangSong" w:hAnsi="FangSong" w:eastAsia="FangSong" w:cs="FangSong"/>
          <w:sz w:val="23"/>
          <w:szCs w:val="23"/>
        </w:rPr>
        <w:t>占0%；</w:t>
      </w:r>
      <w:r>
        <w:rPr>
          <w:rFonts w:ascii="FangSong" w:hAnsi="FangSong" w:eastAsia="FangSong" w:cs="FangSong"/>
          <w:sz w:val="23"/>
          <w:szCs w:val="23"/>
          <w:spacing w:val="-67"/>
        </w:rPr>
        <w:t xml:space="preserve"> </w:t>
      </w:r>
      <w:r>
        <w:rPr>
          <w:rFonts w:ascii="FangSong" w:hAnsi="FangSong" w:eastAsia="FangSong" w:cs="FangSong"/>
          <w:sz w:val="23"/>
          <w:szCs w:val="23"/>
        </w:rPr>
        <w:t>国有资本经</w:t>
      </w:r>
      <w:r>
        <w:rPr>
          <w:rFonts w:ascii="FangSong" w:hAnsi="FangSong" w:eastAsia="FangSong" w:cs="FangSong"/>
          <w:sz w:val="23"/>
          <w:szCs w:val="23"/>
        </w:rPr>
        <w:t xml:space="preserve"> </w:t>
      </w:r>
      <w:r>
        <w:rPr>
          <w:rFonts w:ascii="FangSong" w:hAnsi="FangSong" w:eastAsia="FangSong" w:cs="FangSong"/>
          <w:sz w:val="23"/>
          <w:szCs w:val="23"/>
          <w:spacing w:val="-2"/>
        </w:rPr>
        <w:t>营预算拨款收入0万元，</w:t>
      </w:r>
      <w:r>
        <w:rPr>
          <w:rFonts w:ascii="FangSong" w:hAnsi="FangSong" w:eastAsia="FangSong" w:cs="FangSong"/>
          <w:sz w:val="23"/>
          <w:szCs w:val="23"/>
          <w:spacing w:val="-47"/>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w:t>
      </w:r>
      <w:r>
        <w:rPr>
          <w:rFonts w:ascii="FangSong" w:hAnsi="FangSong" w:eastAsia="FangSong" w:cs="FangSong"/>
          <w:sz w:val="23"/>
          <w:szCs w:val="23"/>
        </w:rPr>
        <w:t xml:space="preserve"> </w:t>
      </w:r>
      <w:r>
        <w:rPr>
          <w:rFonts w:ascii="FangSong" w:hAnsi="FangSong" w:eastAsia="FangSong" w:cs="FangSong"/>
          <w:sz w:val="23"/>
          <w:szCs w:val="23"/>
          <w:spacing w:val="-6"/>
        </w:rPr>
        <w:t>上年结转0万元，</w:t>
      </w:r>
      <w:r>
        <w:rPr>
          <w:rFonts w:ascii="FangSong" w:hAnsi="FangSong" w:eastAsia="FangSong" w:cs="FangSong"/>
          <w:sz w:val="23"/>
          <w:szCs w:val="23"/>
          <w:spacing w:val="-56"/>
        </w:rPr>
        <w:t xml:space="preserve"> </w:t>
      </w:r>
      <w:r>
        <w:rPr>
          <w:rFonts w:ascii="FangSong" w:hAnsi="FangSong" w:eastAsia="FangSong" w:cs="FangSong"/>
          <w:sz w:val="23"/>
          <w:szCs w:val="23"/>
          <w:spacing w:val="-6"/>
        </w:rPr>
        <w:t>占0%。</w:t>
      </w:r>
    </w:p>
    <w:p>
      <w:pPr>
        <w:pStyle w:val="BodyText"/>
        <w:spacing w:line="353" w:lineRule="auto"/>
        <w:rPr/>
      </w:pPr>
      <w:r/>
    </w:p>
    <w:p>
      <w:pPr>
        <w:ind w:firstLine="3685"/>
        <w:spacing w:before="1" w:line="2872" w:lineRule="exact"/>
        <w:rPr/>
      </w:pPr>
      <w:r>
        <w:rPr>
          <w:position w:val="-57"/>
        </w:rPr>
        <w:drawing>
          <wp:inline distT="0" distB="0" distL="0" distR="0">
            <wp:extent cx="2346419" cy="1823536"/>
            <wp:effectExtent l="0" t="0" r="0" b="0"/>
            <wp:docPr id="4" name="IM 4"/>
            <wp:cNvGraphicFramePr/>
            <a:graphic>
              <a:graphicData uri="http://schemas.openxmlformats.org/drawingml/2006/picture">
                <pic:pic>
                  <pic:nvPicPr>
                    <pic:cNvPr id="4" name="IM 4"/>
                    <pic:cNvPicPr/>
                  </pic:nvPicPr>
                  <pic:blipFill>
                    <a:blip r:embed="rId34"/>
                    <a:stretch>
                      <a:fillRect/>
                    </a:stretch>
                  </pic:blipFill>
                  <pic:spPr>
                    <a:xfrm rot="0">
                      <a:off x="0" y="0"/>
                      <a:ext cx="2346419" cy="1823536"/>
                    </a:xfrm>
                    <a:prstGeom prst="rect">
                      <a:avLst/>
                    </a:prstGeom>
                  </pic:spPr>
                </pic:pic>
              </a:graphicData>
            </a:graphic>
          </wp:inline>
        </w:drawing>
      </w:r>
    </w:p>
    <w:p>
      <w:pPr>
        <w:pStyle w:val="BodyText"/>
        <w:spacing w:line="280" w:lineRule="auto"/>
        <w:rPr/>
      </w:pPr>
      <w:r/>
    </w:p>
    <w:p>
      <w:pPr>
        <w:pStyle w:val="BodyText"/>
        <w:spacing w:line="28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7"/>
      <w:bookmarkEnd w:id="37"/>
      <w:r>
        <w:rPr>
          <w:rFonts w:ascii="Microsoft YaHei" w:hAnsi="Microsoft YaHei" w:eastAsia="Microsoft YaHei" w:cs="Microsoft YaHei"/>
          <w:sz w:val="22"/>
          <w:szCs w:val="22"/>
          <w:spacing w:val="7"/>
          <w:position w:val="-1"/>
        </w:rPr>
        <w:t>三、支出预算情况说明</w:t>
      </w:r>
    </w:p>
    <w:p>
      <w:pPr>
        <w:ind w:left="1259" w:right="1223" w:firstLine="461"/>
        <w:spacing w:before="186" w:line="319" w:lineRule="auto"/>
        <w:rPr>
          <w:rFonts w:ascii="FangSong" w:hAnsi="FangSong" w:eastAsia="FangSong" w:cs="FangSong"/>
          <w:sz w:val="23"/>
          <w:szCs w:val="23"/>
        </w:rPr>
      </w:pPr>
      <w:r>
        <w:rPr>
          <w:rFonts w:ascii="FangSong" w:hAnsi="FangSong" w:eastAsia="FangSong" w:cs="FangSong"/>
          <w:sz w:val="23"/>
          <w:szCs w:val="23"/>
          <w:spacing w:val="11"/>
        </w:rPr>
        <w:t>2025年度长治高新区翟店工业园事业服务中心支出</w:t>
      </w:r>
      <w:r>
        <w:rPr>
          <w:rFonts w:ascii="FangSong" w:hAnsi="FangSong" w:eastAsia="FangSong" w:cs="FangSong"/>
          <w:sz w:val="23"/>
          <w:szCs w:val="23"/>
          <w:spacing w:val="10"/>
        </w:rPr>
        <w:t>预算673.39万元，其中：基本支出</w:t>
      </w:r>
      <w:r>
        <w:rPr>
          <w:rFonts w:ascii="FangSong" w:hAnsi="FangSong" w:eastAsia="FangSong" w:cs="FangSong"/>
          <w:sz w:val="23"/>
          <w:szCs w:val="23"/>
        </w:rPr>
        <w:t xml:space="preserve"> </w:t>
      </w:r>
      <w:r>
        <w:rPr>
          <w:rFonts w:ascii="FangSong" w:hAnsi="FangSong" w:eastAsia="FangSong" w:cs="FangSong"/>
          <w:sz w:val="23"/>
          <w:szCs w:val="23"/>
          <w:spacing w:val="-3"/>
        </w:rPr>
        <w:t>213.39万元，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占31.69%；项目支出460万元，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占68.</w:t>
      </w:r>
      <w:r>
        <w:rPr>
          <w:rFonts w:ascii="FangSong" w:hAnsi="FangSong" w:eastAsia="FangSong" w:cs="FangSong"/>
          <w:sz w:val="23"/>
          <w:szCs w:val="23"/>
          <w:spacing w:val="-4"/>
        </w:rPr>
        <w:t>31%。</w:t>
      </w:r>
    </w:p>
    <w:p>
      <w:pPr>
        <w:ind w:left="1271"/>
        <w:spacing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8"/>
          <w:position w:val="-1"/>
        </w:rPr>
        <w:t>四、财政拨款收支预算总体情况说明</w:t>
      </w:r>
    </w:p>
    <w:p>
      <w:pPr>
        <w:ind w:left="1265" w:right="1223" w:firstLine="454"/>
        <w:spacing w:before="186" w:line="322" w:lineRule="auto"/>
        <w:rPr>
          <w:rFonts w:ascii="FangSong" w:hAnsi="FangSong" w:eastAsia="FangSong" w:cs="FangSong"/>
          <w:sz w:val="23"/>
          <w:szCs w:val="23"/>
        </w:rPr>
      </w:pPr>
      <w:r>
        <w:rPr>
          <w:rFonts w:ascii="FangSong" w:hAnsi="FangSong" w:eastAsia="FangSong" w:cs="FangSong"/>
          <w:sz w:val="23"/>
          <w:szCs w:val="23"/>
          <w:spacing w:val="5"/>
        </w:rPr>
        <w:t>2025年度长治高新区翟店工业园事业服务中心财政拨款收支总预算673.3</w:t>
      </w:r>
      <w:r>
        <w:rPr>
          <w:rFonts w:ascii="FangSong" w:hAnsi="FangSong" w:eastAsia="FangSong" w:cs="FangSong"/>
          <w:sz w:val="23"/>
          <w:szCs w:val="23"/>
          <w:spacing w:val="4"/>
        </w:rPr>
        <w:t>9万元。其中：</w:t>
      </w:r>
      <w:r>
        <w:rPr>
          <w:rFonts w:ascii="FangSong" w:hAnsi="FangSong" w:eastAsia="FangSong" w:cs="FangSong"/>
          <w:sz w:val="23"/>
          <w:szCs w:val="23"/>
        </w:rPr>
        <w:t xml:space="preserve"> </w:t>
      </w:r>
      <w:r>
        <w:rPr>
          <w:rFonts w:ascii="FangSong" w:hAnsi="FangSong" w:eastAsia="FangSong" w:cs="FangSong"/>
          <w:sz w:val="23"/>
          <w:szCs w:val="23"/>
          <w:spacing w:val="4"/>
        </w:rPr>
        <w:t>一般公共预算拨款673.39万元，政府性基金预算拨款0万元，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国有资本经营预算拨款0万元。</w:t>
      </w:r>
      <w:r>
        <w:rPr>
          <w:rFonts w:ascii="FangSong" w:hAnsi="FangSong" w:eastAsia="FangSong" w:cs="FangSong"/>
          <w:sz w:val="23"/>
          <w:szCs w:val="23"/>
        </w:rPr>
        <w:t xml:space="preserve"> </w:t>
      </w:r>
      <w:r>
        <w:rPr>
          <w:rFonts w:ascii="FangSong" w:hAnsi="FangSong" w:eastAsia="FangSong" w:cs="FangSong"/>
          <w:sz w:val="23"/>
          <w:szCs w:val="23"/>
          <w:spacing w:val="2"/>
        </w:rPr>
        <w:t>其中：当年拨款收入673.39万元，上年结转收入0万元。支出包括：一般公共服务支出597.84</w:t>
      </w:r>
      <w:r>
        <w:rPr>
          <w:rFonts w:ascii="FangSong" w:hAnsi="FangSong" w:eastAsia="FangSong" w:cs="FangSong"/>
          <w:sz w:val="23"/>
          <w:szCs w:val="23"/>
        </w:rPr>
        <w:t xml:space="preserve"> </w:t>
      </w:r>
      <w:r>
        <w:rPr>
          <w:rFonts w:ascii="FangSong" w:hAnsi="FangSong" w:eastAsia="FangSong" w:cs="FangSong"/>
          <w:sz w:val="23"/>
          <w:szCs w:val="23"/>
          <w:spacing w:val="7"/>
        </w:rPr>
        <w:t>万元、社会保障和就业支出38.42万元、卫生健康支出18.63万元、住房保障支出18</w:t>
      </w:r>
      <w:r>
        <w:rPr>
          <w:rFonts w:ascii="FangSong" w:hAnsi="FangSong" w:eastAsia="FangSong" w:cs="FangSong"/>
          <w:sz w:val="23"/>
          <w:szCs w:val="23"/>
          <w:spacing w:val="6"/>
        </w:rPr>
        <w:t>.49万元</w:t>
      </w:r>
      <w:r>
        <w:rPr>
          <w:rFonts w:ascii="FangSong" w:hAnsi="FangSong" w:eastAsia="FangSong" w:cs="FangSong"/>
          <w:sz w:val="23"/>
          <w:szCs w:val="23"/>
        </w:rPr>
        <w:t xml:space="preserve"> </w:t>
      </w:r>
      <w:r>
        <w:rPr>
          <w:rFonts w:ascii="FangSong" w:hAnsi="FangSong" w:eastAsia="FangSong" w:cs="FangSong"/>
          <w:sz w:val="23"/>
          <w:szCs w:val="23"/>
          <w:spacing w:val="-9"/>
        </w:rPr>
        <w:t>等。</w:t>
      </w:r>
    </w:p>
    <w:p>
      <w:pPr>
        <w:ind w:left="1264"/>
        <w:spacing w:line="230"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8"/>
          <w:position w:val="-1"/>
        </w:rPr>
        <w:t>五、一般公共预算支出情况说明</w:t>
      </w:r>
    </w:p>
    <w:p>
      <w:pPr>
        <w:ind w:left="17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3" w:right="1223" w:firstLine="456"/>
        <w:spacing w:before="125" w:line="322" w:lineRule="auto"/>
        <w:rPr>
          <w:rFonts w:ascii="FangSong" w:hAnsi="FangSong" w:eastAsia="FangSong" w:cs="FangSong"/>
          <w:sz w:val="23"/>
          <w:szCs w:val="23"/>
        </w:rPr>
      </w:pPr>
      <w:r>
        <w:rPr>
          <w:rFonts w:ascii="FangSong" w:hAnsi="FangSong" w:eastAsia="FangSong" w:cs="FangSong"/>
          <w:sz w:val="23"/>
          <w:szCs w:val="23"/>
          <w:spacing w:val="2"/>
        </w:rPr>
        <w:t>2025年度长治高新区翟店工业园事业服务中心一般公共预算当年支出673.39万元,比上年</w:t>
      </w:r>
      <w:r>
        <w:rPr>
          <w:rFonts w:ascii="FangSong" w:hAnsi="FangSong" w:eastAsia="FangSong" w:cs="FangSong"/>
          <w:sz w:val="23"/>
          <w:szCs w:val="23"/>
          <w:spacing w:val="11"/>
        </w:rPr>
        <w:t xml:space="preserve"> </w:t>
      </w:r>
      <w:r>
        <w:rPr>
          <w:rFonts w:ascii="FangSong" w:hAnsi="FangSong" w:eastAsia="FangSong" w:cs="FangSong"/>
          <w:sz w:val="23"/>
          <w:szCs w:val="23"/>
          <w:spacing w:val="-1"/>
        </w:rPr>
        <w:t>增加180.87万元，增长36.72%。</w:t>
      </w:r>
    </w:p>
    <w:p>
      <w:pPr>
        <w:ind w:left="1725"/>
        <w:spacing w:before="7"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2"/>
          <w:footerReference w:type="default" r:id="rId33"/>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1" w:lineRule="auto"/>
        <w:rPr/>
      </w:pPr>
      <w:r/>
    </w:p>
    <w:p>
      <w:pPr>
        <w:ind w:left="1268" w:right="1223" w:firstLine="452"/>
        <w:spacing w:before="75" w:line="326" w:lineRule="auto"/>
        <w:jc w:val="both"/>
        <w:rPr>
          <w:rFonts w:ascii="FangSong" w:hAnsi="FangSong" w:eastAsia="FangSong" w:cs="FangSong"/>
          <w:sz w:val="23"/>
          <w:szCs w:val="23"/>
        </w:rPr>
      </w:pPr>
      <w:r>
        <w:rPr>
          <w:rFonts w:ascii="FangSong" w:hAnsi="FangSong" w:eastAsia="FangSong" w:cs="FangSong"/>
          <w:sz w:val="23"/>
          <w:szCs w:val="23"/>
          <w:spacing w:val="2"/>
        </w:rPr>
        <w:t>2025年度长治高新区翟店工业园事业服务中心一般公共预算当年支出673.39万元,主要用</w:t>
      </w:r>
      <w:r>
        <w:rPr>
          <w:rFonts w:ascii="FangSong" w:hAnsi="FangSong" w:eastAsia="FangSong" w:cs="FangSong"/>
          <w:sz w:val="23"/>
          <w:szCs w:val="23"/>
          <w:spacing w:val="11"/>
        </w:rPr>
        <w:t xml:space="preserve"> </w:t>
      </w:r>
      <w:r>
        <w:rPr>
          <w:rFonts w:ascii="FangSong" w:hAnsi="FangSong" w:eastAsia="FangSong" w:cs="FangSong"/>
          <w:sz w:val="23"/>
          <w:szCs w:val="23"/>
          <w:spacing w:val="2"/>
        </w:rPr>
        <w:t>于以下方面：一般公共服务支出597.84万元；社会保障和就业支出38.42万元；卫生健康支出</w:t>
      </w:r>
      <w:r>
        <w:rPr>
          <w:rFonts w:ascii="FangSong" w:hAnsi="FangSong" w:eastAsia="FangSong" w:cs="FangSong"/>
          <w:sz w:val="23"/>
          <w:szCs w:val="23"/>
        </w:rPr>
        <w:t xml:space="preserve"> </w:t>
      </w:r>
      <w:r>
        <w:rPr>
          <w:rFonts w:ascii="FangSong" w:hAnsi="FangSong" w:eastAsia="FangSong" w:cs="FangSong"/>
          <w:sz w:val="23"/>
          <w:szCs w:val="23"/>
          <w:spacing w:val="-1"/>
        </w:rPr>
        <w:t>18.63万元；住房保障支出18.49万元等。</w:t>
      </w:r>
    </w:p>
    <w:p>
      <w:pPr>
        <w:ind w:firstLine="3845"/>
        <w:spacing w:before="131" w:line="2425" w:lineRule="exact"/>
        <w:rPr/>
      </w:pPr>
      <w:r>
        <w:rPr>
          <w:position w:val="-48"/>
        </w:rPr>
        <w:drawing>
          <wp:inline distT="0" distB="0" distL="0" distR="0">
            <wp:extent cx="2409835" cy="1539873"/>
            <wp:effectExtent l="0" t="0" r="0" b="0"/>
            <wp:docPr id="6" name="IM 6"/>
            <wp:cNvGraphicFramePr/>
            <a:graphic>
              <a:graphicData uri="http://schemas.openxmlformats.org/drawingml/2006/picture">
                <pic:pic>
                  <pic:nvPicPr>
                    <pic:cNvPr id="6" name="IM 6"/>
                    <pic:cNvPicPr/>
                  </pic:nvPicPr>
                  <pic:blipFill>
                    <a:blip r:embed="rId36"/>
                    <a:stretch>
                      <a:fillRect/>
                    </a:stretch>
                  </pic:blipFill>
                  <pic:spPr>
                    <a:xfrm rot="0">
                      <a:off x="0" y="0"/>
                      <a:ext cx="2409835" cy="1539873"/>
                    </a:xfrm>
                    <a:prstGeom prst="rect">
                      <a:avLst/>
                    </a:prstGeom>
                  </pic:spPr>
                </pic:pic>
              </a:graphicData>
            </a:graphic>
          </wp:inline>
        </w:drawing>
      </w:r>
    </w:p>
    <w:p>
      <w:pPr>
        <w:pStyle w:val="BodyText"/>
        <w:spacing w:line="289" w:lineRule="auto"/>
        <w:rPr/>
      </w:pPr>
      <w:r/>
    </w:p>
    <w:p>
      <w:pPr>
        <w:pStyle w:val="BodyText"/>
        <w:spacing w:line="289" w:lineRule="auto"/>
        <w:rPr/>
      </w:pPr>
      <w:r/>
    </w:p>
    <w:p>
      <w:pPr>
        <w:ind w:left="1262"/>
        <w:spacing w:before="95" w:line="230"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六、一般公共预算基本支出情况说明</w:t>
      </w:r>
    </w:p>
    <w:p>
      <w:pPr>
        <w:ind w:left="1265" w:right="1271" w:firstLine="454"/>
        <w:spacing w:before="175" w:line="325" w:lineRule="auto"/>
        <w:rPr>
          <w:rFonts w:ascii="FangSong" w:hAnsi="FangSong" w:eastAsia="FangSong" w:cs="FangSong"/>
          <w:sz w:val="23"/>
          <w:szCs w:val="23"/>
        </w:rPr>
      </w:pPr>
      <w:r>
        <w:rPr>
          <w:rFonts w:ascii="FangSong" w:hAnsi="FangSong" w:eastAsia="FangSong" w:cs="FangSong"/>
          <w:sz w:val="23"/>
          <w:szCs w:val="23"/>
          <w:spacing w:val="4"/>
        </w:rPr>
        <w:t>2025年度长治高新区翟店工业园事业服务中心一般公共预算安排基本支出213</w:t>
      </w:r>
      <w:r>
        <w:rPr>
          <w:rFonts w:ascii="FangSong" w:hAnsi="FangSong" w:eastAsia="FangSong" w:cs="FangSong"/>
          <w:sz w:val="23"/>
          <w:szCs w:val="23"/>
          <w:spacing w:val="3"/>
        </w:rPr>
        <w:t>.39万元，</w:t>
      </w:r>
      <w:r>
        <w:rPr>
          <w:rFonts w:ascii="FangSong" w:hAnsi="FangSong" w:eastAsia="FangSong" w:cs="FangSong"/>
          <w:sz w:val="23"/>
          <w:szCs w:val="23"/>
        </w:rPr>
        <w:t xml:space="preserve"> </w:t>
      </w:r>
      <w:r>
        <w:rPr>
          <w:rFonts w:ascii="FangSong" w:hAnsi="FangSong" w:eastAsia="FangSong" w:cs="FangSong"/>
          <w:sz w:val="23"/>
          <w:szCs w:val="23"/>
          <w:spacing w:val="-6"/>
        </w:rPr>
        <w:t>其中：</w:t>
      </w:r>
    </w:p>
    <w:p>
      <w:pPr>
        <w:ind w:left="1263" w:right="1223" w:firstLine="465"/>
        <w:spacing w:before="3" w:line="323" w:lineRule="auto"/>
        <w:rPr>
          <w:rFonts w:ascii="FangSong" w:hAnsi="FangSong" w:eastAsia="FangSong" w:cs="FangSong"/>
          <w:sz w:val="23"/>
          <w:szCs w:val="23"/>
        </w:rPr>
      </w:pPr>
      <w:r>
        <w:rPr>
          <w:rFonts w:ascii="FangSong" w:hAnsi="FangSong" w:eastAsia="FangSong" w:cs="FangSong"/>
          <w:sz w:val="23"/>
          <w:szCs w:val="23"/>
          <w:spacing w:val="5"/>
        </w:rPr>
        <w:t>人员经费200.85万元，主要包括：其他工资福利支出、其他社会保障缴费、公务员医疗</w:t>
      </w:r>
      <w:r>
        <w:rPr>
          <w:rFonts w:ascii="FangSong" w:hAnsi="FangSong" w:eastAsia="FangSong" w:cs="FangSong"/>
          <w:sz w:val="23"/>
          <w:szCs w:val="23"/>
          <w:spacing w:val="2"/>
        </w:rPr>
        <w:t xml:space="preserve"> </w:t>
      </w:r>
      <w:r>
        <w:rPr>
          <w:rFonts w:ascii="FangSong" w:hAnsi="FangSong" w:eastAsia="FangSong" w:cs="FangSong"/>
          <w:sz w:val="23"/>
          <w:szCs w:val="23"/>
          <w:spacing w:val="5"/>
        </w:rPr>
        <w:t>补助缴费、绩效工资、基本工资、退休费、住房公积金、机关事业单位基本养老保险缴费、</w:t>
      </w:r>
      <w:r>
        <w:rPr>
          <w:rFonts w:ascii="FangSong" w:hAnsi="FangSong" w:eastAsia="FangSong" w:cs="FangSong"/>
          <w:sz w:val="23"/>
          <w:szCs w:val="23"/>
          <w:spacing w:val="12"/>
        </w:rPr>
        <w:t xml:space="preserve"> </w:t>
      </w:r>
      <w:r>
        <w:rPr>
          <w:rFonts w:ascii="FangSong" w:hAnsi="FangSong" w:eastAsia="FangSong" w:cs="FangSong"/>
          <w:sz w:val="23"/>
          <w:szCs w:val="23"/>
        </w:rPr>
        <w:t>职业年金缴费、职工基本医疗保险缴费、津贴补贴</w:t>
      </w:r>
      <w:r>
        <w:rPr>
          <w:rFonts w:ascii="FangSong" w:hAnsi="FangSong" w:eastAsia="FangSong" w:cs="FangSong"/>
          <w:sz w:val="23"/>
          <w:szCs w:val="23"/>
          <w:spacing w:val="-1"/>
        </w:rPr>
        <w:t>等；</w:t>
      </w:r>
    </w:p>
    <w:p>
      <w:pPr>
        <w:ind w:left="1271" w:right="1222" w:firstLine="458"/>
        <w:spacing w:line="323" w:lineRule="auto"/>
        <w:jc w:val="both"/>
        <w:rPr>
          <w:rFonts w:ascii="FangSong" w:hAnsi="FangSong" w:eastAsia="FangSong" w:cs="FangSong"/>
          <w:sz w:val="23"/>
          <w:szCs w:val="23"/>
        </w:rPr>
      </w:pPr>
      <w:r>
        <w:rPr>
          <w:rFonts w:ascii="FangSong" w:hAnsi="FangSong" w:eastAsia="FangSong" w:cs="FangSong"/>
          <w:sz w:val="23"/>
          <w:szCs w:val="23"/>
          <w:spacing w:val="7"/>
        </w:rPr>
        <w:t>公用经费12.54万元，主要包括：办公费、邮电费、印刷费、</w:t>
      </w:r>
      <w:r>
        <w:rPr>
          <w:rFonts w:ascii="FangSong" w:hAnsi="FangSong" w:eastAsia="FangSong" w:cs="FangSong"/>
          <w:sz w:val="23"/>
          <w:szCs w:val="23"/>
          <w:spacing w:val="-65"/>
        </w:rPr>
        <w:t xml:space="preserve"> </w:t>
      </w:r>
      <w:r>
        <w:rPr>
          <w:rFonts w:ascii="FangSong" w:hAnsi="FangSong" w:eastAsia="FangSong" w:cs="FangSong"/>
          <w:sz w:val="23"/>
          <w:szCs w:val="23"/>
          <w:spacing w:val="7"/>
        </w:rPr>
        <w:t>电</w:t>
      </w:r>
      <w:r>
        <w:rPr>
          <w:rFonts w:ascii="FangSong" w:hAnsi="FangSong" w:eastAsia="FangSong" w:cs="FangSong"/>
          <w:sz w:val="23"/>
          <w:szCs w:val="23"/>
          <w:spacing w:val="6"/>
        </w:rPr>
        <w:t>费、公务用车运行维护</w:t>
      </w:r>
      <w:r>
        <w:rPr>
          <w:rFonts w:ascii="FangSong" w:hAnsi="FangSong" w:eastAsia="FangSong" w:cs="FangSong"/>
          <w:sz w:val="23"/>
          <w:szCs w:val="23"/>
        </w:rPr>
        <w:t xml:space="preserve"> </w:t>
      </w:r>
      <w:r>
        <w:rPr>
          <w:rFonts w:ascii="FangSong" w:hAnsi="FangSong" w:eastAsia="FangSong" w:cs="FangSong"/>
          <w:sz w:val="23"/>
          <w:szCs w:val="23"/>
          <w:spacing w:val="10"/>
        </w:rPr>
        <w:t>费、其他交通费用、其他商品和服务支出、维修（护）</w:t>
      </w:r>
      <w:r>
        <w:rPr>
          <w:rFonts w:ascii="FangSong" w:hAnsi="FangSong" w:eastAsia="FangSong" w:cs="FangSong"/>
          <w:sz w:val="23"/>
          <w:szCs w:val="23"/>
          <w:spacing w:val="-69"/>
        </w:rPr>
        <w:t xml:space="preserve"> </w:t>
      </w:r>
      <w:r>
        <w:rPr>
          <w:rFonts w:ascii="FangSong" w:hAnsi="FangSong" w:eastAsia="FangSong" w:cs="FangSong"/>
          <w:sz w:val="23"/>
          <w:szCs w:val="23"/>
          <w:spacing w:val="10"/>
        </w:rPr>
        <w:t>费、委托业务费、差旅费、培</w:t>
      </w:r>
      <w:r>
        <w:rPr>
          <w:rFonts w:ascii="FangSong" w:hAnsi="FangSong" w:eastAsia="FangSong" w:cs="FangSong"/>
          <w:sz w:val="23"/>
          <w:szCs w:val="23"/>
          <w:spacing w:val="9"/>
        </w:rPr>
        <w:t>训费</w:t>
      </w:r>
      <w:r>
        <w:rPr>
          <w:rFonts w:ascii="FangSong" w:hAnsi="FangSong" w:eastAsia="FangSong" w:cs="FangSong"/>
          <w:sz w:val="23"/>
          <w:szCs w:val="23"/>
        </w:rPr>
        <w:t xml:space="preserve"> </w:t>
      </w:r>
      <w:r>
        <w:rPr>
          <w:rFonts w:ascii="FangSong" w:hAnsi="FangSong" w:eastAsia="FangSong" w:cs="FangSong"/>
          <w:sz w:val="23"/>
          <w:szCs w:val="23"/>
          <w:spacing w:val="-11"/>
        </w:rPr>
        <w:t>等。</w:t>
      </w:r>
    </w:p>
    <w:p>
      <w:pPr>
        <w:ind w:left="1255"/>
        <w:spacing w:line="229"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265" w:right="1223" w:firstLine="454"/>
        <w:spacing w:before="173" w:line="324" w:lineRule="auto"/>
        <w:jc w:val="both"/>
        <w:rPr>
          <w:rFonts w:ascii="FangSong" w:hAnsi="FangSong" w:eastAsia="FangSong" w:cs="FangSong"/>
          <w:sz w:val="23"/>
          <w:szCs w:val="23"/>
        </w:rPr>
      </w:pPr>
      <w:r>
        <w:rPr>
          <w:rFonts w:ascii="FangSong" w:hAnsi="FangSong" w:eastAsia="FangSong" w:cs="FangSong"/>
          <w:sz w:val="23"/>
          <w:szCs w:val="23"/>
          <w:spacing w:val="4"/>
        </w:rPr>
        <w:t>2025年长治高新区翟店工业园事业服务中心财政拨</w:t>
      </w:r>
      <w:r>
        <w:rPr>
          <w:rFonts w:ascii="FangSong" w:hAnsi="FangSong" w:eastAsia="FangSong" w:cs="FangSong"/>
          <w:sz w:val="23"/>
          <w:szCs w:val="23"/>
          <w:spacing w:val="3"/>
        </w:rPr>
        <w:t>款安排的“</w:t>
      </w:r>
      <w:r>
        <w:rPr>
          <w:rFonts w:ascii="FangSong" w:hAnsi="FangSong" w:eastAsia="FangSong" w:cs="FangSong"/>
          <w:sz w:val="23"/>
          <w:szCs w:val="23"/>
          <w:spacing w:val="-87"/>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”经费预算3.50万元</w:t>
      </w:r>
      <w:r>
        <w:rPr>
          <w:rFonts w:ascii="FangSong" w:hAnsi="FangSong" w:eastAsia="FangSong" w:cs="FangSong"/>
          <w:sz w:val="23"/>
          <w:szCs w:val="23"/>
        </w:rPr>
        <w:t xml:space="preserve"> </w:t>
      </w:r>
      <w:r>
        <w:rPr>
          <w:rFonts w:ascii="FangSong" w:hAnsi="FangSong" w:eastAsia="FangSong" w:cs="FangSong"/>
          <w:sz w:val="23"/>
          <w:szCs w:val="23"/>
          <w:spacing w:val="4"/>
        </w:rPr>
        <w:t>与2024年预算数相同。其中：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因公出国（境）费0万元，与上年</w:t>
      </w:r>
      <w:r>
        <w:rPr>
          <w:rFonts w:ascii="FangSong" w:hAnsi="FangSong" w:eastAsia="FangSong" w:cs="FangSong"/>
          <w:sz w:val="23"/>
          <w:szCs w:val="23"/>
          <w:spacing w:val="3"/>
        </w:rPr>
        <w:t>预算数相同；公务接待费0万</w:t>
      </w:r>
      <w:r>
        <w:rPr>
          <w:rFonts w:ascii="FangSong" w:hAnsi="FangSong" w:eastAsia="FangSong" w:cs="FangSong"/>
          <w:sz w:val="23"/>
          <w:szCs w:val="23"/>
        </w:rPr>
        <w:t xml:space="preserve"> </w:t>
      </w:r>
      <w:r>
        <w:rPr>
          <w:rFonts w:ascii="FangSong" w:hAnsi="FangSong" w:eastAsia="FangSong" w:cs="FangSong"/>
          <w:sz w:val="23"/>
          <w:szCs w:val="23"/>
          <w:spacing w:val="5"/>
        </w:rPr>
        <w:t>元，与上年预算数相同；公务用车购置及运行费3.50万元，与上年预算数相同。公务用车运</w:t>
      </w:r>
      <w:r>
        <w:rPr>
          <w:rFonts w:ascii="FangSong" w:hAnsi="FangSong" w:eastAsia="FangSong" w:cs="FangSong"/>
          <w:sz w:val="23"/>
          <w:szCs w:val="23"/>
        </w:rPr>
        <w:t xml:space="preserve"> </w:t>
      </w:r>
      <w:r>
        <w:rPr>
          <w:rFonts w:ascii="FangSong" w:hAnsi="FangSong" w:eastAsia="FangSong" w:cs="FangSong"/>
          <w:sz w:val="23"/>
          <w:szCs w:val="23"/>
        </w:rPr>
        <w:t>行维护费3.50万元，与上年预算数相同；公务用车购置费0万元，与上年预算数相同。</w:t>
      </w:r>
    </w:p>
    <w:p>
      <w:pPr>
        <w:pStyle w:val="BodyText"/>
        <w:spacing w:line="262" w:lineRule="auto"/>
        <w:rPr/>
      </w:pPr>
      <w:r/>
    </w:p>
    <w:p>
      <w:pPr>
        <w:ind w:firstLine="2187"/>
        <w:spacing w:line="2577" w:lineRule="exact"/>
        <w:rPr/>
      </w:pPr>
      <w:r>
        <w:rPr>
          <w:position w:val="-51"/>
        </w:rPr>
        <w:drawing>
          <wp:inline distT="0" distB="0" distL="0" distR="0">
            <wp:extent cx="4629421" cy="1636228"/>
            <wp:effectExtent l="0" t="0" r="0" b="0"/>
            <wp:docPr id="8" name="IM 8"/>
            <wp:cNvGraphicFramePr/>
            <a:graphic>
              <a:graphicData uri="http://schemas.openxmlformats.org/drawingml/2006/picture">
                <pic:pic>
                  <pic:nvPicPr>
                    <pic:cNvPr id="8" name="IM 8"/>
                    <pic:cNvPicPr/>
                  </pic:nvPicPr>
                  <pic:blipFill>
                    <a:blip r:embed="rId37"/>
                    <a:stretch>
                      <a:fillRect/>
                    </a:stretch>
                  </pic:blipFill>
                  <pic:spPr>
                    <a:xfrm rot="0">
                      <a:off x="0" y="0"/>
                      <a:ext cx="4629421" cy="1636228"/>
                    </a:xfrm>
                    <a:prstGeom prst="rect">
                      <a:avLst/>
                    </a:prstGeom>
                  </pic:spPr>
                </pic:pic>
              </a:graphicData>
            </a:graphic>
          </wp:inline>
        </w:drawing>
      </w:r>
    </w:p>
    <w:p>
      <w:pPr>
        <w:pStyle w:val="BodyText"/>
        <w:spacing w:line="434" w:lineRule="auto"/>
        <w:rPr/>
      </w:pPr>
      <w:r/>
    </w:p>
    <w:p>
      <w:pPr>
        <w:ind w:left="1253"/>
        <w:spacing w:before="100" w:line="230" w:lineRule="exact"/>
        <w:outlineLvl w:val="1"/>
        <w:rPr>
          <w:rFonts w:ascii="Microsoft YaHei" w:hAnsi="Microsoft YaHei" w:eastAsia="Microsoft YaHei" w:cs="Microsoft YaHei"/>
          <w:sz w:val="23"/>
          <w:szCs w:val="23"/>
        </w:rPr>
      </w:pPr>
      <w:bookmarkStart w:name="bookmark27" w:id="42"/>
      <w:bookmarkEnd w:id="42"/>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1"/>
        </w:rPr>
        <w:t>本部门为财政拨款事业单位，无机关运行经费。</w:t>
      </w:r>
    </w:p>
    <w:p>
      <w:pPr>
        <w:ind w:left="1258"/>
        <w:spacing w:before="121" w:line="226" w:lineRule="exact"/>
        <w:outlineLvl w:val="1"/>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9"/>
          <w:position w:val="-1"/>
        </w:rPr>
        <w:t>九、政府采购情况</w:t>
      </w:r>
    </w:p>
    <w:p>
      <w:pPr>
        <w:spacing w:line="226" w:lineRule="exact"/>
        <w:sectPr>
          <w:footerReference w:type="default" r:id="rId35"/>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82" w:lineRule="auto"/>
        <w:rPr/>
      </w:pPr>
      <w:r/>
    </w:p>
    <w:p>
      <w:pPr>
        <w:pStyle w:val="BodyText"/>
        <w:spacing w:line="282" w:lineRule="auto"/>
        <w:rPr/>
      </w:pPr>
      <w:r/>
    </w:p>
    <w:p>
      <w:pPr>
        <w:ind w:left="1263" w:right="1223" w:firstLine="456"/>
        <w:spacing w:before="75" w:line="321" w:lineRule="auto"/>
        <w:rPr>
          <w:rFonts w:ascii="FangSong" w:hAnsi="FangSong" w:eastAsia="FangSong" w:cs="FangSong"/>
          <w:sz w:val="23"/>
          <w:szCs w:val="23"/>
        </w:rPr>
      </w:pPr>
      <w:r>
        <w:rPr>
          <w:rFonts w:ascii="FangSong" w:hAnsi="FangSong" w:eastAsia="FangSong" w:cs="FangSong"/>
          <w:sz w:val="23"/>
          <w:szCs w:val="23"/>
          <w:spacing w:val="5"/>
        </w:rPr>
        <w:t>2025年长治高新区翟店工业园事业服务中心政府采购预算总额6.20万元。其中：政府采</w:t>
      </w:r>
      <w:r>
        <w:rPr>
          <w:rFonts w:ascii="FangSong" w:hAnsi="FangSong" w:eastAsia="FangSong" w:cs="FangSong"/>
          <w:sz w:val="23"/>
          <w:szCs w:val="23"/>
          <w:spacing w:val="4"/>
        </w:rPr>
        <w:t xml:space="preserve"> </w:t>
      </w:r>
      <w:r>
        <w:rPr>
          <w:rFonts w:ascii="FangSong" w:hAnsi="FangSong" w:eastAsia="FangSong" w:cs="FangSong"/>
          <w:sz w:val="23"/>
          <w:szCs w:val="23"/>
        </w:rPr>
        <w:t>购货物预算5.30万元、政府采购工程预算0万元、政府采购服务预算0.90万元。</w:t>
      </w:r>
    </w:p>
    <w:p>
      <w:pPr>
        <w:ind w:left="1260"/>
        <w:spacing w:before="5" w:line="230" w:lineRule="exact"/>
        <w:outlineLvl w:val="1"/>
        <w:rPr>
          <w:rFonts w:ascii="Microsoft YaHei" w:hAnsi="Microsoft YaHei" w:eastAsia="Microsoft YaHei" w:cs="Microsoft YaHei"/>
          <w:sz w:val="22"/>
          <w:szCs w:val="22"/>
        </w:rPr>
      </w:pPr>
      <w:bookmarkStart w:name="bookmark29" w:id="44"/>
      <w:bookmarkEnd w:id="44"/>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3" w:right="1223" w:hanging="4"/>
        <w:spacing w:before="122" w:line="324" w:lineRule="auto"/>
        <w:jc w:val="both"/>
        <w:rPr>
          <w:rFonts w:ascii="FangSong" w:hAnsi="FangSong" w:eastAsia="FangSong" w:cs="FangSong"/>
          <w:sz w:val="23"/>
          <w:szCs w:val="23"/>
        </w:rPr>
      </w:pPr>
      <w:r>
        <w:rPr>
          <w:rFonts w:ascii="FangSong" w:hAnsi="FangSong" w:eastAsia="FangSong" w:cs="FangSong"/>
          <w:sz w:val="23"/>
          <w:szCs w:val="23"/>
          <w:spacing w:val="5"/>
        </w:rPr>
        <w:t>2025年编报部门整体支出绩效目标，涉及部门预</w:t>
      </w:r>
      <w:r>
        <w:rPr>
          <w:rFonts w:ascii="FangSong" w:hAnsi="FangSong" w:eastAsia="FangSong" w:cs="FangSong"/>
          <w:sz w:val="23"/>
          <w:szCs w:val="23"/>
          <w:spacing w:val="4"/>
        </w:rPr>
        <w:t>算资金673.39万元，其中基本支出213.39万</w:t>
      </w:r>
      <w:r>
        <w:rPr>
          <w:rFonts w:ascii="FangSong" w:hAnsi="FangSong" w:eastAsia="FangSong" w:cs="FangSong"/>
          <w:sz w:val="23"/>
          <w:szCs w:val="23"/>
        </w:rPr>
        <w:t xml:space="preserve"> </w:t>
      </w:r>
      <w:r>
        <w:rPr>
          <w:rFonts w:ascii="FangSong" w:hAnsi="FangSong" w:eastAsia="FangSong" w:cs="FangSong"/>
          <w:sz w:val="23"/>
          <w:szCs w:val="23"/>
          <w:spacing w:val="2"/>
        </w:rPr>
        <w:t>元，项目支出460万元；机关及下属预算单位1个，其中1个编报了单位整体绩效目标，涉及资</w:t>
      </w:r>
      <w:r>
        <w:rPr>
          <w:rFonts w:ascii="FangSong" w:hAnsi="FangSong" w:eastAsia="FangSong" w:cs="FangSong"/>
          <w:sz w:val="23"/>
          <w:szCs w:val="23"/>
          <w:spacing w:val="10"/>
        </w:rPr>
        <w:t xml:space="preserve"> </w:t>
      </w:r>
      <w:r>
        <w:rPr>
          <w:rFonts w:ascii="FangSong" w:hAnsi="FangSong" w:eastAsia="FangSong" w:cs="FangSong"/>
          <w:sz w:val="23"/>
          <w:szCs w:val="23"/>
          <w:spacing w:val="-2"/>
        </w:rPr>
        <w:t>金673.39万元。</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7"/>
        <w:spacing w:before="132" w:line="323" w:lineRule="auto"/>
        <w:rPr>
          <w:rFonts w:ascii="FangSong" w:hAnsi="FangSong" w:eastAsia="FangSong" w:cs="FangSong"/>
          <w:sz w:val="23"/>
          <w:szCs w:val="23"/>
        </w:rPr>
      </w:pPr>
      <w:r>
        <w:rPr>
          <w:rFonts w:ascii="FangSong" w:hAnsi="FangSong" w:eastAsia="FangSong" w:cs="FangSong"/>
          <w:sz w:val="23"/>
          <w:szCs w:val="23"/>
          <w:spacing w:val="5"/>
        </w:rPr>
        <w:t>2025年长治高新区翟店工业园事业服务中心纳入绩效目标管理的二级项目17个，共计金</w:t>
      </w:r>
      <w:r>
        <w:rPr>
          <w:rFonts w:ascii="FangSong" w:hAnsi="FangSong" w:eastAsia="FangSong" w:cs="FangSong"/>
          <w:sz w:val="23"/>
          <w:szCs w:val="23"/>
          <w:spacing w:val="9"/>
        </w:rPr>
        <w:t xml:space="preserve"> </w:t>
      </w:r>
      <w:r>
        <w:rPr>
          <w:rFonts w:ascii="FangSong" w:hAnsi="FangSong" w:eastAsia="FangSong" w:cs="FangSong"/>
          <w:sz w:val="23"/>
          <w:szCs w:val="23"/>
          <w:spacing w:val="2"/>
        </w:rPr>
        <w:t>额460.00万元。其中：其他运转类项目17个，涉及金额460.00万元；特定目标类项目0个，涉</w:t>
      </w:r>
      <w:r>
        <w:rPr>
          <w:rFonts w:ascii="FangSong" w:hAnsi="FangSong" w:eastAsia="FangSong" w:cs="FangSong"/>
          <w:sz w:val="23"/>
          <w:szCs w:val="23"/>
          <w:spacing w:val="1"/>
        </w:rPr>
        <w:t xml:space="preserve"> </w:t>
      </w:r>
      <w:r>
        <w:rPr>
          <w:rFonts w:ascii="FangSong" w:hAnsi="FangSong" w:eastAsia="FangSong" w:cs="FangSong"/>
          <w:sz w:val="23"/>
          <w:szCs w:val="23"/>
          <w:spacing w:val="1"/>
        </w:rPr>
        <w:t>及金额0万元。公开项目绩效目标17个，涉及项目金额460.00万元，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占部门（单</w:t>
      </w:r>
      <w:r>
        <w:rPr>
          <w:rFonts w:ascii="FangSong" w:hAnsi="FangSong" w:eastAsia="FangSong" w:cs="FangSong"/>
          <w:sz w:val="23"/>
          <w:szCs w:val="23"/>
        </w:rPr>
        <w:t>位）项目支出</w:t>
      </w:r>
      <w:r>
        <w:rPr>
          <w:rFonts w:ascii="FangSong" w:hAnsi="FangSong" w:eastAsia="FangSong" w:cs="FangSong"/>
          <w:sz w:val="23"/>
          <w:szCs w:val="23"/>
        </w:rPr>
        <w:t xml:space="preserve"> </w:t>
      </w:r>
      <w:r>
        <w:rPr>
          <w:rFonts w:ascii="FangSong" w:hAnsi="FangSong" w:eastAsia="FangSong" w:cs="FangSong"/>
          <w:sz w:val="23"/>
          <w:szCs w:val="23"/>
          <w:spacing w:val="2"/>
        </w:rPr>
        <w:t>总额的100%。其中：其他运转类项目17个，涉及项目金额460.00万元；特定目标类项目0个，</w:t>
      </w:r>
      <w:r>
        <w:rPr>
          <w:rFonts w:ascii="FangSong" w:hAnsi="FangSong" w:eastAsia="FangSong" w:cs="FangSong"/>
          <w:sz w:val="23"/>
          <w:szCs w:val="23"/>
          <w:spacing w:val="3"/>
        </w:rPr>
        <w:t xml:space="preserve"> </w:t>
      </w:r>
      <w:r>
        <w:rPr>
          <w:rFonts w:ascii="FangSong" w:hAnsi="FangSong" w:eastAsia="FangSong" w:cs="FangSong"/>
          <w:sz w:val="23"/>
          <w:szCs w:val="23"/>
          <w:spacing w:val="-1"/>
        </w:rPr>
        <w:t>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5"/>
          <w:footerReference w:type="default" r:id="rId38"/>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270" style="position:absolute;margin-left:491.92pt;margin-top:44.1055pt;mso-position-vertical-relative:page;mso-position-horizontal-relative:page;width:119.4pt;height:18.85pt;z-index:2516592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747" w:lineRule="exact"/>
        <w:rPr/>
      </w:pPr>
      <w:r>
        <w:pict>
          <v:shape id="_x0000_s272" style="position:absolute;margin-left:-13.08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74"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76"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78" style="position:absolute;margin-left:491.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5766849" cy="8094185"/>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5766849" cy="8094185"/>
                    </a:xfrm>
                    <a:prstGeom prst="rect">
                      <a:avLst/>
                    </a:prstGeom>
                  </pic:spPr>
                </pic:pic>
              </a:graphicData>
            </a:graphic>
          </wp:inline>
        </w:drawing>
      </w:r>
    </w:p>
    <w:p>
      <w:pPr>
        <w:spacing w:line="12747" w:lineRule="exact"/>
        <w:sectPr>
          <w:headerReference w:type="default" r:id="rId39"/>
          <w:footerReference w:type="default" r:id="rId40"/>
          <w:pgSz w:w="11900" w:h="16840"/>
          <w:pgMar w:top="642" w:right="0" w:bottom="340" w:left="0" w:header="326" w:footer="111" w:gutter="0"/>
        </w:sectPr>
        <w:rPr/>
      </w:pPr>
    </w:p>
    <w:p>
      <w:pPr>
        <w:pStyle w:val="BodyText"/>
        <w:spacing w:line="277" w:lineRule="auto"/>
        <w:rPr/>
      </w:pPr>
      <w:r>
        <w:pict>
          <v:shape id="_x0000_s280" style="position:absolute;margin-left:491.92pt;margin-top:44.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282" w:lineRule="exact"/>
        <w:rPr/>
      </w:pPr>
      <w:r>
        <w:pict>
          <v:shape id="_x0000_s282"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284" style="position:absolute;margin-left:491.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86"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88" style="position:absolute;margin-left:-13.08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766849" cy="7798977"/>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5766849" cy="7798977"/>
                    </a:xfrm>
                    <a:prstGeom prst="rect">
                      <a:avLst/>
                    </a:prstGeom>
                  </pic:spPr>
                </pic:pic>
              </a:graphicData>
            </a:graphic>
          </wp:inline>
        </w:drawing>
      </w:r>
    </w:p>
    <w:p>
      <w:pPr>
        <w:spacing w:line="12282" w:lineRule="exact"/>
        <w:sectPr>
          <w:footerReference w:type="default" r:id="rId42"/>
          <w:pgSz w:w="11900" w:h="16840"/>
          <w:pgMar w:top="642" w:right="0" w:bottom="340" w:left="0" w:header="326" w:footer="110" w:gutter="0"/>
        </w:sectPr>
        <w:rPr/>
      </w:pPr>
    </w:p>
    <w:p>
      <w:pPr>
        <w:pStyle w:val="BodyText"/>
        <w:spacing w:line="277" w:lineRule="auto"/>
        <w:rPr/>
      </w:pPr>
      <w:r>
        <w:pict>
          <v:shape id="_x0000_s290" style="position:absolute;margin-left:491.92pt;margin-top:44.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152" w:lineRule="exact"/>
        <w:rPr/>
      </w:pPr>
      <w:r>
        <w:pict>
          <v:shape id="_x0000_s292"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94"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296" style="position:absolute;margin-left:491.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98" style="position:absolute;margin-left:-13.08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5766849" cy="7716595"/>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5766849" cy="7716595"/>
                    </a:xfrm>
                    <a:prstGeom prst="rect">
                      <a:avLst/>
                    </a:prstGeom>
                  </pic:spPr>
                </pic:pic>
              </a:graphicData>
            </a:graphic>
          </wp:inline>
        </w:drawing>
      </w:r>
    </w:p>
    <w:p>
      <w:pPr>
        <w:spacing w:line="12152" w:lineRule="exact"/>
        <w:sectPr>
          <w:footerReference w:type="default" r:id="rId44"/>
          <w:pgSz w:w="11900" w:h="16840"/>
          <w:pgMar w:top="642" w:right="0" w:bottom="340" w:left="0" w:header="326" w:footer="110" w:gutter="0"/>
        </w:sectPr>
        <w:rPr/>
      </w:pPr>
    </w:p>
    <w:p>
      <w:pPr>
        <w:pStyle w:val="BodyText"/>
        <w:spacing w:line="277" w:lineRule="auto"/>
        <w:rPr/>
      </w:pPr>
      <w:r>
        <w:pict>
          <v:shape id="_x0000_s300" style="position:absolute;margin-left:491.92pt;margin-top:44.1055pt;mso-position-vertical-relative:page;mso-position-horizontal-relative:page;width:119.4pt;height:18.85pt;z-index:2516756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82" w:lineRule="exact"/>
        <w:rPr/>
      </w:pPr>
      <w:r>
        <w:pict>
          <v:shape id="_x0000_s302" style="position:absolute;margin-left:491.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304"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306"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308" style="position:absolute;margin-left:-13.08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5766849" cy="8052993"/>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5766849" cy="8052993"/>
                    </a:xfrm>
                    <a:prstGeom prst="rect">
                      <a:avLst/>
                    </a:prstGeom>
                  </pic:spPr>
                </pic:pic>
              </a:graphicData>
            </a:graphic>
          </wp:inline>
        </w:drawing>
      </w:r>
    </w:p>
    <w:p>
      <w:pPr>
        <w:spacing w:line="12682" w:lineRule="exact"/>
        <w:sectPr>
          <w:footerReference w:type="default" r:id="rId46"/>
          <w:pgSz w:w="11900" w:h="16840"/>
          <w:pgMar w:top="642" w:right="0" w:bottom="340" w:left="0" w:header="326" w:footer="111" w:gutter="0"/>
        </w:sectPr>
        <w:rPr/>
      </w:pPr>
    </w:p>
    <w:p>
      <w:pPr>
        <w:pStyle w:val="BodyText"/>
        <w:spacing w:line="277" w:lineRule="auto"/>
        <w:rPr/>
      </w:pPr>
      <w:r>
        <w:pict>
          <v:shape id="_x0000_s310"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347" w:lineRule="exact"/>
        <w:rPr/>
      </w:pPr>
      <w:r>
        <w:pict>
          <v:shape id="_x0000_s312"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14" style="position:absolute;margin-left:491.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316" style="position:absolute;margin-left:86.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318" style="position:absolute;margin-left:-13.08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5766849" cy="7840168"/>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5766849" cy="7840168"/>
                    </a:xfrm>
                    <a:prstGeom prst="rect">
                      <a:avLst/>
                    </a:prstGeom>
                  </pic:spPr>
                </pic:pic>
              </a:graphicData>
            </a:graphic>
          </wp:inline>
        </w:drawing>
      </w:r>
    </w:p>
    <w:p>
      <w:pPr>
        <w:spacing w:line="12347" w:lineRule="exact"/>
        <w:sectPr>
          <w:footerReference w:type="default" r:id="rId48"/>
          <w:pgSz w:w="11900" w:h="16840"/>
          <w:pgMar w:top="642" w:right="0" w:bottom="340" w:left="0" w:header="326" w:footer="110" w:gutter="0"/>
        </w:sectPr>
        <w:rPr/>
      </w:pPr>
    </w:p>
    <w:p>
      <w:pPr>
        <w:pStyle w:val="BodyText"/>
        <w:spacing w:line="277" w:lineRule="auto"/>
        <w:rPr/>
      </w:pPr>
      <w:r>
        <w:pict>
          <v:shape id="_x0000_s320" style="position:absolute;margin-left:491.92pt;margin-top:44.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17" w:lineRule="exact"/>
        <w:rPr/>
      </w:pPr>
      <w:r>
        <w:pict>
          <v:shape id="_x0000_s322" style="position:absolute;margin-left:491.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324"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26" style="position:absolute;margin-left:86.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28" style="position:absolute;margin-left:-13.08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766849" cy="8011801"/>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5766849" cy="8011801"/>
                    </a:xfrm>
                    <a:prstGeom prst="rect">
                      <a:avLst/>
                    </a:prstGeom>
                  </pic:spPr>
                </pic:pic>
              </a:graphicData>
            </a:graphic>
          </wp:inline>
        </w:drawing>
      </w:r>
    </w:p>
    <w:p>
      <w:pPr>
        <w:spacing w:line="12617" w:lineRule="exact"/>
        <w:sectPr>
          <w:footerReference w:type="default" r:id="rId50"/>
          <w:pgSz w:w="11900" w:h="16840"/>
          <w:pgMar w:top="642" w:right="0" w:bottom="340" w:left="0" w:header="326" w:footer="111" w:gutter="0"/>
        </w:sectPr>
        <w:rPr/>
      </w:pPr>
    </w:p>
    <w:p>
      <w:pPr>
        <w:pStyle w:val="BodyText"/>
        <w:spacing w:line="277" w:lineRule="auto"/>
        <w:rPr/>
      </w:pPr>
      <w:r>
        <w:pict>
          <v:shape id="_x0000_s330" style="position:absolute;margin-left:491.92pt;margin-top:44.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39" w:lineRule="exact"/>
        <w:rPr/>
      </w:pPr>
      <w:r>
        <w:pict>
          <v:shape id="_x0000_s332" style="position:absolute;margin-left:391.92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34" style="position:absolute;margin-left:491.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36"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38" style="position:absolute;margin-left:-13.08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766849" cy="8025532"/>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5766849" cy="8025532"/>
                    </a:xfrm>
                    <a:prstGeom prst="rect">
                      <a:avLst/>
                    </a:prstGeom>
                  </pic:spPr>
                </pic:pic>
              </a:graphicData>
            </a:graphic>
          </wp:inline>
        </w:drawing>
      </w:r>
    </w:p>
    <w:p>
      <w:pPr>
        <w:spacing w:line="12639" w:lineRule="exact"/>
        <w:sectPr>
          <w:footerReference w:type="default" r:id="rId52"/>
          <w:pgSz w:w="11900" w:h="16840"/>
          <w:pgMar w:top="642" w:right="0" w:bottom="340" w:left="0" w:header="326" w:footer="111" w:gutter="0"/>
        </w:sectPr>
        <w:rPr/>
      </w:pPr>
    </w:p>
    <w:p>
      <w:pPr>
        <w:pStyle w:val="BodyText"/>
        <w:spacing w:line="277" w:lineRule="auto"/>
        <w:rPr/>
      </w:pPr>
      <w:r>
        <w:pict>
          <v:shape id="_x0000_s340"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61" w:lineRule="exact"/>
        <w:rPr/>
      </w:pPr>
      <w:r>
        <w:pict>
          <v:shape id="_x0000_s342"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44" style="position:absolute;margin-left:491.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46" style="position:absolute;margin-left:86.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48" style="position:absolute;margin-left:391.92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5766849" cy="8039263"/>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5766849" cy="8039263"/>
                    </a:xfrm>
                    <a:prstGeom prst="rect">
                      <a:avLst/>
                    </a:prstGeom>
                  </pic:spPr>
                </pic:pic>
              </a:graphicData>
            </a:graphic>
          </wp:inline>
        </w:drawing>
      </w:r>
    </w:p>
    <w:p>
      <w:pPr>
        <w:spacing w:line="12661" w:lineRule="exact"/>
        <w:sectPr>
          <w:footerReference w:type="default" r:id="rId54"/>
          <w:pgSz w:w="11900" w:h="16840"/>
          <w:pgMar w:top="642" w:right="0" w:bottom="340" w:left="0" w:header="326" w:footer="111" w:gutter="0"/>
        </w:sectPr>
        <w:rPr/>
      </w:pPr>
    </w:p>
    <w:p>
      <w:pPr>
        <w:pStyle w:val="BodyText"/>
        <w:spacing w:line="277" w:lineRule="auto"/>
        <w:rPr/>
      </w:pPr>
      <w:r>
        <w:pict>
          <v:shape id="_x0000_s350"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098" w:lineRule="exact"/>
        <w:rPr/>
      </w:pPr>
      <w:r>
        <w:pict>
          <v:shape id="_x0000_s352" style="position:absolute;margin-left:-13.08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54"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56"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58"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41"/>
        </w:rPr>
        <w:drawing>
          <wp:inline distT="0" distB="0" distL="0" distR="0">
            <wp:extent cx="5766849" cy="7682268"/>
            <wp:effectExtent l="0" t="0" r="0" b="0"/>
            <wp:docPr id="26" name="IM 26"/>
            <wp:cNvGraphicFramePr/>
            <a:graphic>
              <a:graphicData uri="http://schemas.openxmlformats.org/drawingml/2006/picture">
                <pic:pic>
                  <pic:nvPicPr>
                    <pic:cNvPr id="26" name="IM 26"/>
                    <pic:cNvPicPr/>
                  </pic:nvPicPr>
                  <pic:blipFill>
                    <a:blip r:embed="rId57"/>
                    <a:stretch>
                      <a:fillRect/>
                    </a:stretch>
                  </pic:blipFill>
                  <pic:spPr>
                    <a:xfrm rot="0">
                      <a:off x="0" y="0"/>
                      <a:ext cx="5766849" cy="7682268"/>
                    </a:xfrm>
                    <a:prstGeom prst="rect">
                      <a:avLst/>
                    </a:prstGeom>
                  </pic:spPr>
                </pic:pic>
              </a:graphicData>
            </a:graphic>
          </wp:inline>
        </w:drawing>
      </w:r>
    </w:p>
    <w:p>
      <w:pPr>
        <w:spacing w:line="12098" w:lineRule="exact"/>
        <w:sectPr>
          <w:footerReference w:type="default" r:id="rId56"/>
          <w:pgSz w:w="11900" w:h="16840"/>
          <w:pgMar w:top="642" w:right="0" w:bottom="340" w:left="0" w:header="326" w:footer="111" w:gutter="0"/>
        </w:sectPr>
        <w:rPr/>
      </w:pPr>
    </w:p>
    <w:p>
      <w:pPr>
        <w:pStyle w:val="BodyText"/>
        <w:spacing w:line="277" w:lineRule="auto"/>
        <w:rPr/>
      </w:pPr>
      <w:r>
        <w:pict>
          <v:shape id="_x0000_s360" style="position:absolute;margin-left:491.92pt;margin-top:44.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217" w:lineRule="exact"/>
        <w:rPr/>
      </w:pPr>
      <w:r>
        <w:pict>
          <v:shape id="_x0000_s362" style="position:absolute;margin-left:-13.08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64"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66"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68" style="position:absolute;margin-left:491.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766849" cy="7757785"/>
            <wp:effectExtent l="0" t="0" r="0" b="0"/>
            <wp:docPr id="28" name="IM 28"/>
            <wp:cNvGraphicFramePr/>
            <a:graphic>
              <a:graphicData uri="http://schemas.openxmlformats.org/drawingml/2006/picture">
                <pic:pic>
                  <pic:nvPicPr>
                    <pic:cNvPr id="28" name="IM 28"/>
                    <pic:cNvPicPr/>
                  </pic:nvPicPr>
                  <pic:blipFill>
                    <a:blip r:embed="rId59"/>
                    <a:stretch>
                      <a:fillRect/>
                    </a:stretch>
                  </pic:blipFill>
                  <pic:spPr>
                    <a:xfrm rot="0">
                      <a:off x="0" y="0"/>
                      <a:ext cx="5766849" cy="7757785"/>
                    </a:xfrm>
                    <a:prstGeom prst="rect">
                      <a:avLst/>
                    </a:prstGeom>
                  </pic:spPr>
                </pic:pic>
              </a:graphicData>
            </a:graphic>
          </wp:inline>
        </w:drawing>
      </w:r>
    </w:p>
    <w:p>
      <w:pPr>
        <w:spacing w:line="12217" w:lineRule="exact"/>
        <w:sectPr>
          <w:footerReference w:type="default" r:id="rId58"/>
          <w:pgSz w:w="11900" w:h="16840"/>
          <w:pgMar w:top="642" w:right="0" w:bottom="340" w:left="0" w:header="326" w:footer="111" w:gutter="0"/>
        </w:sectPr>
        <w:rPr/>
      </w:pPr>
    </w:p>
    <w:p>
      <w:pPr>
        <w:pStyle w:val="BodyText"/>
        <w:spacing w:line="277" w:lineRule="auto"/>
        <w:rPr/>
      </w:pPr>
      <w:r>
        <w:pict>
          <v:shape id="_x0000_s370"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747" w:lineRule="exact"/>
        <w:rPr/>
      </w:pPr>
      <w:r>
        <w:pict>
          <v:shape id="_x0000_s372" style="position:absolute;margin-left:-13.08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74" style="position:absolute;margin-left:86.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76" style="position:absolute;margin-left:491.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78" style="position:absolute;margin-left:391.92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5766849" cy="8094185"/>
            <wp:effectExtent l="0" t="0" r="0" b="0"/>
            <wp:docPr id="30" name="IM 30"/>
            <wp:cNvGraphicFramePr/>
            <a:graphic>
              <a:graphicData uri="http://schemas.openxmlformats.org/drawingml/2006/picture">
                <pic:pic>
                  <pic:nvPicPr>
                    <pic:cNvPr id="30" name="IM 30"/>
                    <pic:cNvPicPr/>
                  </pic:nvPicPr>
                  <pic:blipFill>
                    <a:blip r:embed="rId61"/>
                    <a:stretch>
                      <a:fillRect/>
                    </a:stretch>
                  </pic:blipFill>
                  <pic:spPr>
                    <a:xfrm rot="0">
                      <a:off x="0" y="0"/>
                      <a:ext cx="5766849" cy="8094185"/>
                    </a:xfrm>
                    <a:prstGeom prst="rect">
                      <a:avLst/>
                    </a:prstGeom>
                  </pic:spPr>
                </pic:pic>
              </a:graphicData>
            </a:graphic>
          </wp:inline>
        </w:drawing>
      </w:r>
    </w:p>
    <w:p>
      <w:pPr>
        <w:spacing w:line="12747" w:lineRule="exact"/>
        <w:sectPr>
          <w:footerReference w:type="default" r:id="rId60"/>
          <w:pgSz w:w="11900" w:h="16840"/>
          <w:pgMar w:top="642" w:right="0" w:bottom="340" w:left="0" w:header="326" w:footer="111" w:gutter="0"/>
        </w:sectPr>
        <w:rPr/>
      </w:pPr>
    </w:p>
    <w:p>
      <w:pPr>
        <w:pStyle w:val="BodyText"/>
        <w:spacing w:line="277" w:lineRule="auto"/>
        <w:rPr/>
      </w:pPr>
      <w:r>
        <w:pict>
          <v:shape id="_x0000_s380" style="position:absolute;margin-left:491.92pt;margin-top:44.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293" w:lineRule="exact"/>
        <w:rPr/>
      </w:pPr>
      <w:r>
        <w:pict>
          <v:shape id="_x0000_s382" style="position:absolute;margin-left:391.92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84" style="position:absolute;margin-left:-13.08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86" style="position:absolute;margin-left:491.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388" style="position:absolute;margin-left:86.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766849" cy="7805842"/>
            <wp:effectExtent l="0" t="0" r="0" b="0"/>
            <wp:docPr id="32" name="IM 32"/>
            <wp:cNvGraphicFramePr/>
            <a:graphic>
              <a:graphicData uri="http://schemas.openxmlformats.org/drawingml/2006/picture">
                <pic:pic>
                  <pic:nvPicPr>
                    <pic:cNvPr id="32" name="IM 32"/>
                    <pic:cNvPicPr/>
                  </pic:nvPicPr>
                  <pic:blipFill>
                    <a:blip r:embed="rId63"/>
                    <a:stretch>
                      <a:fillRect/>
                    </a:stretch>
                  </pic:blipFill>
                  <pic:spPr>
                    <a:xfrm rot="0">
                      <a:off x="0" y="0"/>
                      <a:ext cx="5766849" cy="7805842"/>
                    </a:xfrm>
                    <a:prstGeom prst="rect">
                      <a:avLst/>
                    </a:prstGeom>
                  </pic:spPr>
                </pic:pic>
              </a:graphicData>
            </a:graphic>
          </wp:inline>
        </w:drawing>
      </w:r>
    </w:p>
    <w:p>
      <w:pPr>
        <w:spacing w:line="12293" w:lineRule="exact"/>
        <w:sectPr>
          <w:footerReference w:type="default" r:id="rId62"/>
          <w:pgSz w:w="11900" w:h="16840"/>
          <w:pgMar w:top="642" w:right="0" w:bottom="340" w:left="0" w:header="326" w:footer="111" w:gutter="0"/>
        </w:sectPr>
        <w:rPr/>
      </w:pPr>
    </w:p>
    <w:p>
      <w:pPr>
        <w:pStyle w:val="BodyText"/>
        <w:spacing w:line="277" w:lineRule="auto"/>
        <w:rPr/>
      </w:pPr>
      <w:r>
        <w:pict>
          <v:shape id="_x0000_s390" style="position:absolute;margin-left:491.92pt;margin-top:44.1055pt;mso-position-vertical-relative:page;mso-position-horizontal-relative:page;width:119.4pt;height:18.85pt;z-index:2517237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61" w:lineRule="exact"/>
        <w:rPr/>
      </w:pPr>
      <w:r>
        <w:pict>
          <v:shape id="_x0000_s392" style="position:absolute;margin-left:391.92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94" style="position:absolute;margin-left:491.92pt;margin-top:472.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396" style="position:absolute;margin-left:86.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98" style="position:absolute;margin-left:-13.08pt;margin-top:228.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5766849" cy="8039263"/>
            <wp:effectExtent l="0" t="0" r="0" b="0"/>
            <wp:docPr id="34" name="IM 34"/>
            <wp:cNvGraphicFramePr/>
            <a:graphic>
              <a:graphicData uri="http://schemas.openxmlformats.org/drawingml/2006/picture">
                <pic:pic>
                  <pic:nvPicPr>
                    <pic:cNvPr id="34" name="IM 34"/>
                    <pic:cNvPicPr/>
                  </pic:nvPicPr>
                  <pic:blipFill>
                    <a:blip r:embed="rId65"/>
                    <a:stretch>
                      <a:fillRect/>
                    </a:stretch>
                  </pic:blipFill>
                  <pic:spPr>
                    <a:xfrm rot="0">
                      <a:off x="0" y="0"/>
                      <a:ext cx="5766849" cy="8039263"/>
                    </a:xfrm>
                    <a:prstGeom prst="rect">
                      <a:avLst/>
                    </a:prstGeom>
                  </pic:spPr>
                </pic:pic>
              </a:graphicData>
            </a:graphic>
          </wp:inline>
        </w:drawing>
      </w:r>
    </w:p>
    <w:p>
      <w:pPr>
        <w:spacing w:line="12661" w:lineRule="exact"/>
        <w:sectPr>
          <w:footerReference w:type="default" r:id="rId64"/>
          <w:pgSz w:w="11900" w:h="16840"/>
          <w:pgMar w:top="642" w:right="0" w:bottom="340" w:left="0" w:header="326" w:footer="111" w:gutter="0"/>
        </w:sectPr>
        <w:rPr/>
      </w:pPr>
    </w:p>
    <w:p>
      <w:pPr>
        <w:pStyle w:val="BodyText"/>
        <w:spacing w:line="277" w:lineRule="auto"/>
        <w:rPr/>
      </w:pPr>
      <w:r>
        <w:pict>
          <v:shape id="_x0000_s400" style="position:absolute;margin-left:491.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725" w:lineRule="exact"/>
        <w:rPr/>
      </w:pPr>
      <w:r>
        <w:pict>
          <v:shape id="_x0000_s402" style="position:absolute;margin-left:-13.08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404" style="position:absolute;margin-left:391.92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406" style="position:absolute;margin-left:491.92pt;margin-top:472.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408" style="position:absolute;margin-left:86.92pt;margin-top:472.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5766849" cy="8080455"/>
            <wp:effectExtent l="0" t="0" r="0" b="0"/>
            <wp:docPr id="36" name="IM 36"/>
            <wp:cNvGraphicFramePr/>
            <a:graphic>
              <a:graphicData uri="http://schemas.openxmlformats.org/drawingml/2006/picture">
                <pic:pic>
                  <pic:nvPicPr>
                    <pic:cNvPr id="36" name="IM 36"/>
                    <pic:cNvPicPr/>
                  </pic:nvPicPr>
                  <pic:blipFill>
                    <a:blip r:embed="rId67"/>
                    <a:stretch>
                      <a:fillRect/>
                    </a:stretch>
                  </pic:blipFill>
                  <pic:spPr>
                    <a:xfrm rot="0">
                      <a:off x="0" y="0"/>
                      <a:ext cx="5766849" cy="8080455"/>
                    </a:xfrm>
                    <a:prstGeom prst="rect">
                      <a:avLst/>
                    </a:prstGeom>
                  </pic:spPr>
                </pic:pic>
              </a:graphicData>
            </a:graphic>
          </wp:inline>
        </w:drawing>
      </w:r>
    </w:p>
    <w:p>
      <w:pPr>
        <w:spacing w:line="12725" w:lineRule="exact"/>
        <w:sectPr>
          <w:footerReference w:type="default" r:id="rId66"/>
          <w:pgSz w:w="11900" w:h="16840"/>
          <w:pgMar w:top="642" w:right="0" w:bottom="340" w:left="0" w:header="326" w:footer="111" w:gutter="0"/>
        </w:sectPr>
        <w:rPr/>
      </w:pPr>
    </w:p>
    <w:p>
      <w:pPr>
        <w:pStyle w:val="BodyText"/>
        <w:spacing w:line="277" w:lineRule="auto"/>
        <w:rPr/>
      </w:pPr>
      <w:r>
        <w:pict>
          <v:shape id="_x0000_s410" style="position:absolute;margin-left:491.92pt;margin-top:44.1055pt;mso-position-vertical-relative:page;mso-position-horizontal-relative:page;width:119.4pt;height:18.85pt;z-index:2517340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93" w:lineRule="exact"/>
        <w:rPr/>
      </w:pPr>
      <w:r>
        <w:pict>
          <v:shape id="_x0000_s412" style="position:absolute;margin-left:86.92pt;margin-top:472.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414" style="position:absolute;margin-left:491.92pt;margin-top:472.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416" style="position:absolute;margin-left:391.92pt;margin-top:228.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418" style="position:absolute;margin-left:-13.08pt;margin-top:228.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5766849" cy="8059859"/>
            <wp:effectExtent l="0" t="0" r="0" b="0"/>
            <wp:docPr id="38" name="IM 38"/>
            <wp:cNvGraphicFramePr/>
            <a:graphic>
              <a:graphicData uri="http://schemas.openxmlformats.org/drawingml/2006/picture">
                <pic:pic>
                  <pic:nvPicPr>
                    <pic:cNvPr id="38" name="IM 38"/>
                    <pic:cNvPicPr/>
                  </pic:nvPicPr>
                  <pic:blipFill>
                    <a:blip r:embed="rId69"/>
                    <a:stretch>
                      <a:fillRect/>
                    </a:stretch>
                  </pic:blipFill>
                  <pic:spPr>
                    <a:xfrm rot="0">
                      <a:off x="0" y="0"/>
                      <a:ext cx="5766849" cy="8059859"/>
                    </a:xfrm>
                    <a:prstGeom prst="rect">
                      <a:avLst/>
                    </a:prstGeom>
                  </pic:spPr>
                </pic:pic>
              </a:graphicData>
            </a:graphic>
          </wp:inline>
        </w:drawing>
      </w:r>
    </w:p>
    <w:p>
      <w:pPr>
        <w:spacing w:line="12693" w:lineRule="exact"/>
        <w:sectPr>
          <w:footerReference w:type="default" r:id="rId68"/>
          <w:pgSz w:w="11900" w:h="16840"/>
          <w:pgMar w:top="642" w:right="0" w:bottom="340" w:left="0" w:header="326" w:footer="111" w:gutter="0"/>
        </w:sectPr>
        <w:rPr/>
      </w:pPr>
    </w:p>
    <w:p>
      <w:pPr>
        <w:pStyle w:val="BodyText"/>
        <w:spacing w:line="277" w:lineRule="auto"/>
        <w:rPr/>
      </w:pPr>
      <w:r>
        <w:pict>
          <v:shape id="_x0000_s420" style="position:absolute;margin-left:491.92pt;margin-top:44.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28" w:lineRule="exact"/>
        <w:rPr/>
      </w:pPr>
      <w:r>
        <w:pict>
          <v:shape id="_x0000_s422" style="position:absolute;margin-left:391.92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424" style="position:absolute;margin-left:86.92pt;margin-top:472.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426" style="position:absolute;margin-left:491.92pt;margin-top:472.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428" style="position:absolute;margin-left:-13.08pt;margin-top:228.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766849" cy="8018667"/>
            <wp:effectExtent l="0" t="0" r="0" b="0"/>
            <wp:docPr id="40" name="IM 40"/>
            <wp:cNvGraphicFramePr/>
            <a:graphic>
              <a:graphicData uri="http://schemas.openxmlformats.org/drawingml/2006/picture">
                <pic:pic>
                  <pic:nvPicPr>
                    <pic:cNvPr id="40" name="IM 40"/>
                    <pic:cNvPicPr/>
                  </pic:nvPicPr>
                  <pic:blipFill>
                    <a:blip r:embed="rId71"/>
                    <a:stretch>
                      <a:fillRect/>
                    </a:stretch>
                  </pic:blipFill>
                  <pic:spPr>
                    <a:xfrm rot="0">
                      <a:off x="0" y="0"/>
                      <a:ext cx="5766849" cy="8018667"/>
                    </a:xfrm>
                    <a:prstGeom prst="rect">
                      <a:avLst/>
                    </a:prstGeom>
                  </pic:spPr>
                </pic:pic>
              </a:graphicData>
            </a:graphic>
          </wp:inline>
        </w:drawing>
      </w:r>
    </w:p>
    <w:p>
      <w:pPr>
        <w:spacing w:line="12628" w:lineRule="exact"/>
        <w:sectPr>
          <w:footerReference w:type="default" r:id="rId70"/>
          <w:pgSz w:w="11900" w:h="16840"/>
          <w:pgMar w:top="642" w:right="0" w:bottom="340" w:left="0" w:header="326" w:footer="111" w:gutter="0"/>
        </w:sectPr>
        <w:rPr/>
      </w:pPr>
    </w:p>
    <w:p>
      <w:pPr>
        <w:pStyle w:val="BodyText"/>
        <w:spacing w:line="277" w:lineRule="auto"/>
        <w:rPr/>
      </w:pPr>
      <w:r>
        <w:pict>
          <v:shape id="_x0000_s430" style="position:absolute;margin-left:491.92pt;margin-top:44.1055pt;mso-position-vertical-relative:page;mso-position-horizontal-relative:page;width:119.4pt;height:18.85pt;z-index:2517411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07" w:lineRule="exact"/>
        <w:rPr/>
      </w:pPr>
      <w:r>
        <w:pict>
          <v:shape id="_x0000_s432" style="position:absolute;margin-left:-13.08pt;margin-top:228.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434" style="position:absolute;margin-left:491.92pt;margin-top:472.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436" style="position:absolute;margin-left:86.92pt;margin-top:472.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438" style="position:absolute;margin-left:391.92pt;margin-top:228.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766849" cy="8004936"/>
            <wp:effectExtent l="0" t="0" r="0" b="0"/>
            <wp:docPr id="42" name="IM 42"/>
            <wp:cNvGraphicFramePr/>
            <a:graphic>
              <a:graphicData uri="http://schemas.openxmlformats.org/drawingml/2006/picture">
                <pic:pic>
                  <pic:nvPicPr>
                    <pic:cNvPr id="42" name="IM 42"/>
                    <pic:cNvPicPr/>
                  </pic:nvPicPr>
                  <pic:blipFill>
                    <a:blip r:embed="rId73"/>
                    <a:stretch>
                      <a:fillRect/>
                    </a:stretch>
                  </pic:blipFill>
                  <pic:spPr>
                    <a:xfrm rot="0">
                      <a:off x="0" y="0"/>
                      <a:ext cx="5766849" cy="8004936"/>
                    </a:xfrm>
                    <a:prstGeom prst="rect">
                      <a:avLst/>
                    </a:prstGeom>
                  </pic:spPr>
                </pic:pic>
              </a:graphicData>
            </a:graphic>
          </wp:inline>
        </w:drawing>
      </w:r>
    </w:p>
    <w:p>
      <w:pPr>
        <w:spacing w:line="12607" w:lineRule="exact"/>
        <w:sectPr>
          <w:footerReference w:type="default" r:id="rId72"/>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7"/>
      <w:bookmarkEnd w:id="47"/>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截至2025年3月27日，长治高新区翟店工业园事业服务中心共有公务用车编制1辆，实有1</w:t>
      </w:r>
      <w:r>
        <w:rPr>
          <w:rFonts w:ascii="FangSong" w:hAnsi="FangSong" w:eastAsia="FangSong" w:cs="FangSong"/>
          <w:sz w:val="23"/>
          <w:szCs w:val="23"/>
          <w:spacing w:val="9"/>
        </w:rPr>
        <w:t xml:space="preserve"> </w:t>
      </w:r>
      <w:r>
        <w:rPr>
          <w:rFonts w:ascii="FangSong" w:hAnsi="FangSong" w:eastAsia="FangSong" w:cs="FangSong"/>
          <w:sz w:val="23"/>
          <w:szCs w:val="23"/>
          <w:spacing w:val="5"/>
        </w:rPr>
        <w:t>辆，其中：领导用车0辆，机要通信用车0辆，应急保障用车0辆，执法执勤用车0辆，特种专</w:t>
      </w:r>
      <w:r>
        <w:rPr>
          <w:rFonts w:ascii="FangSong" w:hAnsi="FangSong" w:eastAsia="FangSong" w:cs="FangSong"/>
          <w:sz w:val="23"/>
          <w:szCs w:val="23"/>
          <w:spacing w:val="2"/>
        </w:rPr>
        <w:t xml:space="preserve"> </w:t>
      </w:r>
      <w:r>
        <w:rPr>
          <w:rFonts w:ascii="FangSong" w:hAnsi="FangSong" w:eastAsia="FangSong" w:cs="FangSong"/>
          <w:sz w:val="23"/>
          <w:szCs w:val="23"/>
        </w:rPr>
        <w:t>业技术用车0辆，事业单位业务用车1辆，其他公务用车0辆。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73" w:right="1223" w:firstLine="451"/>
        <w:spacing w:before="123" w:line="322" w:lineRule="auto"/>
        <w:rPr>
          <w:rFonts w:ascii="FangSong" w:hAnsi="FangSong" w:eastAsia="FangSong" w:cs="FangSong"/>
          <w:sz w:val="23"/>
          <w:szCs w:val="23"/>
        </w:rPr>
      </w:pPr>
      <w:r>
        <w:rPr>
          <w:rFonts w:ascii="FangSong" w:hAnsi="FangSong" w:eastAsia="FangSong" w:cs="FangSong"/>
          <w:sz w:val="23"/>
          <w:szCs w:val="23"/>
          <w:spacing w:val="6"/>
        </w:rPr>
        <w:t>截至2025年3月27</w:t>
      </w:r>
      <w:r>
        <w:rPr>
          <w:rFonts w:ascii="FangSong" w:hAnsi="FangSong" w:eastAsia="FangSong" w:cs="FangSong"/>
          <w:sz w:val="23"/>
          <w:szCs w:val="23"/>
          <w:spacing w:val="-36"/>
        </w:rPr>
        <w:t xml:space="preserve"> </w:t>
      </w:r>
      <w:r>
        <w:rPr>
          <w:rFonts w:ascii="FangSong" w:hAnsi="FangSong" w:eastAsia="FangSong" w:cs="FangSong"/>
          <w:sz w:val="23"/>
          <w:szCs w:val="23"/>
          <w:spacing w:val="6"/>
        </w:rPr>
        <w:t>日，长治高新区翟店工业园事业服务中心使用的办公用房建筑总面积</w:t>
      </w:r>
      <w:r>
        <w:rPr>
          <w:rFonts w:ascii="FangSong" w:hAnsi="FangSong" w:eastAsia="FangSong" w:cs="FangSong"/>
          <w:sz w:val="23"/>
          <w:szCs w:val="23"/>
        </w:rPr>
        <w:t xml:space="preserve"> </w:t>
      </w:r>
      <w:r>
        <w:rPr>
          <w:rFonts w:ascii="FangSong" w:hAnsi="FangSong" w:eastAsia="FangSong" w:cs="FangSong"/>
          <w:sz w:val="23"/>
          <w:szCs w:val="23"/>
          <w:spacing w:val="-3"/>
        </w:rPr>
        <w:t>1500平方米。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截至2025年3月27日，长治高新区翟店工业园事业服务中心占有使用价值50</w:t>
      </w:r>
      <w:r>
        <w:rPr>
          <w:rFonts w:ascii="FangSong" w:hAnsi="FangSong" w:eastAsia="FangSong" w:cs="FangSong"/>
          <w:sz w:val="23"/>
          <w:szCs w:val="23"/>
          <w:spacing w:val="1"/>
        </w:rPr>
        <w:t>万元（原值）</w:t>
      </w:r>
      <w:r>
        <w:rPr>
          <w:rFonts w:ascii="FangSong" w:hAnsi="FangSong" w:eastAsia="FangSong" w:cs="FangSong"/>
          <w:sz w:val="23"/>
          <w:szCs w:val="23"/>
        </w:rPr>
        <w:t xml:space="preserve"> </w:t>
      </w:r>
      <w:r>
        <w:rPr>
          <w:rFonts w:ascii="FangSong" w:hAnsi="FangSong" w:eastAsia="FangSong" w:cs="FangSong"/>
          <w:sz w:val="23"/>
          <w:szCs w:val="23"/>
          <w:spacing w:val="5"/>
        </w:rPr>
        <w:t>以上的通用设备0台（套</w:t>
      </w:r>
      <w:r>
        <w:rPr>
          <w:rFonts w:ascii="FangSong" w:hAnsi="FangSong" w:eastAsia="FangSong" w:cs="FangSong"/>
          <w:sz w:val="23"/>
          <w:szCs w:val="23"/>
          <w:spacing w:val="16"/>
        </w:rPr>
        <w:t>）；</w:t>
      </w:r>
      <w:r>
        <w:rPr>
          <w:rFonts w:ascii="FangSong" w:hAnsi="FangSong" w:eastAsia="FangSong" w:cs="FangSong"/>
          <w:sz w:val="23"/>
          <w:szCs w:val="23"/>
          <w:spacing w:val="5"/>
        </w:rPr>
        <w:t>长治高新区翟店工业</w:t>
      </w:r>
      <w:r>
        <w:rPr>
          <w:rFonts w:ascii="FangSong" w:hAnsi="FangSong" w:eastAsia="FangSong" w:cs="FangSong"/>
          <w:sz w:val="23"/>
          <w:szCs w:val="23"/>
          <w:spacing w:val="4"/>
        </w:rPr>
        <w:t>园事业服务中心占有使用价值100万元（原</w:t>
      </w:r>
      <w:r>
        <w:rPr>
          <w:rFonts w:ascii="FangSong" w:hAnsi="FangSong" w:eastAsia="FangSong" w:cs="FangSong"/>
          <w:sz w:val="23"/>
          <w:szCs w:val="23"/>
        </w:rPr>
        <w:t xml:space="preserve"> </w:t>
      </w:r>
      <w:r>
        <w:rPr>
          <w:rFonts w:ascii="FangSong" w:hAnsi="FangSong" w:eastAsia="FangSong" w:cs="FangSong"/>
          <w:sz w:val="23"/>
          <w:szCs w:val="23"/>
          <w:spacing w:val="-1"/>
        </w:rPr>
        <w:t>值）以上的通用设备0台（套）。</w:t>
      </w:r>
    </w:p>
    <w:p>
      <w:pPr>
        <w:ind w:left="1260"/>
        <w:spacing w:line="228" w:lineRule="exact"/>
        <w:outlineLvl w:val="1"/>
        <w:rPr>
          <w:rFonts w:ascii="Microsoft YaHei" w:hAnsi="Microsoft YaHei" w:eastAsia="Microsoft YaHei" w:cs="Microsoft YaHei"/>
          <w:sz w:val="22"/>
          <w:szCs w:val="22"/>
        </w:rPr>
      </w:pPr>
      <w:bookmarkStart w:name="bookmark31" w:id="48"/>
      <w:bookmarkEnd w:id="48"/>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9"/>
      <w:bookmarkEnd w:id="49"/>
      <w:r>
        <w:rPr>
          <w:rFonts w:ascii="FangSong" w:hAnsi="FangSong" w:eastAsia="FangSong" w:cs="FangSong"/>
          <w:sz w:val="23"/>
          <w:szCs w:val="23"/>
          <w:spacing w:val="-1"/>
        </w:rPr>
        <w:t>（一）政府购买服务指导性目录</w:t>
      </w:r>
    </w:p>
    <w:p>
      <w:pPr>
        <w:ind w:left="2073"/>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50"/>
      <w:bookmarkEnd w:id="50"/>
      <w:r>
        <w:rPr>
          <w:rFonts w:ascii="FangSong" w:hAnsi="FangSong" w:eastAsia="FangSong" w:cs="FangSong"/>
          <w:sz w:val="23"/>
          <w:szCs w:val="23"/>
          <w:spacing w:val="-3"/>
        </w:rPr>
        <w:t>（二）其他</w:t>
      </w:r>
    </w:p>
    <w:p>
      <w:pPr>
        <w:ind w:left="1263" w:right="1223" w:firstLine="703"/>
        <w:spacing w:before="252" w:line="330" w:lineRule="auto"/>
        <w:rPr>
          <w:rFonts w:ascii="FangSong" w:hAnsi="FangSong" w:eastAsia="FangSong" w:cs="FangSong"/>
          <w:sz w:val="23"/>
          <w:szCs w:val="23"/>
        </w:rPr>
      </w:pPr>
      <w:r>
        <w:rPr>
          <w:rFonts w:ascii="FangSong" w:hAnsi="FangSong" w:eastAsia="FangSong" w:cs="FangSong"/>
          <w:sz w:val="23"/>
          <w:szCs w:val="23"/>
          <w:spacing w:val="5"/>
        </w:rPr>
        <w:t>本部门专项资金主要用于党建工作，资金管理遵循公开、择优、实效原则，资金分配</w:t>
      </w:r>
      <w:r>
        <w:rPr>
          <w:rFonts w:ascii="FangSong" w:hAnsi="FangSong" w:eastAsia="FangSong" w:cs="FangSong"/>
          <w:sz w:val="23"/>
          <w:szCs w:val="23"/>
          <w:spacing w:val="12"/>
        </w:rPr>
        <w:t xml:space="preserve"> </w:t>
      </w:r>
      <w:r>
        <w:rPr>
          <w:rFonts w:ascii="FangSong" w:hAnsi="FangSong" w:eastAsia="FangSong" w:cs="FangSong"/>
          <w:sz w:val="23"/>
          <w:szCs w:val="23"/>
          <w:spacing w:val="-1"/>
        </w:rPr>
        <w:t>和使用情况向社会公开，并接受有关部门的监督。</w:t>
      </w:r>
    </w:p>
    <w:p>
      <w:pPr>
        <w:spacing w:line="330" w:lineRule="auto"/>
        <w:sectPr>
          <w:headerReference w:type="default" r:id="rId5"/>
          <w:footerReference w:type="default" r:id="rId74"/>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440" style="position:absolute;margin-left:491.92pt;margin-top:44.1055pt;mso-position-vertical-relative:page;mso-position-horizontal-relative:page;width:119.4pt;height:18.85pt;z-index:2517534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91"/>
        <w:spacing w:line="13309" w:lineRule="exact"/>
        <w:rPr/>
      </w:pPr>
      <w:r>
        <w:pict>
          <v:shape id="_x0000_s442" style="position:absolute;margin-left:491.92pt;margin-top:472.067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444" style="position:absolute;margin-left:-13.08pt;margin-top:228.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446" style="position:absolute;margin-left:391.92pt;margin-top:228.067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448" style="position:absolute;margin-left:86.92pt;margin-top:472.067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rPr>
          <w:position w:val="-266"/>
        </w:rPr>
        <w:drawing>
          <wp:inline distT="0" distB="0" distL="0" distR="0">
            <wp:extent cx="5931618" cy="8451181"/>
            <wp:effectExtent l="0" t="0" r="0" b="0"/>
            <wp:docPr id="44" name="IM 44"/>
            <wp:cNvGraphicFramePr/>
            <a:graphic>
              <a:graphicData uri="http://schemas.openxmlformats.org/drawingml/2006/picture">
                <pic:pic>
                  <pic:nvPicPr>
                    <pic:cNvPr id="44" name="IM 44"/>
                    <pic:cNvPicPr/>
                  </pic:nvPicPr>
                  <pic:blipFill>
                    <a:blip r:embed="rId76"/>
                    <a:stretch>
                      <a:fillRect/>
                    </a:stretch>
                  </pic:blipFill>
                  <pic:spPr>
                    <a:xfrm rot="0">
                      <a:off x="0" y="0"/>
                      <a:ext cx="5931618" cy="8451181"/>
                    </a:xfrm>
                    <a:prstGeom prst="rect">
                      <a:avLst/>
                    </a:prstGeom>
                  </pic:spPr>
                </pic:pic>
              </a:graphicData>
            </a:graphic>
          </wp:inline>
        </w:drawing>
      </w:r>
    </w:p>
    <w:p>
      <w:pPr>
        <w:spacing w:line="13309" w:lineRule="exact"/>
        <w:sectPr>
          <w:headerReference w:type="default" r:id="rId39"/>
          <w:footerReference w:type="default" r:id="rId75"/>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1"/>
      <w:bookmarkEnd w:id="5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21"/>
      <w:footerReference w:type="default" r:id="rId77"/>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5"/>
    <w:bookmarkEnd w:id="45"/>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50" w:id="46"/>
    <w:bookmarkEnd w:id="46"/>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54" style="position:absolute;margin-left:86.92pt;margin-top:27.7633pt;mso-position-vertical-relative:text;mso-position-horizontal-relative:text;width:119.4pt;height:18.85pt;z-index:-251572224;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391.92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72" style="position:absolute;margin-left:86.92pt;margin-top:27.7633pt;mso-position-vertical-relative:text;mso-position-horizontal-relative:text;width:119.4pt;height:18.85pt;z-index:-251563008;rotation:330;" fillcolor="#404040" filled="true" stroked="false" type="#_x0000_t136">
          <v:fill opacity="0.400000"/>
          <v:textpath style="font-family:&quot;SimSun&quot;;font-size:20;v-text-kern:t;mso-text-shadow:auto" string="仅供内部审核"/>
        </v:shape>
      </w:pict>
    </w:r>
    <w:r>
      <w:pict>
        <v:shape id="PowerPlusWaterMarkObject174"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391.92pt;margin-top:776.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_x0000_s188"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90"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2" style="position:absolute;margin-left:-13.08pt;margin-top:288.10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391.92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08" style="position:absolute;margin-left:86.92pt;margin-top:27.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0" style="position:absolute;margin-left:-13.08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91.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26" style="position:absolute;margin-left:86.92pt;margin-top:27.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13.08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1.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44"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62" style="position:absolute;margin-left:86.92pt;margin-top:27.7633pt;mso-position-vertical-relative:text;mso-position-horizontal-relative:text;width:119.4pt;height:18.85pt;z-index:-251522048;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_x0000_s268" style="position:absolute;margin-left:30pt;margin-top:29.5pt;mso-position-vertical-relative:page;mso-position-horizontal-relative:page;width:535pt;height:1pt;z-index:-25152307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29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601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20" style="position:absolute;margin-left:-13.08pt;margin-top:28.7633pt;mso-position-vertical-relative:text;mso-position-horizontal-relative:text;width:119.4pt;height:18.85pt;z-index:-251590656;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782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36" style="position:absolute;margin-left:86.92pt;margin-top:27.7633pt;mso-position-vertical-relative:text;mso-position-horizontal-relative:text;width:119.4pt;height:18.85pt;z-index:-251581440;rotation:330;" fillcolor="#404040" filled="true" stroked="false" type="#_x0000_t136">
          <v:fill opacity="0.400000"/>
          <v:textpath style="font-family:&quot;SimSun&quot;;font-size:20;v-text-kern:t;mso-text-shadow:auto" string="仅供内部审核"/>
        </v:shape>
      </w:pict>
    </w:r>
    <w:r>
      <w:pict>
        <v:shape id="PowerPlusWaterMarkObject138"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91.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_x0000_s152"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长治高新区翟店工业园事业服务中心2025年部门预算公</w:t>
    </w:r>
    <w:r>
      <w:rPr>
        <w:rFonts w:ascii="SimSun" w:hAnsi="SimSun" w:eastAsia="SimSun" w:cs="SimSun"/>
        <w:sz w:val="16"/>
        <w:szCs w:val="16"/>
        <w:spacing w:val="-2"/>
        <w:position w:val="1"/>
      </w:rPr>
      <w:t>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0" Type="http://schemas.openxmlformats.org/officeDocument/2006/relationships/fontTable" Target="fontTable.xml"/><Relationship Id="rId8" Type="http://schemas.openxmlformats.org/officeDocument/2006/relationships/footer" Target="footer2.xml"/><Relationship Id="rId79" Type="http://schemas.openxmlformats.org/officeDocument/2006/relationships/styles" Target="styles.xml"/><Relationship Id="rId78" Type="http://schemas.openxmlformats.org/officeDocument/2006/relationships/settings" Target="settings.xml"/><Relationship Id="rId77" Type="http://schemas.openxmlformats.org/officeDocument/2006/relationships/footer" Target="footer39.xml"/><Relationship Id="rId76" Type="http://schemas.openxmlformats.org/officeDocument/2006/relationships/image" Target="media/image22.png"/><Relationship Id="rId75" Type="http://schemas.openxmlformats.org/officeDocument/2006/relationships/footer" Target="footer38.xml"/><Relationship Id="rId74" Type="http://schemas.openxmlformats.org/officeDocument/2006/relationships/footer" Target="footer37.xml"/><Relationship Id="rId73" Type="http://schemas.openxmlformats.org/officeDocument/2006/relationships/image" Target="media/image21.png"/><Relationship Id="rId72" Type="http://schemas.openxmlformats.org/officeDocument/2006/relationships/footer" Target="footer36.xml"/><Relationship Id="rId71" Type="http://schemas.openxmlformats.org/officeDocument/2006/relationships/image" Target="media/image20.png"/><Relationship Id="rId70" Type="http://schemas.openxmlformats.org/officeDocument/2006/relationships/footer" Target="footer35.xml"/><Relationship Id="rId7" Type="http://schemas.openxmlformats.org/officeDocument/2006/relationships/header" Target="header5.xml"/><Relationship Id="rId69" Type="http://schemas.openxmlformats.org/officeDocument/2006/relationships/image" Target="media/image19.png"/><Relationship Id="rId68" Type="http://schemas.openxmlformats.org/officeDocument/2006/relationships/footer" Target="footer34.xml"/><Relationship Id="rId67" Type="http://schemas.openxmlformats.org/officeDocument/2006/relationships/image" Target="media/image18.png"/><Relationship Id="rId66" Type="http://schemas.openxmlformats.org/officeDocument/2006/relationships/footer" Target="footer33.xml"/><Relationship Id="rId65" Type="http://schemas.openxmlformats.org/officeDocument/2006/relationships/image" Target="media/image17.png"/><Relationship Id="rId64" Type="http://schemas.openxmlformats.org/officeDocument/2006/relationships/footer" Target="footer32.xml"/><Relationship Id="rId63" Type="http://schemas.openxmlformats.org/officeDocument/2006/relationships/image" Target="media/image16.png"/><Relationship Id="rId62" Type="http://schemas.openxmlformats.org/officeDocument/2006/relationships/footer" Target="footer31.xml"/><Relationship Id="rId61" Type="http://schemas.openxmlformats.org/officeDocument/2006/relationships/image" Target="media/image15.png"/><Relationship Id="rId60" Type="http://schemas.openxmlformats.org/officeDocument/2006/relationships/footer" Target="footer30.xml"/><Relationship Id="rId6" Type="http://schemas.openxmlformats.org/officeDocument/2006/relationships/footer" Target="footer1.xml"/><Relationship Id="rId59" Type="http://schemas.openxmlformats.org/officeDocument/2006/relationships/image" Target="media/image14.png"/><Relationship Id="rId58" Type="http://schemas.openxmlformats.org/officeDocument/2006/relationships/footer" Target="footer29.xml"/><Relationship Id="rId57" Type="http://schemas.openxmlformats.org/officeDocument/2006/relationships/image" Target="media/image13.png"/><Relationship Id="rId56" Type="http://schemas.openxmlformats.org/officeDocument/2006/relationships/footer" Target="footer28.xml"/><Relationship Id="rId55" Type="http://schemas.openxmlformats.org/officeDocument/2006/relationships/image" Target="media/image12.png"/><Relationship Id="rId54" Type="http://schemas.openxmlformats.org/officeDocument/2006/relationships/footer" Target="footer27.xml"/><Relationship Id="rId53" Type="http://schemas.openxmlformats.org/officeDocument/2006/relationships/image" Target="media/image11.png"/><Relationship Id="rId52" Type="http://schemas.openxmlformats.org/officeDocument/2006/relationships/footer" Target="footer26.xml"/><Relationship Id="rId51" Type="http://schemas.openxmlformats.org/officeDocument/2006/relationships/image" Target="media/image10.png"/><Relationship Id="rId50" Type="http://schemas.openxmlformats.org/officeDocument/2006/relationships/footer" Target="footer25.xml"/><Relationship Id="rId5" Type="http://schemas.openxmlformats.org/officeDocument/2006/relationships/header" Target="header4.xml"/><Relationship Id="rId49" Type="http://schemas.openxmlformats.org/officeDocument/2006/relationships/image" Target="media/image9.png"/><Relationship Id="rId48" Type="http://schemas.openxmlformats.org/officeDocument/2006/relationships/footer" Target="footer24.xml"/><Relationship Id="rId47" Type="http://schemas.openxmlformats.org/officeDocument/2006/relationships/image" Target="media/image8.png"/><Relationship Id="rId46" Type="http://schemas.openxmlformats.org/officeDocument/2006/relationships/footer" Target="footer23.xml"/><Relationship Id="rId45" Type="http://schemas.openxmlformats.org/officeDocument/2006/relationships/image" Target="media/image7.png"/><Relationship Id="rId44" Type="http://schemas.openxmlformats.org/officeDocument/2006/relationships/footer" Target="footer22.xml"/><Relationship Id="rId43" Type="http://schemas.openxmlformats.org/officeDocument/2006/relationships/image" Target="media/image6.png"/><Relationship Id="rId42" Type="http://schemas.openxmlformats.org/officeDocument/2006/relationships/footer" Target="footer21.xml"/><Relationship Id="rId41" Type="http://schemas.openxmlformats.org/officeDocument/2006/relationships/image" Target="media/image5.png"/><Relationship Id="rId40" Type="http://schemas.openxmlformats.org/officeDocument/2006/relationships/footer" Target="footer20.xml"/><Relationship Id="rId4" Type="http://schemas.openxmlformats.org/officeDocument/2006/relationships/header" Target="header3.xml"/><Relationship Id="rId39" Type="http://schemas.openxmlformats.org/officeDocument/2006/relationships/header" Target="header16.xml"/><Relationship Id="rId38" Type="http://schemas.openxmlformats.org/officeDocument/2006/relationships/footer" Target="footer19.xml"/><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footer" Target="footer18.xml"/><Relationship Id="rId34" Type="http://schemas.openxmlformats.org/officeDocument/2006/relationships/image" Target="media/image2.png"/><Relationship Id="rId33" Type="http://schemas.openxmlformats.org/officeDocument/2006/relationships/footer" Target="footer17.xml"/><Relationship Id="rId32" Type="http://schemas.openxmlformats.org/officeDocument/2006/relationships/header" Target="header15.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image" Target="media/image1.png"/><Relationship Id="rId29" Type="http://schemas.openxmlformats.org/officeDocument/2006/relationships/header" Target="header14.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2025-03-28T20:29:04Z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2025-04-02T10:45:44</vt:filetime>
  </property>
</Properties>
</file>