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3009"/>
        <w:spacing w:before="140" w:line="218" w:lineRule="auto"/>
        <w:rPr>
          <w:rFonts w:ascii="SimSun" w:hAnsi="SimSun" w:eastAsia="SimSun" w:cs="SimSun"/>
          <w:sz w:val="43"/>
          <w:szCs w:val="43"/>
        </w:rPr>
      </w:pPr>
      <w:r>
        <w:rPr>
          <w:rFonts w:ascii="SimSun" w:hAnsi="SimSun" w:eastAsia="SimSun" w:cs="SimSun"/>
          <w:sz w:val="43"/>
          <w:szCs w:val="43"/>
          <w:spacing w:val="101"/>
        </w:rPr>
        <w:t>长治高新区社会保险中心</w:t>
      </w:r>
    </w:p>
    <w:p>
      <w:pPr>
        <w:pStyle w:val="BodyText"/>
        <w:spacing w:line="378" w:lineRule="auto"/>
        <w:rPr/>
      </w:pPr>
      <w:r/>
    </w:p>
    <w:p>
      <w:pPr>
        <w:ind w:left="3079"/>
        <w:spacing w:before="139" w:line="583" w:lineRule="exact"/>
        <w:rPr>
          <w:rFonts w:ascii="SimSun" w:hAnsi="SimSun" w:eastAsia="SimSun" w:cs="SimSun"/>
          <w:sz w:val="43"/>
          <w:szCs w:val="43"/>
        </w:rPr>
      </w:pPr>
      <w:r>
        <w:rPr>
          <w:rFonts w:ascii="SimSun" w:hAnsi="SimSun" w:eastAsia="SimSun" w:cs="SimSun"/>
          <w:sz w:val="43"/>
          <w:szCs w:val="43"/>
          <w:spacing w:val="7"/>
          <w:position w:val="2"/>
        </w:rPr>
        <w:t>2</w:t>
      </w:r>
      <w:r>
        <w:rPr>
          <w:rFonts w:ascii="SimSun" w:hAnsi="SimSun" w:eastAsia="SimSun" w:cs="SimSun"/>
          <w:sz w:val="43"/>
          <w:szCs w:val="43"/>
          <w:spacing w:val="-88"/>
          <w:position w:val="2"/>
        </w:rPr>
        <w:t xml:space="preserve"> </w:t>
      </w:r>
      <w:r>
        <w:rPr>
          <w:rFonts w:ascii="SimSun" w:hAnsi="SimSun" w:eastAsia="SimSun" w:cs="SimSun"/>
          <w:sz w:val="43"/>
          <w:szCs w:val="43"/>
          <w:spacing w:val="7"/>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7"/>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7"/>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7"/>
          <w:position w:val="2"/>
        </w:rPr>
        <w:t>度</w:t>
      </w:r>
      <w:r>
        <w:rPr>
          <w:rFonts w:ascii="SimSun" w:hAnsi="SimSun" w:eastAsia="SimSun" w:cs="SimSun"/>
          <w:sz w:val="43"/>
          <w:szCs w:val="43"/>
          <w:spacing w:val="-95"/>
          <w:position w:val="2"/>
        </w:rPr>
        <w:t xml:space="preserve"> </w:t>
      </w:r>
      <w:r>
        <w:rPr>
          <w:rFonts w:ascii="SimSun" w:hAnsi="SimSun" w:eastAsia="SimSun" w:cs="SimSun"/>
          <w:sz w:val="43"/>
          <w:szCs w:val="43"/>
          <w:spacing w:val="7"/>
          <w:position w:val="2"/>
        </w:rPr>
        <w:t>单</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位</w:t>
      </w:r>
      <w:r>
        <w:rPr>
          <w:rFonts w:ascii="SimSun" w:hAnsi="SimSun" w:eastAsia="SimSun" w:cs="SimSun"/>
          <w:sz w:val="43"/>
          <w:szCs w:val="43"/>
          <w:spacing w:val="-108"/>
          <w:position w:val="2"/>
        </w:rPr>
        <w:t xml:space="preserve"> </w:t>
      </w:r>
      <w:r>
        <w:rPr>
          <w:rFonts w:ascii="SimSun" w:hAnsi="SimSun" w:eastAsia="SimSun" w:cs="SimSun"/>
          <w:sz w:val="43"/>
          <w:szCs w:val="43"/>
          <w:spacing w:val="7"/>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7"/>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24</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24</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24</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24</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8"/>
              </w:rPr>
              <w:t>25</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15" w:right="1474" w:firstLine="6"/>
        <w:spacing w:before="280" w:line="309" w:lineRule="auto"/>
        <w:jc w:val="both"/>
        <w:rPr>
          <w:rFonts w:ascii="FangSong" w:hAnsi="FangSong" w:eastAsia="FangSong" w:cs="FangSong"/>
          <w:sz w:val="24"/>
          <w:szCs w:val="24"/>
        </w:rPr>
      </w:pPr>
      <w:r>
        <w:rPr>
          <w:rFonts w:ascii="FangSong" w:hAnsi="FangSong" w:eastAsia="FangSong" w:cs="FangSong"/>
          <w:sz w:val="24"/>
          <w:szCs w:val="24"/>
          <w:spacing w:val="9"/>
        </w:rPr>
        <w:t>负责贯彻执行国家有关社会保险的方针、政策、法律、法规；做好各项社会保</w:t>
      </w:r>
      <w:r>
        <w:rPr>
          <w:rFonts w:ascii="FangSong" w:hAnsi="FangSong" w:eastAsia="FangSong" w:cs="FangSong"/>
          <w:sz w:val="24"/>
          <w:szCs w:val="24"/>
          <w:spacing w:val="66"/>
        </w:rPr>
        <w:t xml:space="preserve"> </w:t>
      </w:r>
      <w:r>
        <w:rPr>
          <w:rFonts w:ascii="FangSong" w:hAnsi="FangSong" w:eastAsia="FangSong" w:cs="FangSong"/>
          <w:sz w:val="24"/>
          <w:szCs w:val="24"/>
          <w:spacing w:val="9"/>
        </w:rPr>
        <w:t>险</w:t>
      </w:r>
      <w:r>
        <w:rPr>
          <w:rFonts w:ascii="FangSong" w:hAnsi="FangSong" w:eastAsia="FangSong" w:cs="FangSong"/>
          <w:sz w:val="24"/>
          <w:szCs w:val="24"/>
        </w:rPr>
        <w:t xml:space="preserve"> </w:t>
      </w:r>
      <w:r>
        <w:rPr>
          <w:rFonts w:ascii="FangSong" w:hAnsi="FangSong" w:eastAsia="FangSong" w:cs="FangSong"/>
          <w:sz w:val="24"/>
          <w:szCs w:val="24"/>
        </w:rPr>
        <w:t>基</w:t>
      </w:r>
      <w:r>
        <w:rPr>
          <w:rFonts w:ascii="FangSong" w:hAnsi="FangSong" w:eastAsia="FangSong" w:cs="FangSong"/>
          <w:sz w:val="24"/>
          <w:szCs w:val="24"/>
        </w:rPr>
        <w:t xml:space="preserve"> </w:t>
      </w:r>
      <w:r>
        <w:rPr>
          <w:rFonts w:ascii="FangSong" w:hAnsi="FangSong" w:eastAsia="FangSong" w:cs="FangSong"/>
          <w:sz w:val="24"/>
          <w:szCs w:val="24"/>
        </w:rPr>
        <w:t>金收支两线管理工作，按时拨付各项社会保</w:t>
      </w:r>
      <w:r>
        <w:rPr>
          <w:rFonts w:ascii="FangSong" w:hAnsi="FangSong" w:eastAsia="FangSong" w:cs="FangSong"/>
          <w:sz w:val="24"/>
          <w:szCs w:val="24"/>
          <w:spacing w:val="-1"/>
        </w:rPr>
        <w:t>险基金；负责办理参保登记和职工</w:t>
      </w:r>
      <w:r>
        <w:rPr>
          <w:rFonts w:ascii="FangSong" w:hAnsi="FangSong" w:eastAsia="FangSong" w:cs="FangSong"/>
          <w:sz w:val="24"/>
          <w:szCs w:val="24"/>
          <w:spacing w:val="-1"/>
        </w:rPr>
        <w:t xml:space="preserve"> </w:t>
      </w:r>
      <w:r>
        <w:rPr>
          <w:rFonts w:ascii="FangSong" w:hAnsi="FangSong" w:eastAsia="FangSong" w:cs="FangSong"/>
          <w:sz w:val="24"/>
          <w:szCs w:val="24"/>
          <w:spacing w:val="-1"/>
        </w:rPr>
        <w:t>参</w:t>
      </w:r>
      <w:r>
        <w:rPr>
          <w:rFonts w:ascii="FangSong" w:hAnsi="FangSong" w:eastAsia="FangSong" w:cs="FangSong"/>
          <w:sz w:val="24"/>
          <w:szCs w:val="24"/>
        </w:rPr>
        <w:t xml:space="preserve"> </w:t>
      </w:r>
      <w:r>
        <w:rPr>
          <w:rFonts w:ascii="FangSong" w:hAnsi="FangSong" w:eastAsia="FangSong" w:cs="FangSong"/>
          <w:sz w:val="24"/>
          <w:szCs w:val="24"/>
          <w:spacing w:val="7"/>
        </w:rPr>
        <w:t>保</w:t>
      </w:r>
      <w:r>
        <w:rPr>
          <w:rFonts w:ascii="FangSong" w:hAnsi="FangSong" w:eastAsia="FangSong" w:cs="FangSong"/>
          <w:sz w:val="24"/>
          <w:szCs w:val="24"/>
          <w:spacing w:val="-67"/>
        </w:rPr>
        <w:t xml:space="preserve"> </w:t>
      </w:r>
      <w:r>
        <w:rPr>
          <w:rFonts w:ascii="FangSong" w:hAnsi="FangSong" w:eastAsia="FangSong" w:cs="FangSong"/>
          <w:sz w:val="24"/>
          <w:szCs w:val="24"/>
          <w:spacing w:val="7"/>
        </w:rPr>
        <w:t>、转移</w:t>
      </w:r>
      <w:r>
        <w:rPr>
          <w:rFonts w:ascii="FangSong" w:hAnsi="FangSong" w:eastAsia="FangSong" w:cs="FangSong"/>
          <w:sz w:val="24"/>
          <w:szCs w:val="24"/>
          <w:spacing w:val="-67"/>
        </w:rPr>
        <w:t xml:space="preserve"> </w:t>
      </w:r>
      <w:r>
        <w:rPr>
          <w:rFonts w:ascii="FangSong" w:hAnsi="FangSong" w:eastAsia="FangSong" w:cs="FangSong"/>
          <w:sz w:val="24"/>
          <w:szCs w:val="24"/>
          <w:spacing w:val="7"/>
        </w:rPr>
        <w:t>、终止</w:t>
      </w:r>
      <w:r>
        <w:rPr>
          <w:rFonts w:ascii="FangSong" w:hAnsi="FangSong" w:eastAsia="FangSong" w:cs="FangSong"/>
          <w:sz w:val="24"/>
          <w:szCs w:val="24"/>
          <w:spacing w:val="-68"/>
        </w:rPr>
        <w:t xml:space="preserve"> </w:t>
      </w:r>
      <w:r>
        <w:rPr>
          <w:rFonts w:ascii="FangSong" w:hAnsi="FangSong" w:eastAsia="FangSong" w:cs="FangSong"/>
          <w:sz w:val="24"/>
          <w:szCs w:val="24"/>
          <w:spacing w:val="7"/>
        </w:rPr>
        <w:t>、</w:t>
      </w:r>
      <w:r>
        <w:rPr>
          <w:rFonts w:ascii="FangSong" w:hAnsi="FangSong" w:eastAsia="FangSong" w:cs="FangSong"/>
          <w:sz w:val="24"/>
          <w:szCs w:val="24"/>
          <w:spacing w:val="85"/>
        </w:rPr>
        <w:t xml:space="preserve"> </w:t>
      </w:r>
      <w:r>
        <w:rPr>
          <w:rFonts w:ascii="FangSong" w:hAnsi="FangSong" w:eastAsia="FangSong" w:cs="FangSong"/>
          <w:sz w:val="24"/>
          <w:szCs w:val="24"/>
          <w:spacing w:val="7"/>
        </w:rPr>
        <w:t>中断等手续</w:t>
      </w:r>
      <w:r>
        <w:rPr>
          <w:rFonts w:ascii="FangSong" w:hAnsi="FangSong" w:eastAsia="FangSong" w:cs="FangSong"/>
          <w:sz w:val="24"/>
          <w:szCs w:val="24"/>
          <w:spacing w:val="-68"/>
        </w:rPr>
        <w:t xml:space="preserve"> </w:t>
      </w:r>
      <w:r>
        <w:rPr>
          <w:rFonts w:ascii="FangSong" w:hAnsi="FangSong" w:eastAsia="FangSong" w:cs="FangSong"/>
          <w:sz w:val="24"/>
          <w:szCs w:val="24"/>
          <w:spacing w:val="7"/>
        </w:rPr>
        <w:t>，统一核定退休人员的</w:t>
      </w:r>
      <w:r>
        <w:rPr>
          <w:rFonts w:ascii="FangSong" w:hAnsi="FangSong" w:eastAsia="FangSong" w:cs="FangSong"/>
          <w:sz w:val="24"/>
          <w:szCs w:val="24"/>
          <w:spacing w:val="6"/>
        </w:rPr>
        <w:t>基本养老金</w:t>
      </w:r>
      <w:r>
        <w:rPr>
          <w:rFonts w:ascii="FangSong" w:hAnsi="FangSong" w:eastAsia="FangSong" w:cs="FangSong"/>
          <w:sz w:val="24"/>
          <w:szCs w:val="24"/>
          <w:spacing w:val="-68"/>
        </w:rPr>
        <w:t xml:space="preserve"> </w:t>
      </w:r>
      <w:r>
        <w:rPr>
          <w:rFonts w:ascii="FangSong" w:hAnsi="FangSong" w:eastAsia="FangSong" w:cs="FangSong"/>
          <w:sz w:val="24"/>
          <w:szCs w:val="24"/>
          <w:spacing w:val="6"/>
        </w:rPr>
        <w:t>；</w:t>
      </w:r>
      <w:r>
        <w:rPr>
          <w:rFonts w:ascii="FangSong" w:hAnsi="FangSong" w:eastAsia="FangSong" w:cs="FangSong"/>
          <w:sz w:val="24"/>
          <w:szCs w:val="24"/>
          <w:spacing w:val="-66"/>
        </w:rPr>
        <w:t xml:space="preserve"> </w:t>
      </w:r>
      <w:r>
        <w:rPr>
          <w:rFonts w:ascii="FangSong" w:hAnsi="FangSong" w:eastAsia="FangSong" w:cs="FangSong"/>
          <w:sz w:val="24"/>
          <w:szCs w:val="24"/>
          <w:spacing w:val="6"/>
        </w:rPr>
        <w:t>审核职工的</w:t>
      </w:r>
      <w:r>
        <w:rPr>
          <w:rFonts w:ascii="FangSong" w:hAnsi="FangSong" w:eastAsia="FangSong" w:cs="FangSong"/>
          <w:sz w:val="24"/>
          <w:szCs w:val="24"/>
        </w:rPr>
        <w:t xml:space="preserve"> </w:t>
      </w:r>
      <w:r>
        <w:rPr>
          <w:rFonts w:ascii="FangSong" w:hAnsi="FangSong" w:eastAsia="FangSong" w:cs="FangSong"/>
          <w:sz w:val="24"/>
          <w:szCs w:val="24"/>
          <w:spacing w:val="1"/>
        </w:rPr>
        <w:t>基</w:t>
      </w:r>
      <w:r>
        <w:rPr>
          <w:rFonts w:ascii="FangSong" w:hAnsi="FangSong" w:eastAsia="FangSong" w:cs="FangSong"/>
          <w:sz w:val="24"/>
          <w:szCs w:val="24"/>
          <w:spacing w:val="1"/>
        </w:rPr>
        <w:t xml:space="preserve">  </w:t>
      </w:r>
      <w:r>
        <w:rPr>
          <w:rFonts w:ascii="FangSong" w:hAnsi="FangSong" w:eastAsia="FangSong" w:cs="FangSong"/>
          <w:sz w:val="24"/>
          <w:szCs w:val="24"/>
          <w:spacing w:val="1"/>
        </w:rPr>
        <w:t>本医疗保险、工伤、生育等费用，并按期足额支付；负责</w:t>
      </w:r>
      <w:r>
        <w:rPr>
          <w:rFonts w:ascii="FangSong" w:hAnsi="FangSong" w:eastAsia="FangSong" w:cs="FangSong"/>
          <w:sz w:val="24"/>
          <w:szCs w:val="24"/>
        </w:rPr>
        <w:t>编制社会保险基金的预</w:t>
      </w:r>
      <w:r>
        <w:rPr>
          <w:rFonts w:ascii="FangSong" w:hAnsi="FangSong" w:eastAsia="FangSong" w:cs="FangSong"/>
          <w:sz w:val="24"/>
          <w:szCs w:val="24"/>
        </w:rPr>
        <w:t xml:space="preserve"> </w:t>
      </w:r>
      <w:r>
        <w:rPr>
          <w:rFonts w:ascii="FangSong" w:hAnsi="FangSong" w:eastAsia="FangSong" w:cs="FangSong"/>
          <w:sz w:val="24"/>
          <w:szCs w:val="24"/>
          <w:spacing w:val="-3"/>
        </w:rPr>
        <w:t>算</w:t>
      </w:r>
      <w:r>
        <w:rPr>
          <w:rFonts w:ascii="FangSong" w:hAnsi="FangSong" w:eastAsia="FangSong" w:cs="FangSong"/>
          <w:sz w:val="24"/>
          <w:szCs w:val="24"/>
          <w:spacing w:val="-3"/>
        </w:rPr>
        <w:t xml:space="preserve"> </w:t>
      </w:r>
      <w:r>
        <w:rPr>
          <w:rFonts w:ascii="FangSong" w:hAnsi="FangSong" w:eastAsia="FangSong" w:cs="FangSong"/>
          <w:sz w:val="24"/>
          <w:szCs w:val="24"/>
          <w:spacing w:val="-3"/>
        </w:rPr>
        <w:t>和决算，负责社会保险基金的稽核工作。</w:t>
      </w:r>
    </w:p>
    <w:p>
      <w:pPr>
        <w:ind w:left="1513"/>
        <w:spacing w:before="183"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25" w:right="1475" w:hanging="10"/>
        <w:spacing w:before="100" w:line="312" w:lineRule="auto"/>
        <w:rPr>
          <w:rFonts w:ascii="FangSong" w:hAnsi="FangSong" w:eastAsia="FangSong" w:cs="FangSong"/>
          <w:sz w:val="24"/>
          <w:szCs w:val="24"/>
        </w:rPr>
      </w:pPr>
      <w:r>
        <w:rPr>
          <w:rFonts w:ascii="FangSong" w:hAnsi="FangSong" w:eastAsia="FangSong" w:cs="FangSong"/>
          <w:sz w:val="24"/>
          <w:szCs w:val="24"/>
          <w:spacing w:val="-23"/>
        </w:rPr>
        <w:t>长</w:t>
      </w:r>
      <w:r>
        <w:rPr>
          <w:rFonts w:ascii="FangSong" w:hAnsi="FangSong" w:eastAsia="FangSong" w:cs="FangSong"/>
          <w:sz w:val="24"/>
          <w:szCs w:val="24"/>
          <w:spacing w:val="-52"/>
        </w:rPr>
        <w:t xml:space="preserve"> </w:t>
      </w:r>
      <w:r>
        <w:rPr>
          <w:rFonts w:ascii="FangSong" w:hAnsi="FangSong" w:eastAsia="FangSong" w:cs="FangSong"/>
          <w:sz w:val="24"/>
          <w:szCs w:val="24"/>
          <w:spacing w:val="-23"/>
        </w:rPr>
        <w:t>治</w:t>
      </w:r>
      <w:r>
        <w:rPr>
          <w:rFonts w:ascii="FangSong" w:hAnsi="FangSong" w:eastAsia="FangSong" w:cs="FangSong"/>
          <w:sz w:val="24"/>
          <w:szCs w:val="24"/>
          <w:spacing w:val="-61"/>
        </w:rPr>
        <w:t xml:space="preserve"> </w:t>
      </w:r>
      <w:r>
        <w:rPr>
          <w:rFonts w:ascii="FangSong" w:hAnsi="FangSong" w:eastAsia="FangSong" w:cs="FangSong"/>
          <w:sz w:val="24"/>
          <w:szCs w:val="24"/>
          <w:spacing w:val="-23"/>
        </w:rPr>
        <w:t>高</w:t>
      </w:r>
      <w:r>
        <w:rPr>
          <w:rFonts w:ascii="FangSong" w:hAnsi="FangSong" w:eastAsia="FangSong" w:cs="FangSong"/>
          <w:sz w:val="24"/>
          <w:szCs w:val="24"/>
          <w:spacing w:val="-70"/>
        </w:rPr>
        <w:t xml:space="preserve"> </w:t>
      </w:r>
      <w:r>
        <w:rPr>
          <w:rFonts w:ascii="FangSong" w:hAnsi="FangSong" w:eastAsia="FangSong" w:cs="FangSong"/>
          <w:sz w:val="24"/>
          <w:szCs w:val="24"/>
          <w:spacing w:val="-23"/>
        </w:rPr>
        <w:t>新</w:t>
      </w:r>
      <w:r>
        <w:rPr>
          <w:rFonts w:ascii="FangSong" w:hAnsi="FangSong" w:eastAsia="FangSong" w:cs="FangSong"/>
          <w:sz w:val="24"/>
          <w:szCs w:val="24"/>
          <w:spacing w:val="-48"/>
        </w:rPr>
        <w:t xml:space="preserve"> </w:t>
      </w:r>
      <w:r>
        <w:rPr>
          <w:rFonts w:ascii="FangSong" w:hAnsi="FangSong" w:eastAsia="FangSong" w:cs="FangSong"/>
          <w:sz w:val="24"/>
          <w:szCs w:val="24"/>
          <w:spacing w:val="-23"/>
        </w:rPr>
        <w:t>区</w:t>
      </w:r>
      <w:r>
        <w:rPr>
          <w:rFonts w:ascii="FangSong" w:hAnsi="FangSong" w:eastAsia="FangSong" w:cs="FangSong"/>
          <w:sz w:val="24"/>
          <w:szCs w:val="24"/>
          <w:spacing w:val="-69"/>
        </w:rPr>
        <w:t xml:space="preserve"> </w:t>
      </w:r>
      <w:r>
        <w:rPr>
          <w:rFonts w:ascii="FangSong" w:hAnsi="FangSong" w:eastAsia="FangSong" w:cs="FangSong"/>
          <w:sz w:val="24"/>
          <w:szCs w:val="24"/>
          <w:spacing w:val="-23"/>
        </w:rPr>
        <w:t>社</w:t>
      </w:r>
      <w:r>
        <w:rPr>
          <w:rFonts w:ascii="FangSong" w:hAnsi="FangSong" w:eastAsia="FangSong" w:cs="FangSong"/>
          <w:sz w:val="24"/>
          <w:szCs w:val="24"/>
          <w:spacing w:val="-62"/>
        </w:rPr>
        <w:t xml:space="preserve"> </w:t>
      </w:r>
      <w:r>
        <w:rPr>
          <w:rFonts w:ascii="FangSong" w:hAnsi="FangSong" w:eastAsia="FangSong" w:cs="FangSong"/>
          <w:sz w:val="24"/>
          <w:szCs w:val="24"/>
          <w:spacing w:val="-23"/>
        </w:rPr>
        <w:t>会</w:t>
      </w:r>
      <w:r>
        <w:rPr>
          <w:rFonts w:ascii="FangSong" w:hAnsi="FangSong" w:eastAsia="FangSong" w:cs="FangSong"/>
          <w:sz w:val="24"/>
          <w:szCs w:val="24"/>
          <w:spacing w:val="-68"/>
        </w:rPr>
        <w:t xml:space="preserve"> </w:t>
      </w:r>
      <w:r>
        <w:rPr>
          <w:rFonts w:ascii="FangSong" w:hAnsi="FangSong" w:eastAsia="FangSong" w:cs="FangSong"/>
          <w:sz w:val="24"/>
          <w:szCs w:val="24"/>
          <w:spacing w:val="-23"/>
        </w:rPr>
        <w:t>保</w:t>
      </w:r>
      <w:r>
        <w:rPr>
          <w:rFonts w:ascii="FangSong" w:hAnsi="FangSong" w:eastAsia="FangSong" w:cs="FangSong"/>
          <w:sz w:val="24"/>
          <w:szCs w:val="24"/>
          <w:spacing w:val="-57"/>
        </w:rPr>
        <w:t xml:space="preserve"> </w:t>
      </w:r>
      <w:r>
        <w:rPr>
          <w:rFonts w:ascii="FangSong" w:hAnsi="FangSong" w:eastAsia="FangSong" w:cs="FangSong"/>
          <w:sz w:val="24"/>
          <w:szCs w:val="24"/>
          <w:spacing w:val="-23"/>
        </w:rPr>
        <w:t>险</w:t>
      </w:r>
      <w:r>
        <w:rPr>
          <w:rFonts w:ascii="FangSong" w:hAnsi="FangSong" w:eastAsia="FangSong" w:cs="FangSong"/>
          <w:sz w:val="24"/>
          <w:szCs w:val="24"/>
          <w:spacing w:val="-38"/>
        </w:rPr>
        <w:t xml:space="preserve"> </w:t>
      </w:r>
      <w:r>
        <w:rPr>
          <w:rFonts w:ascii="FangSong" w:hAnsi="FangSong" w:eastAsia="FangSong" w:cs="FangSong"/>
          <w:sz w:val="24"/>
          <w:szCs w:val="24"/>
          <w:spacing w:val="-23"/>
        </w:rPr>
        <w:t>中</w:t>
      </w:r>
      <w:r>
        <w:rPr>
          <w:rFonts w:ascii="FangSong" w:hAnsi="FangSong" w:eastAsia="FangSong" w:cs="FangSong"/>
          <w:sz w:val="24"/>
          <w:szCs w:val="24"/>
          <w:spacing w:val="-65"/>
        </w:rPr>
        <w:t xml:space="preserve"> </w:t>
      </w:r>
      <w:r>
        <w:rPr>
          <w:rFonts w:ascii="FangSong" w:hAnsi="FangSong" w:eastAsia="FangSong" w:cs="FangSong"/>
          <w:sz w:val="24"/>
          <w:szCs w:val="24"/>
          <w:spacing w:val="-23"/>
        </w:rPr>
        <w:t>心</w:t>
      </w:r>
      <w:r>
        <w:rPr>
          <w:rFonts w:ascii="FangSong" w:hAnsi="FangSong" w:eastAsia="FangSong" w:cs="FangSong"/>
          <w:sz w:val="24"/>
          <w:szCs w:val="24"/>
          <w:spacing w:val="-52"/>
        </w:rPr>
        <w:t xml:space="preserve"> </w:t>
      </w:r>
      <w:r>
        <w:rPr>
          <w:rFonts w:ascii="FangSong" w:hAnsi="FangSong" w:eastAsia="FangSong" w:cs="FangSong"/>
          <w:sz w:val="24"/>
          <w:szCs w:val="24"/>
          <w:spacing w:val="-23"/>
        </w:rPr>
        <w:t>，</w:t>
      </w:r>
      <w:r>
        <w:rPr>
          <w:rFonts w:ascii="FangSong" w:hAnsi="FangSong" w:eastAsia="FangSong" w:cs="FangSong"/>
          <w:sz w:val="24"/>
          <w:szCs w:val="24"/>
          <w:spacing w:val="-60"/>
        </w:rPr>
        <w:t xml:space="preserve"> </w:t>
      </w:r>
      <w:r>
        <w:rPr>
          <w:rFonts w:ascii="FangSong" w:hAnsi="FangSong" w:eastAsia="FangSong" w:cs="FangSong"/>
          <w:sz w:val="24"/>
          <w:szCs w:val="24"/>
          <w:spacing w:val="-23"/>
        </w:rPr>
        <w:t>为</w:t>
      </w:r>
      <w:r>
        <w:rPr>
          <w:rFonts w:ascii="FangSong" w:hAnsi="FangSong" w:eastAsia="FangSong" w:cs="FangSong"/>
          <w:sz w:val="24"/>
          <w:szCs w:val="24"/>
          <w:spacing w:val="-23"/>
        </w:rPr>
        <w:t xml:space="preserve">  </w:t>
      </w:r>
      <w:r>
        <w:rPr>
          <w:rFonts w:ascii="FangSong" w:hAnsi="FangSong" w:eastAsia="FangSong" w:cs="FangSong"/>
          <w:sz w:val="24"/>
          <w:szCs w:val="24"/>
          <w:spacing w:val="-23"/>
        </w:rPr>
        <w:t>自</w:t>
      </w:r>
      <w:r>
        <w:rPr>
          <w:rFonts w:ascii="FangSong" w:hAnsi="FangSong" w:eastAsia="FangSong" w:cs="FangSong"/>
          <w:sz w:val="24"/>
          <w:szCs w:val="24"/>
          <w:spacing w:val="-56"/>
        </w:rPr>
        <w:t xml:space="preserve"> </w:t>
      </w:r>
      <w:r>
        <w:rPr>
          <w:rFonts w:ascii="FangSong" w:hAnsi="FangSong" w:eastAsia="FangSong" w:cs="FangSong"/>
          <w:sz w:val="24"/>
          <w:szCs w:val="24"/>
          <w:spacing w:val="-23"/>
        </w:rPr>
        <w:t>收</w:t>
      </w:r>
      <w:r>
        <w:rPr>
          <w:rFonts w:ascii="FangSong" w:hAnsi="FangSong" w:eastAsia="FangSong" w:cs="FangSong"/>
          <w:sz w:val="24"/>
          <w:szCs w:val="24"/>
          <w:spacing w:val="-23"/>
        </w:rPr>
        <w:t xml:space="preserve"> </w:t>
      </w:r>
      <w:r>
        <w:rPr>
          <w:rFonts w:ascii="FangSong" w:hAnsi="FangSong" w:eastAsia="FangSong" w:cs="FangSong"/>
          <w:sz w:val="24"/>
          <w:szCs w:val="24"/>
          <w:spacing w:val="-23"/>
        </w:rPr>
        <w:t>自</w:t>
      </w:r>
      <w:r>
        <w:rPr>
          <w:rFonts w:ascii="FangSong" w:hAnsi="FangSong" w:eastAsia="FangSong" w:cs="FangSong"/>
          <w:sz w:val="24"/>
          <w:szCs w:val="24"/>
          <w:spacing w:val="-69"/>
        </w:rPr>
        <w:t xml:space="preserve"> </w:t>
      </w:r>
      <w:r>
        <w:rPr>
          <w:rFonts w:ascii="FangSong" w:hAnsi="FangSong" w:eastAsia="FangSong" w:cs="FangSong"/>
          <w:sz w:val="24"/>
          <w:szCs w:val="24"/>
          <w:spacing w:val="-23"/>
        </w:rPr>
        <w:t>支</w:t>
      </w:r>
      <w:r>
        <w:rPr>
          <w:rFonts w:ascii="FangSong" w:hAnsi="FangSong" w:eastAsia="FangSong" w:cs="FangSong"/>
          <w:sz w:val="24"/>
          <w:szCs w:val="24"/>
          <w:spacing w:val="-69"/>
        </w:rPr>
        <w:t xml:space="preserve"> </w:t>
      </w:r>
      <w:r>
        <w:rPr>
          <w:rFonts w:ascii="FangSong" w:hAnsi="FangSong" w:eastAsia="FangSong" w:cs="FangSong"/>
          <w:sz w:val="24"/>
          <w:szCs w:val="24"/>
          <w:spacing w:val="-23"/>
        </w:rPr>
        <w:t>事</w:t>
      </w:r>
      <w:r>
        <w:rPr>
          <w:rFonts w:ascii="FangSong" w:hAnsi="FangSong" w:eastAsia="FangSong" w:cs="FangSong"/>
          <w:sz w:val="24"/>
          <w:szCs w:val="24"/>
          <w:spacing w:val="-69"/>
        </w:rPr>
        <w:t xml:space="preserve"> </w:t>
      </w:r>
      <w:r>
        <w:rPr>
          <w:rFonts w:ascii="FangSong" w:hAnsi="FangSong" w:eastAsia="FangSong" w:cs="FangSong"/>
          <w:sz w:val="24"/>
          <w:szCs w:val="24"/>
          <w:spacing w:val="-23"/>
        </w:rPr>
        <w:t>业</w:t>
      </w:r>
      <w:r>
        <w:rPr>
          <w:rFonts w:ascii="FangSong" w:hAnsi="FangSong" w:eastAsia="FangSong" w:cs="FangSong"/>
          <w:sz w:val="24"/>
          <w:szCs w:val="24"/>
          <w:spacing w:val="-64"/>
        </w:rPr>
        <w:t xml:space="preserve"> </w:t>
      </w:r>
      <w:r>
        <w:rPr>
          <w:rFonts w:ascii="FangSong" w:hAnsi="FangSong" w:eastAsia="FangSong" w:cs="FangSong"/>
          <w:sz w:val="24"/>
          <w:szCs w:val="24"/>
          <w:spacing w:val="-23"/>
        </w:rPr>
        <w:t>单</w:t>
      </w:r>
      <w:r>
        <w:rPr>
          <w:rFonts w:ascii="FangSong" w:hAnsi="FangSong" w:eastAsia="FangSong" w:cs="FangSong"/>
          <w:sz w:val="24"/>
          <w:szCs w:val="24"/>
          <w:spacing w:val="-68"/>
        </w:rPr>
        <w:t xml:space="preserve"> </w:t>
      </w:r>
      <w:r>
        <w:rPr>
          <w:rFonts w:ascii="FangSong" w:hAnsi="FangSong" w:eastAsia="FangSong" w:cs="FangSong"/>
          <w:sz w:val="24"/>
          <w:szCs w:val="24"/>
          <w:spacing w:val="-23"/>
        </w:rPr>
        <w:t>位</w:t>
      </w:r>
      <w:r>
        <w:rPr>
          <w:rFonts w:ascii="FangSong" w:hAnsi="FangSong" w:eastAsia="FangSong" w:cs="FangSong"/>
          <w:sz w:val="24"/>
          <w:szCs w:val="24"/>
          <w:spacing w:val="-52"/>
        </w:rPr>
        <w:t xml:space="preserve"> </w:t>
      </w:r>
      <w:r>
        <w:rPr>
          <w:rFonts w:ascii="FangSong" w:hAnsi="FangSong" w:eastAsia="FangSong" w:cs="FangSong"/>
          <w:sz w:val="24"/>
          <w:szCs w:val="24"/>
          <w:spacing w:val="-23"/>
        </w:rPr>
        <w:t>，</w:t>
      </w:r>
      <w:r>
        <w:rPr>
          <w:rFonts w:ascii="FangSong" w:hAnsi="FangSong" w:eastAsia="FangSong" w:cs="FangSong"/>
          <w:sz w:val="24"/>
          <w:szCs w:val="24"/>
          <w:spacing w:val="-66"/>
        </w:rPr>
        <w:t xml:space="preserve"> </w:t>
      </w:r>
      <w:r>
        <w:rPr>
          <w:rFonts w:ascii="FangSong" w:hAnsi="FangSong" w:eastAsia="FangSong" w:cs="FangSong"/>
          <w:sz w:val="24"/>
          <w:szCs w:val="24"/>
          <w:spacing w:val="-23"/>
        </w:rPr>
        <w:t>正</w:t>
      </w:r>
      <w:r>
        <w:rPr>
          <w:rFonts w:ascii="FangSong" w:hAnsi="FangSong" w:eastAsia="FangSong" w:cs="FangSong"/>
          <w:sz w:val="24"/>
          <w:szCs w:val="24"/>
          <w:spacing w:val="-68"/>
        </w:rPr>
        <w:t xml:space="preserve"> </w:t>
      </w:r>
      <w:r>
        <w:rPr>
          <w:rFonts w:ascii="FangSong" w:hAnsi="FangSong" w:eastAsia="FangSong" w:cs="FangSong"/>
          <w:sz w:val="24"/>
          <w:szCs w:val="24"/>
          <w:spacing w:val="-23"/>
        </w:rPr>
        <w:t>科</w:t>
      </w:r>
      <w:r>
        <w:rPr>
          <w:rFonts w:ascii="FangSong" w:hAnsi="FangSong" w:eastAsia="FangSong" w:cs="FangSong"/>
          <w:sz w:val="24"/>
          <w:szCs w:val="24"/>
          <w:spacing w:val="-66"/>
        </w:rPr>
        <w:t xml:space="preserve"> </w:t>
      </w:r>
      <w:r>
        <w:rPr>
          <w:rFonts w:ascii="FangSong" w:hAnsi="FangSong" w:eastAsia="FangSong" w:cs="FangSong"/>
          <w:sz w:val="24"/>
          <w:szCs w:val="24"/>
          <w:spacing w:val="-23"/>
        </w:rPr>
        <w:t>级</w:t>
      </w:r>
      <w:r>
        <w:rPr>
          <w:rFonts w:ascii="FangSong" w:hAnsi="FangSong" w:eastAsia="FangSong" w:cs="FangSong"/>
          <w:sz w:val="24"/>
          <w:szCs w:val="24"/>
          <w:spacing w:val="-69"/>
        </w:rPr>
        <w:t xml:space="preserve"> </w:t>
      </w:r>
      <w:r>
        <w:rPr>
          <w:rFonts w:ascii="FangSong" w:hAnsi="FangSong" w:eastAsia="FangSong" w:cs="FangSong"/>
          <w:sz w:val="24"/>
          <w:szCs w:val="24"/>
          <w:spacing w:val="-23"/>
        </w:rPr>
        <w:t>建</w:t>
      </w:r>
      <w:r>
        <w:rPr>
          <w:rFonts w:ascii="FangSong" w:hAnsi="FangSong" w:eastAsia="FangSong" w:cs="FangSong"/>
          <w:sz w:val="24"/>
          <w:szCs w:val="24"/>
          <w:spacing w:val="-68"/>
        </w:rPr>
        <w:t xml:space="preserve"> </w:t>
      </w:r>
      <w:r>
        <w:rPr>
          <w:rFonts w:ascii="FangSong" w:hAnsi="FangSong" w:eastAsia="FangSong" w:cs="FangSong"/>
          <w:sz w:val="24"/>
          <w:szCs w:val="24"/>
          <w:spacing w:val="-23"/>
        </w:rPr>
        <w:t>制</w:t>
      </w:r>
      <w:r>
        <w:rPr>
          <w:rFonts w:ascii="FangSong" w:hAnsi="FangSong" w:eastAsia="FangSong" w:cs="FangSong"/>
          <w:sz w:val="24"/>
          <w:szCs w:val="24"/>
          <w:spacing w:val="-52"/>
        </w:rPr>
        <w:t xml:space="preserve"> </w:t>
      </w:r>
      <w:r>
        <w:rPr>
          <w:rFonts w:ascii="FangSong" w:hAnsi="FangSong" w:eastAsia="FangSong" w:cs="FangSong"/>
          <w:sz w:val="24"/>
          <w:szCs w:val="24"/>
          <w:spacing w:val="-23"/>
        </w:rPr>
        <w:t>，</w:t>
      </w:r>
      <w:r>
        <w:rPr>
          <w:rFonts w:ascii="FangSong" w:hAnsi="FangSong" w:eastAsia="FangSong" w:cs="FangSong"/>
          <w:sz w:val="24"/>
          <w:szCs w:val="24"/>
          <w:spacing w:val="-70"/>
        </w:rPr>
        <w:t xml:space="preserve"> </w:t>
      </w:r>
      <w:r>
        <w:rPr>
          <w:rFonts w:ascii="FangSong" w:hAnsi="FangSong" w:eastAsia="FangSong" w:cs="FangSong"/>
          <w:sz w:val="24"/>
          <w:szCs w:val="24"/>
          <w:spacing w:val="-23"/>
        </w:rPr>
        <w:t>核</w:t>
      </w:r>
      <w:r>
        <w:rPr>
          <w:rFonts w:ascii="FangSong" w:hAnsi="FangSong" w:eastAsia="FangSong" w:cs="FangSong"/>
          <w:sz w:val="24"/>
          <w:szCs w:val="24"/>
          <w:spacing w:val="-64"/>
        </w:rPr>
        <w:t xml:space="preserve"> </w:t>
      </w:r>
      <w:r>
        <w:rPr>
          <w:rFonts w:ascii="FangSong" w:hAnsi="FangSong" w:eastAsia="FangSong" w:cs="FangSong"/>
          <w:sz w:val="24"/>
          <w:szCs w:val="24"/>
          <w:spacing w:val="-23"/>
        </w:rPr>
        <w:t>定</w:t>
      </w:r>
      <w:r>
        <w:rPr>
          <w:rFonts w:ascii="FangSong" w:hAnsi="FangSong" w:eastAsia="FangSong" w:cs="FangSong"/>
          <w:sz w:val="24"/>
          <w:szCs w:val="24"/>
          <w:spacing w:val="-67"/>
        </w:rPr>
        <w:t xml:space="preserve"> </w:t>
      </w:r>
      <w:r>
        <w:rPr>
          <w:rFonts w:ascii="FangSong" w:hAnsi="FangSong" w:eastAsia="FangSong" w:cs="FangSong"/>
          <w:sz w:val="24"/>
          <w:szCs w:val="24"/>
          <w:spacing w:val="-23"/>
        </w:rPr>
        <w:t>编</w:t>
      </w:r>
      <w:r>
        <w:rPr>
          <w:rFonts w:ascii="FangSong" w:hAnsi="FangSong" w:eastAsia="FangSong" w:cs="FangSong"/>
          <w:sz w:val="24"/>
          <w:szCs w:val="24"/>
          <w:spacing w:val="-68"/>
        </w:rPr>
        <w:t xml:space="preserve"> </w:t>
      </w:r>
      <w:r>
        <w:rPr>
          <w:rFonts w:ascii="FangSong" w:hAnsi="FangSong" w:eastAsia="FangSong" w:cs="FangSong"/>
          <w:sz w:val="24"/>
          <w:szCs w:val="24"/>
          <w:spacing w:val="-23"/>
        </w:rPr>
        <w:t>制</w:t>
      </w:r>
      <w:r>
        <w:rPr>
          <w:rFonts w:ascii="FangSong" w:hAnsi="FangSong" w:eastAsia="FangSong" w:cs="FangSong"/>
          <w:sz w:val="24"/>
          <w:szCs w:val="24"/>
        </w:rPr>
        <w:t xml:space="preserve"> </w:t>
      </w:r>
      <w:r>
        <w:rPr>
          <w:rFonts w:ascii="FangSong" w:hAnsi="FangSong" w:eastAsia="FangSong" w:cs="FangSong"/>
          <w:sz w:val="24"/>
          <w:szCs w:val="24"/>
          <w:spacing w:val="-1"/>
        </w:rPr>
        <w:t>10</w:t>
      </w:r>
      <w:r>
        <w:rPr>
          <w:rFonts w:ascii="FangSong" w:hAnsi="FangSong" w:eastAsia="FangSong" w:cs="FangSong"/>
          <w:sz w:val="24"/>
          <w:szCs w:val="24"/>
          <w:spacing w:val="-1"/>
        </w:rPr>
        <w:t xml:space="preserve"> </w:t>
      </w:r>
      <w:r>
        <w:rPr>
          <w:rFonts w:ascii="FangSong" w:hAnsi="FangSong" w:eastAsia="FangSong" w:cs="FangSong"/>
          <w:sz w:val="24"/>
          <w:szCs w:val="24"/>
          <w:spacing w:val="-1"/>
        </w:rPr>
        <w:t>名、</w:t>
      </w:r>
      <w:r>
        <w:rPr>
          <w:rFonts w:ascii="FangSong" w:hAnsi="FangSong" w:eastAsia="FangSong" w:cs="FangSong"/>
          <w:sz w:val="24"/>
          <w:szCs w:val="24"/>
          <w:spacing w:val="-1"/>
        </w:rPr>
        <w:t xml:space="preserve"> </w:t>
      </w:r>
      <w:r>
        <w:rPr>
          <w:rFonts w:ascii="FangSong" w:hAnsi="FangSong" w:eastAsia="FangSong" w:cs="FangSong"/>
          <w:sz w:val="24"/>
          <w:szCs w:val="24"/>
          <w:spacing w:val="-1"/>
        </w:rPr>
        <w:t>科级领导职数1正1副，归口组</w:t>
      </w:r>
      <w:r>
        <w:rPr>
          <w:rFonts w:ascii="FangSong" w:hAnsi="FangSong" w:eastAsia="FangSong" w:cs="FangSong"/>
          <w:sz w:val="24"/>
          <w:szCs w:val="24"/>
          <w:spacing w:val="-2"/>
        </w:rPr>
        <w:t>织和人力资源部管理，我部门无内设机构。</w:t>
      </w:r>
    </w:p>
    <w:p>
      <w:pPr>
        <w:ind w:left="1519" w:right="1475" w:hanging="4"/>
        <w:spacing w:before="1" w:line="300" w:lineRule="auto"/>
        <w:rPr>
          <w:rFonts w:ascii="FangSong" w:hAnsi="FangSong" w:eastAsia="FangSong" w:cs="FangSong"/>
          <w:sz w:val="24"/>
          <w:szCs w:val="24"/>
        </w:rPr>
      </w:pPr>
      <w:r>
        <w:rPr>
          <w:rFonts w:ascii="FangSong" w:hAnsi="FangSong" w:eastAsia="FangSong" w:cs="FangSong"/>
          <w:sz w:val="24"/>
          <w:szCs w:val="24"/>
          <w:spacing w:val="10"/>
        </w:rPr>
        <w:t>从部门预算构成看，长治高新区预算主要包括长治高新区社会保险中心，</w:t>
      </w:r>
      <w:r>
        <w:rPr>
          <w:rFonts w:ascii="FangSong" w:hAnsi="FangSong" w:eastAsia="FangSong" w:cs="FangSong"/>
          <w:sz w:val="24"/>
          <w:szCs w:val="24"/>
          <w:spacing w:val="41"/>
        </w:rPr>
        <w:t xml:space="preserve"> </w:t>
      </w:r>
      <w:r>
        <w:rPr>
          <w:rFonts w:ascii="FangSong" w:hAnsi="FangSong" w:eastAsia="FangSong" w:cs="FangSong"/>
          <w:sz w:val="24"/>
          <w:szCs w:val="24"/>
          <w:spacing w:val="9"/>
        </w:rPr>
        <w:t>纳入长</w:t>
      </w:r>
      <w:r>
        <w:rPr>
          <w:rFonts w:ascii="FangSong" w:hAnsi="FangSong" w:eastAsia="FangSong" w:cs="FangSong"/>
          <w:sz w:val="24"/>
          <w:szCs w:val="24"/>
        </w:rPr>
        <w:t xml:space="preserve"> </w:t>
      </w:r>
      <w:r>
        <w:rPr>
          <w:rFonts w:ascii="FangSong" w:hAnsi="FangSong" w:eastAsia="FangSong" w:cs="FangSong"/>
          <w:sz w:val="24"/>
          <w:szCs w:val="24"/>
          <w:spacing w:val="-2"/>
        </w:rPr>
        <w:t>治</w:t>
      </w:r>
      <w:r>
        <w:rPr>
          <w:rFonts w:ascii="FangSong" w:hAnsi="FangSong" w:eastAsia="FangSong" w:cs="FangSong"/>
          <w:sz w:val="24"/>
          <w:szCs w:val="24"/>
          <w:spacing w:val="-2"/>
        </w:rPr>
        <w:t xml:space="preserve"> </w:t>
      </w:r>
      <w:r>
        <w:rPr>
          <w:rFonts w:ascii="FangSong" w:hAnsi="FangSong" w:eastAsia="FangSong" w:cs="FangSong"/>
          <w:sz w:val="24"/>
          <w:szCs w:val="24"/>
          <w:spacing w:val="-2"/>
        </w:rPr>
        <w:t>高新区社会保险中心预算的单位包括：长治高新区社会保险中心。</w:t>
      </w:r>
    </w:p>
    <w:p>
      <w:pPr>
        <w:spacing w:line="300"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2" w:hRule="atLeast"/>
        </w:trPr>
        <w:tc>
          <w:tcPr>
            <w:tcW w:w="8549"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49"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412"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单位名称：长治高新区社会保险中心</w:t>
            </w:r>
          </w:p>
        </w:tc>
        <w:tc>
          <w:tcPr>
            <w:tcW w:w="3137" w:type="dxa"/>
            <w:vAlign w:val="top"/>
            <w:gridSpan w:val="3"/>
            <w:tcBorders>
              <w:top w:val="single" w:color="FFFFFF" w:sz="6" w:space="0"/>
              <w:left w:val="single" w:color="FFFFFF" w:sz="2" w:space="0"/>
              <w:right w:val="single" w:color="FFFFFF" w:sz="2" w:space="0"/>
            </w:tcBorders>
          </w:tcPr>
          <w:p>
            <w:pPr>
              <w:ind w:left="2206"/>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41" w:type="dxa"/>
            <w:vAlign w:val="top"/>
            <w:gridSpan w:val="2"/>
          </w:tcPr>
          <w:p>
            <w:pPr>
              <w:ind w:left="142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08" w:type="dxa"/>
            <w:vAlign w:val="top"/>
            <w:gridSpan w:val="4"/>
          </w:tcPr>
          <w:p>
            <w:pPr>
              <w:ind w:left="2455"/>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03" w:type="dxa"/>
            <w:vAlign w:val="top"/>
          </w:tcPr>
          <w:p>
            <w:pPr>
              <w:ind w:left="849"/>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38" w:type="dxa"/>
            <w:vAlign w:val="top"/>
          </w:tcPr>
          <w:p>
            <w:pPr>
              <w:ind w:left="279"/>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171" w:type="dxa"/>
            <w:vAlign w:val="top"/>
          </w:tcPr>
          <w:p>
            <w:pPr>
              <w:ind w:left="884"/>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153" w:type="dxa"/>
            <w:vAlign w:val="top"/>
          </w:tcPr>
          <w:p>
            <w:pPr>
              <w:ind w:left="115"/>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153" w:type="dxa"/>
            <w:vAlign w:val="top"/>
          </w:tcPr>
          <w:p>
            <w:pPr>
              <w:ind w:left="30"/>
              <w:spacing w:before="169"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当年预算安排</w:t>
            </w:r>
          </w:p>
        </w:tc>
        <w:tc>
          <w:tcPr>
            <w:tcW w:w="831" w:type="dxa"/>
            <w:vAlign w:val="top"/>
          </w:tcPr>
          <w:p>
            <w:pPr>
              <w:ind w:left="36"/>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18"/>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103"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38" w:type="dxa"/>
            <w:vAlign w:val="top"/>
          </w:tcPr>
          <w:p>
            <w:pPr>
              <w:ind w:right="32"/>
              <w:spacing w:before="173" w:line="238" w:lineRule="auto"/>
              <w:jc w:val="right"/>
              <w:rPr>
                <w:rFonts w:ascii="SimSun" w:hAnsi="SimSun" w:eastAsia="SimSun" w:cs="SimSun"/>
                <w:sz w:val="18"/>
                <w:szCs w:val="18"/>
              </w:rPr>
            </w:pPr>
            <w:r>
              <w:rPr>
                <w:rFonts w:ascii="SimSun" w:hAnsi="SimSun" w:eastAsia="SimSun" w:cs="SimSun"/>
                <w:sz w:val="18"/>
                <w:szCs w:val="18"/>
                <w:color w:val="212529"/>
                <w:spacing w:val="-2"/>
              </w:rPr>
              <w:t>278.12</w:t>
            </w:r>
          </w:p>
        </w:tc>
        <w:tc>
          <w:tcPr>
            <w:tcW w:w="2171" w:type="dxa"/>
            <w:vAlign w:val="top"/>
          </w:tcPr>
          <w:p>
            <w:pPr>
              <w:ind w:left="4"/>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138" w:type="dxa"/>
            <w:vAlign w:val="top"/>
          </w:tcPr>
          <w:p>
            <w:pPr>
              <w:pStyle w:val="TableText"/>
              <w:rPr/>
            </w:pPr>
            <w:r/>
          </w:p>
        </w:tc>
        <w:tc>
          <w:tcPr>
            <w:tcW w:w="2171" w:type="dxa"/>
            <w:vAlign w:val="top"/>
          </w:tcPr>
          <w:p>
            <w:pPr>
              <w:ind w:left="5"/>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138" w:type="dxa"/>
            <w:vAlign w:val="top"/>
          </w:tcPr>
          <w:p>
            <w:pPr>
              <w:pStyle w:val="TableText"/>
              <w:rPr/>
            </w:pPr>
            <w:r/>
          </w:p>
        </w:tc>
        <w:tc>
          <w:tcPr>
            <w:tcW w:w="2171" w:type="dxa"/>
            <w:vAlign w:val="top"/>
          </w:tcPr>
          <w:p>
            <w:pPr>
              <w:ind w:left="2"/>
              <w:spacing w:before="175" w:line="219" w:lineRule="auto"/>
              <w:rPr>
                <w:rFonts w:ascii="SimSun" w:hAnsi="SimSun" w:eastAsia="SimSun" w:cs="SimSun"/>
                <w:sz w:val="18"/>
                <w:szCs w:val="18"/>
              </w:rPr>
            </w:pPr>
            <w:r>
              <w:rPr>
                <w:rFonts w:ascii="SimSun" w:hAnsi="SimSun" w:eastAsia="SimSun" w:cs="SimSun"/>
                <w:sz w:val="18"/>
                <w:szCs w:val="18"/>
                <w:color w:val="212529"/>
                <w:spacing w:val="-1"/>
              </w:rPr>
              <w:t>三、国防支出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138" w:type="dxa"/>
            <w:vAlign w:val="top"/>
          </w:tcPr>
          <w:p>
            <w:pPr>
              <w:pStyle w:val="TableText"/>
              <w:rPr/>
            </w:pPr>
            <w:r/>
          </w:p>
        </w:tc>
        <w:tc>
          <w:tcPr>
            <w:tcW w:w="2171" w:type="dxa"/>
            <w:vAlign w:val="top"/>
          </w:tcPr>
          <w:p>
            <w:pPr>
              <w:ind w:left="19"/>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138" w:type="dxa"/>
            <w:vAlign w:val="top"/>
          </w:tcPr>
          <w:p>
            <w:pPr>
              <w:pStyle w:val="TableText"/>
              <w:rPr/>
            </w:pPr>
            <w:r/>
          </w:p>
        </w:tc>
        <w:tc>
          <w:tcPr>
            <w:tcW w:w="2171" w:type="dxa"/>
            <w:vAlign w:val="top"/>
          </w:tcPr>
          <w:p>
            <w:pPr>
              <w:ind w:left="5"/>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spacing w:before="73" w:line="218" w:lineRule="auto"/>
              <w:rPr>
                <w:rFonts w:ascii="SimSun" w:hAnsi="SimSun" w:eastAsia="SimSun" w:cs="SimSun"/>
                <w:sz w:val="18"/>
                <w:szCs w:val="18"/>
              </w:rPr>
            </w:pPr>
            <w:r>
              <w:rPr>
                <w:rFonts w:ascii="SimSun" w:hAnsi="SimSun" w:eastAsia="SimSun" w:cs="SimSun"/>
                <w:sz w:val="18"/>
                <w:szCs w:val="18"/>
                <w:color w:val="212529"/>
                <w:spacing w:val="-1"/>
              </w:rPr>
              <w:t>七、文化旅游体育与传媒</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153" w:type="dxa"/>
            <w:vAlign w:val="top"/>
          </w:tcPr>
          <w:p>
            <w:pPr>
              <w:ind w:right="22"/>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258.15</w:t>
            </w:r>
          </w:p>
        </w:tc>
        <w:tc>
          <w:tcPr>
            <w:tcW w:w="1153" w:type="dxa"/>
            <w:vAlign w:val="top"/>
          </w:tcPr>
          <w:p>
            <w:pPr>
              <w:ind w:right="28"/>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258.15</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153" w:type="dxa"/>
            <w:vAlign w:val="top"/>
          </w:tcPr>
          <w:p>
            <w:pPr>
              <w:ind w:right="21"/>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9.97</w:t>
            </w:r>
          </w:p>
        </w:tc>
        <w:tc>
          <w:tcPr>
            <w:tcW w:w="1153" w:type="dxa"/>
            <w:vAlign w:val="top"/>
          </w:tcPr>
          <w:p>
            <w:pPr>
              <w:ind w:right="27"/>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9.97</w:t>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3"/>
              </w:rPr>
              <w:t>十一、节能环保支出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十七、金融支出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3" w:right="180"/>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等支出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5"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153" w:type="dxa"/>
            <w:vAlign w:val="top"/>
          </w:tcPr>
          <w:p>
            <w:pPr>
              <w:ind w:right="19"/>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10.00</w:t>
            </w:r>
          </w:p>
        </w:tc>
        <w:tc>
          <w:tcPr>
            <w:tcW w:w="1153"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4"/>
              </w:rPr>
              <w:t>10.00</w:t>
            </w:r>
          </w:p>
        </w:tc>
        <w:tc>
          <w:tcPr>
            <w:tcW w:w="831" w:type="dxa"/>
            <w:vAlign w:val="top"/>
          </w:tcPr>
          <w:p>
            <w:pPr>
              <w:pStyle w:val="TableText"/>
              <w:rPr/>
            </w:pPr>
            <w:r/>
          </w:p>
        </w:tc>
      </w:tr>
      <w:tr>
        <w:trPr>
          <w:trHeight w:val="532"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9" w:hanging="12"/>
              <w:spacing w:before="79" w:line="219" w:lineRule="auto"/>
              <w:rPr>
                <w:rFonts w:ascii="SimSun" w:hAnsi="SimSun" w:eastAsia="SimSun" w:cs="SimSun"/>
                <w:sz w:val="18"/>
                <w:szCs w:val="18"/>
              </w:rPr>
            </w:pPr>
            <w:r>
              <w:rPr>
                <w:rFonts w:ascii="SimSun" w:hAnsi="SimSun" w:eastAsia="SimSun" w:cs="SimSun"/>
                <w:sz w:val="18"/>
                <w:szCs w:val="18"/>
                <w:color w:val="212529"/>
                <w:spacing w:val="-2"/>
              </w:rPr>
              <w:t>二十一、粮油物资储备支</w:t>
            </w:r>
            <w:r>
              <w:rPr>
                <w:rFonts w:ascii="SimSun" w:hAnsi="SimSun" w:eastAsia="SimSun" w:cs="SimSun"/>
                <w:sz w:val="18"/>
                <w:szCs w:val="18"/>
                <w:color w:val="212529"/>
                <w:spacing w:val="1"/>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110" w:gutter="0"/>
        </w:sectPr>
        <w:rPr/>
      </w:pPr>
    </w:p>
    <w:p>
      <w:pPr>
        <w:spacing w:before="38"/>
        <w:rPr/>
      </w:pPr>
      <w:r/>
    </w:p>
    <w:p>
      <w:pPr>
        <w:spacing w:before="38"/>
        <w:rPr/>
      </w:pPr>
      <w:r/>
    </w:p>
    <w:tbl>
      <w:tblPr>
        <w:tblStyle w:val="TableNormal"/>
        <w:tblW w:w="854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03"/>
        <w:gridCol w:w="1138"/>
        <w:gridCol w:w="2171"/>
        <w:gridCol w:w="1153"/>
        <w:gridCol w:w="1153"/>
        <w:gridCol w:w="831"/>
      </w:tblGrid>
      <w:tr>
        <w:trPr>
          <w:trHeight w:val="531"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2" w:right="180"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w:t>
            </w:r>
            <w:r>
              <w:rPr>
                <w:rFonts w:ascii="SimSun" w:hAnsi="SimSun" w:eastAsia="SimSun" w:cs="SimSun"/>
                <w:sz w:val="18"/>
                <w:szCs w:val="18"/>
                <w:color w:val="212529"/>
              </w:rPr>
              <w:t xml:space="preserve"> </w:t>
            </w:r>
            <w:r>
              <w:rPr>
                <w:rFonts w:ascii="SimSun" w:hAnsi="SimSun" w:eastAsia="SimSun" w:cs="SimSun"/>
                <w:sz w:val="18"/>
                <w:szCs w:val="18"/>
                <w:color w:val="212529"/>
                <w:spacing w:val="-2"/>
              </w:rPr>
              <w:t>算支出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3"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50" w:line="215" w:lineRule="auto"/>
              <w:rPr>
                <w:rFonts w:ascii="SimSun" w:hAnsi="SimSun" w:eastAsia="SimSun" w:cs="SimSun"/>
                <w:sz w:val="18"/>
                <w:szCs w:val="18"/>
              </w:rPr>
            </w:pPr>
            <w:r>
              <w:rPr>
                <w:rFonts w:ascii="SimSun" w:hAnsi="SimSun" w:eastAsia="SimSun" w:cs="SimSun"/>
                <w:sz w:val="18"/>
                <w:szCs w:val="18"/>
                <w:color w:val="212529"/>
                <w:spacing w:val="-1"/>
              </w:rPr>
              <w:t>二十三、灾害防治及应急</w:t>
            </w:r>
          </w:p>
          <w:p>
            <w:pPr>
              <w:ind w:left="6"/>
              <w:spacing w:line="218" w:lineRule="auto"/>
              <w:rPr>
                <w:rFonts w:ascii="SimSun" w:hAnsi="SimSun" w:eastAsia="SimSun" w:cs="SimSun"/>
                <w:sz w:val="18"/>
                <w:szCs w:val="18"/>
              </w:rPr>
            </w:pPr>
            <w:r>
              <w:rPr>
                <w:rFonts w:ascii="SimSun" w:hAnsi="SimSun" w:eastAsia="SimSun" w:cs="SimSun"/>
                <w:sz w:val="18"/>
                <w:szCs w:val="18"/>
                <w:color w:val="212529"/>
                <w:spacing w:val="-2"/>
              </w:rPr>
              <w:t>管理支出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5"/>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2"/>
              <w:spacing w:before="57"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ind w:left="17" w:right="180" w:hanging="15"/>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的支出</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pStyle w:val="TableText"/>
              <w:rPr/>
            </w:pPr>
            <w:r/>
          </w:p>
        </w:tc>
        <w:tc>
          <w:tcPr>
            <w:tcW w:w="1138" w:type="dxa"/>
            <w:vAlign w:val="top"/>
          </w:tcPr>
          <w:p>
            <w:pPr>
              <w:pStyle w:val="TableText"/>
              <w:rPr/>
            </w:pPr>
            <w:r/>
          </w:p>
        </w:tc>
        <w:tc>
          <w:tcPr>
            <w:tcW w:w="2171" w:type="dxa"/>
            <w:vAlign w:val="top"/>
          </w:tcPr>
          <w:p>
            <w:pPr>
              <w:pStyle w:val="TableText"/>
              <w:rPr/>
            </w:pPr>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24" w:hRule="atLeast"/>
        </w:trPr>
        <w:tc>
          <w:tcPr>
            <w:tcW w:w="2103"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138" w:type="dxa"/>
            <w:vAlign w:val="top"/>
          </w:tcPr>
          <w:p>
            <w:pPr>
              <w:pStyle w:val="TableText"/>
              <w:ind w:left="557"/>
              <w:spacing w:before="186" w:line="184" w:lineRule="auto"/>
              <w:rPr>
                <w:sz w:val="15"/>
                <w:szCs w:val="15"/>
              </w:rPr>
            </w:pPr>
            <w:r>
              <w:rPr>
                <w:sz w:val="15"/>
                <w:szCs w:val="15"/>
                <w:color w:val="212529"/>
                <w:spacing w:val="1"/>
              </w:rPr>
              <w:t>278.</w:t>
            </w:r>
            <w:r>
              <w:rPr>
                <w:sz w:val="15"/>
                <w:szCs w:val="15"/>
                <w:color w:val="212529"/>
                <w:spacing w:val="20"/>
              </w:rPr>
              <w:t xml:space="preserve"> </w:t>
            </w:r>
            <w:r>
              <w:rPr>
                <w:sz w:val="15"/>
                <w:szCs w:val="15"/>
                <w:color w:val="212529"/>
                <w:spacing w:val="1"/>
              </w:rPr>
              <w:t>12</w:t>
            </w:r>
          </w:p>
        </w:tc>
        <w:tc>
          <w:tcPr>
            <w:tcW w:w="2171" w:type="dxa"/>
            <w:vAlign w:val="top"/>
          </w:tcPr>
          <w:p>
            <w:pPr>
              <w:ind w:left="2"/>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153" w:type="dxa"/>
            <w:vAlign w:val="top"/>
          </w:tcPr>
          <w:p>
            <w:pPr>
              <w:pStyle w:val="TableText"/>
              <w:ind w:left="583"/>
              <w:spacing w:before="186" w:line="184" w:lineRule="auto"/>
              <w:rPr>
                <w:sz w:val="15"/>
                <w:szCs w:val="15"/>
              </w:rPr>
            </w:pPr>
            <w:r>
              <w:rPr>
                <w:sz w:val="15"/>
                <w:szCs w:val="15"/>
                <w:color w:val="212529"/>
                <w:spacing w:val="2"/>
              </w:rPr>
              <w:t>278.</w:t>
            </w:r>
            <w:r>
              <w:rPr>
                <w:sz w:val="15"/>
                <w:szCs w:val="15"/>
                <w:color w:val="212529"/>
                <w:spacing w:val="14"/>
              </w:rPr>
              <w:t xml:space="preserve"> </w:t>
            </w:r>
            <w:r>
              <w:rPr>
                <w:sz w:val="15"/>
                <w:szCs w:val="15"/>
                <w:color w:val="212529"/>
                <w:spacing w:val="2"/>
              </w:rPr>
              <w:t>12</w:t>
            </w:r>
          </w:p>
        </w:tc>
        <w:tc>
          <w:tcPr>
            <w:tcW w:w="1153" w:type="dxa"/>
            <w:vAlign w:val="top"/>
          </w:tcPr>
          <w:p>
            <w:pPr>
              <w:pStyle w:val="TableText"/>
              <w:ind w:left="577"/>
              <w:spacing w:before="186" w:line="184" w:lineRule="auto"/>
              <w:rPr>
                <w:sz w:val="15"/>
                <w:szCs w:val="15"/>
              </w:rPr>
            </w:pPr>
            <w:r>
              <w:rPr>
                <w:sz w:val="15"/>
                <w:szCs w:val="15"/>
                <w:color w:val="212529"/>
                <w:spacing w:val="2"/>
              </w:rPr>
              <w:t>278.</w:t>
            </w:r>
            <w:r>
              <w:rPr>
                <w:sz w:val="15"/>
                <w:szCs w:val="15"/>
                <w:color w:val="212529"/>
                <w:spacing w:val="14"/>
              </w:rPr>
              <w:t xml:space="preserve"> </w:t>
            </w:r>
            <w:r>
              <w:rPr>
                <w:sz w:val="15"/>
                <w:szCs w:val="15"/>
                <w:color w:val="212529"/>
                <w:spacing w:val="2"/>
              </w:rPr>
              <w:t>12</w:t>
            </w:r>
          </w:p>
        </w:tc>
        <w:tc>
          <w:tcPr>
            <w:tcW w:w="831" w:type="dxa"/>
            <w:vAlign w:val="top"/>
          </w:tcPr>
          <w:p>
            <w:pPr>
              <w:pStyle w:val="TableText"/>
              <w:rPr/>
            </w:pPr>
            <w:r/>
          </w:p>
        </w:tc>
      </w:tr>
      <w:tr>
        <w:trPr>
          <w:trHeight w:val="524" w:hRule="atLeast"/>
        </w:trPr>
        <w:tc>
          <w:tcPr>
            <w:tcW w:w="2103"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138" w:type="dxa"/>
            <w:vAlign w:val="top"/>
          </w:tcPr>
          <w:p>
            <w:pPr>
              <w:pStyle w:val="TableText"/>
              <w:rPr/>
            </w:pPr>
            <w:r/>
          </w:p>
        </w:tc>
        <w:tc>
          <w:tcPr>
            <w:tcW w:w="2171" w:type="dxa"/>
            <w:vAlign w:val="top"/>
          </w:tcPr>
          <w:p>
            <w:pPr>
              <w:ind w:left="191"/>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153" w:type="dxa"/>
            <w:vAlign w:val="top"/>
          </w:tcPr>
          <w:p>
            <w:pPr>
              <w:pStyle w:val="TableText"/>
              <w:rPr/>
            </w:pPr>
            <w:r/>
          </w:p>
        </w:tc>
        <w:tc>
          <w:tcPr>
            <w:tcW w:w="1153" w:type="dxa"/>
            <w:vAlign w:val="top"/>
          </w:tcPr>
          <w:p>
            <w:pPr>
              <w:pStyle w:val="TableText"/>
              <w:rPr/>
            </w:pPr>
            <w:r/>
          </w:p>
        </w:tc>
        <w:tc>
          <w:tcPr>
            <w:tcW w:w="831" w:type="dxa"/>
            <w:vAlign w:val="top"/>
          </w:tcPr>
          <w:p>
            <w:pPr>
              <w:pStyle w:val="TableText"/>
              <w:rPr/>
            </w:pPr>
            <w:r/>
          </w:p>
        </w:tc>
      </w:tr>
      <w:tr>
        <w:trPr>
          <w:trHeight w:val="531" w:hRule="atLeast"/>
        </w:trPr>
        <w:tc>
          <w:tcPr>
            <w:tcW w:w="2103"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138" w:type="dxa"/>
            <w:vAlign w:val="top"/>
          </w:tcPr>
          <w:p>
            <w:pPr>
              <w:pStyle w:val="TableText"/>
              <w:ind w:left="557"/>
              <w:spacing w:before="188" w:line="184" w:lineRule="auto"/>
              <w:rPr>
                <w:sz w:val="15"/>
                <w:szCs w:val="15"/>
              </w:rPr>
            </w:pPr>
            <w:r>
              <w:rPr>
                <w:sz w:val="15"/>
                <w:szCs w:val="15"/>
                <w:color w:val="212529"/>
                <w:spacing w:val="1"/>
              </w:rPr>
              <w:t>278.</w:t>
            </w:r>
            <w:r>
              <w:rPr>
                <w:sz w:val="15"/>
                <w:szCs w:val="15"/>
                <w:color w:val="212529"/>
                <w:spacing w:val="20"/>
              </w:rPr>
              <w:t xml:space="preserve"> </w:t>
            </w:r>
            <w:r>
              <w:rPr>
                <w:sz w:val="15"/>
                <w:szCs w:val="15"/>
                <w:color w:val="212529"/>
                <w:spacing w:val="1"/>
              </w:rPr>
              <w:t>12</w:t>
            </w:r>
          </w:p>
        </w:tc>
        <w:tc>
          <w:tcPr>
            <w:tcW w:w="2171" w:type="dxa"/>
            <w:vAlign w:val="top"/>
          </w:tcPr>
          <w:p>
            <w:pPr>
              <w:ind w:left="1"/>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153" w:type="dxa"/>
            <w:vAlign w:val="top"/>
          </w:tcPr>
          <w:p>
            <w:pPr>
              <w:pStyle w:val="TableText"/>
              <w:ind w:left="583"/>
              <w:spacing w:before="188" w:line="184" w:lineRule="auto"/>
              <w:rPr>
                <w:sz w:val="15"/>
                <w:szCs w:val="15"/>
              </w:rPr>
            </w:pPr>
            <w:r>
              <w:rPr>
                <w:sz w:val="15"/>
                <w:szCs w:val="15"/>
                <w:color w:val="212529"/>
                <w:spacing w:val="2"/>
              </w:rPr>
              <w:t>278.</w:t>
            </w:r>
            <w:r>
              <w:rPr>
                <w:sz w:val="15"/>
                <w:szCs w:val="15"/>
                <w:color w:val="212529"/>
                <w:spacing w:val="14"/>
              </w:rPr>
              <w:t xml:space="preserve"> </w:t>
            </w:r>
            <w:r>
              <w:rPr>
                <w:sz w:val="15"/>
                <w:szCs w:val="15"/>
                <w:color w:val="212529"/>
                <w:spacing w:val="2"/>
              </w:rPr>
              <w:t>12</w:t>
            </w:r>
          </w:p>
        </w:tc>
        <w:tc>
          <w:tcPr>
            <w:tcW w:w="1153" w:type="dxa"/>
            <w:vAlign w:val="top"/>
          </w:tcPr>
          <w:p>
            <w:pPr>
              <w:pStyle w:val="TableText"/>
              <w:ind w:left="577"/>
              <w:spacing w:before="188" w:line="184" w:lineRule="auto"/>
              <w:rPr>
                <w:sz w:val="15"/>
                <w:szCs w:val="15"/>
              </w:rPr>
            </w:pPr>
            <w:r>
              <w:rPr>
                <w:sz w:val="15"/>
                <w:szCs w:val="15"/>
                <w:color w:val="212529"/>
                <w:spacing w:val="2"/>
              </w:rPr>
              <w:t>278.</w:t>
            </w:r>
            <w:r>
              <w:rPr>
                <w:sz w:val="15"/>
                <w:szCs w:val="15"/>
                <w:color w:val="212529"/>
                <w:spacing w:val="14"/>
              </w:rPr>
              <w:t xml:space="preserve"> </w:t>
            </w:r>
            <w:r>
              <w:rPr>
                <w:sz w:val="15"/>
                <w:szCs w:val="15"/>
                <w:color w:val="212529"/>
                <w:spacing w:val="2"/>
              </w:rPr>
              <w:t>12</w:t>
            </w:r>
          </w:p>
        </w:tc>
        <w:tc>
          <w:tcPr>
            <w:tcW w:w="831" w:type="dxa"/>
            <w:vAlign w:val="top"/>
          </w:tcPr>
          <w:p>
            <w:pPr>
              <w:pStyle w:val="TableText"/>
              <w:rPr/>
            </w:pPr>
            <w:r/>
          </w:p>
        </w:tc>
      </w:tr>
    </w:tbl>
    <w:p>
      <w:pPr>
        <w:pStyle w:val="BodyText"/>
        <w:rPr/>
      </w:pPr>
      <w:r/>
    </w:p>
    <w:p>
      <w:pPr>
        <w:sectPr>
          <w:headerReference w:type="default" r:id="rId5"/>
          <w:footerReference w:type="default" r:id="rId9"/>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97"/>
        <w:gridCol w:w="1438"/>
        <w:gridCol w:w="1274"/>
        <w:gridCol w:w="1318"/>
        <w:gridCol w:w="1513"/>
        <w:gridCol w:w="1498"/>
        <w:gridCol w:w="974"/>
        <w:gridCol w:w="1026"/>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9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4"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51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bottom w:val="single" w:color="FFFFFF" w:sz="6" w:space="0"/>
              <w:top w:val="single" w:color="FFFFFF" w:sz="6" w:space="0"/>
            </w:tcBorders>
          </w:tcPr>
          <w:p>
            <w:pPr>
              <w:ind w:left="978"/>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42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单位名称：长治高新区社会保险中心</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74"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513"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2000" w:type="dxa"/>
            <w:vAlign w:val="top"/>
            <w:gridSpan w:val="2"/>
            <w:tcBorders>
              <w:left w:val="single" w:color="FFFFFF" w:sz="2" w:space="0"/>
              <w:right w:val="single" w:color="FFFFFF" w:sz="2" w:space="0"/>
              <w:top w:val="single" w:color="FFFFFF" w:sz="6" w:space="0"/>
            </w:tcBorders>
          </w:tcPr>
          <w:p>
            <w:pPr>
              <w:ind w:left="1069"/>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428" w:type="dxa"/>
            <w:vAlign w:val="top"/>
            <w:gridSpan w:val="2"/>
          </w:tcPr>
          <w:p>
            <w:pPr>
              <w:ind w:left="2014"/>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8015" w:type="dxa"/>
            <w:vAlign w:val="top"/>
            <w:gridSpan w:val="6"/>
          </w:tcPr>
          <w:p>
            <w:pPr>
              <w:ind w:left="3636"/>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026" w:type="dxa"/>
            <w:vAlign w:val="top"/>
            <w:vMerge w:val="restart"/>
            <w:tcBorders>
              <w:bottom w:val="nil"/>
            </w:tcBorders>
          </w:tcPr>
          <w:p>
            <w:pPr>
              <w:pStyle w:val="TableText"/>
              <w:spacing w:line="273" w:lineRule="auto"/>
              <w:rPr/>
            </w:pPr>
            <w:r/>
          </w:p>
          <w:p>
            <w:pPr>
              <w:ind w:left="138"/>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4"/>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97" w:type="dxa"/>
            <w:vAlign w:val="top"/>
          </w:tcPr>
          <w:p>
            <w:pPr>
              <w:ind w:left="1116"/>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23"/>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74" w:type="dxa"/>
            <w:vAlign w:val="top"/>
          </w:tcPr>
          <w:p>
            <w:pPr>
              <w:ind w:left="82"/>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7"/>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513" w:type="dxa"/>
            <w:vAlign w:val="top"/>
          </w:tcPr>
          <w:p>
            <w:pPr>
              <w:ind w:left="43"/>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98" w:type="dxa"/>
            <w:vAlign w:val="top"/>
          </w:tcPr>
          <w:p>
            <w:pPr>
              <w:ind w:left="2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8"/>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026" w:type="dxa"/>
            <w:vAlign w:val="top"/>
            <w:vMerge w:val="continue"/>
            <w:tcBorders>
              <w:top w:val="nil"/>
            </w:tcBorders>
          </w:tcPr>
          <w:p>
            <w:pPr>
              <w:pStyle w:val="TableText"/>
              <w:rPr/>
            </w:pPr>
            <w:r/>
          </w:p>
        </w:tc>
      </w:tr>
      <w:tr>
        <w:trPr>
          <w:trHeight w:val="434" w:hRule="atLeast"/>
        </w:trPr>
        <w:tc>
          <w:tcPr>
            <w:tcW w:w="4428" w:type="dxa"/>
            <w:vAlign w:val="top"/>
            <w:gridSpan w:val="2"/>
          </w:tcPr>
          <w:p>
            <w:pPr>
              <w:ind w:left="201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865"/>
              <w:spacing w:before="149" w:line="184" w:lineRule="auto"/>
              <w:rPr>
                <w:sz w:val="15"/>
                <w:szCs w:val="15"/>
              </w:rPr>
            </w:pPr>
            <w:r>
              <w:rPr>
                <w:sz w:val="15"/>
                <w:szCs w:val="15"/>
                <w:color w:val="212529"/>
                <w:spacing w:val="1"/>
              </w:rPr>
              <w:t>278.</w:t>
            </w:r>
            <w:r>
              <w:rPr>
                <w:sz w:val="15"/>
                <w:szCs w:val="15"/>
                <w:color w:val="212529"/>
                <w:spacing w:val="20"/>
              </w:rPr>
              <w:t xml:space="preserve"> </w:t>
            </w:r>
            <w:r>
              <w:rPr>
                <w:sz w:val="15"/>
                <w:szCs w:val="15"/>
                <w:color w:val="212529"/>
                <w:spacing w:val="1"/>
              </w:rPr>
              <w:t>12</w:t>
            </w:r>
          </w:p>
        </w:tc>
        <w:tc>
          <w:tcPr>
            <w:tcW w:w="1274" w:type="dxa"/>
            <w:vAlign w:val="top"/>
          </w:tcPr>
          <w:p>
            <w:pPr>
              <w:pStyle w:val="TableText"/>
              <w:ind w:left="702"/>
              <w:spacing w:before="149" w:line="184" w:lineRule="auto"/>
              <w:rPr>
                <w:sz w:val="15"/>
                <w:szCs w:val="15"/>
              </w:rPr>
            </w:pPr>
            <w:r>
              <w:rPr>
                <w:sz w:val="15"/>
                <w:szCs w:val="15"/>
                <w:color w:val="212529"/>
                <w:spacing w:val="2"/>
              </w:rPr>
              <w:t>278.</w:t>
            </w:r>
            <w:r>
              <w:rPr>
                <w:sz w:val="15"/>
                <w:szCs w:val="15"/>
                <w:color w:val="212529"/>
                <w:spacing w:val="14"/>
              </w:rPr>
              <w:t xml:space="preserve"> </w:t>
            </w:r>
            <w:r>
              <w:rPr>
                <w:sz w:val="15"/>
                <w:szCs w:val="15"/>
                <w:color w:val="212529"/>
                <w:spacing w:val="2"/>
              </w:rPr>
              <w:t>12</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97" w:type="dxa"/>
            <w:vAlign w:val="top"/>
          </w:tcPr>
          <w:p>
            <w:pPr>
              <w:ind w:left="5"/>
              <w:spacing w:before="128" w:line="218"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438" w:type="dxa"/>
            <w:vAlign w:val="top"/>
          </w:tcPr>
          <w:p>
            <w:pPr>
              <w:ind w:right="24"/>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258.15</w:t>
            </w:r>
          </w:p>
        </w:tc>
        <w:tc>
          <w:tcPr>
            <w:tcW w:w="1274" w:type="dxa"/>
            <w:vAlign w:val="top"/>
          </w:tcPr>
          <w:p>
            <w:pPr>
              <w:ind w:right="23"/>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258.15</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20801</w:t>
            </w:r>
          </w:p>
        </w:tc>
        <w:tc>
          <w:tcPr>
            <w:tcW w:w="2997" w:type="dxa"/>
            <w:vAlign w:val="top"/>
          </w:tcPr>
          <w:p>
            <w:pPr>
              <w:ind w:left="5"/>
              <w:spacing w:before="129" w:line="218" w:lineRule="auto"/>
              <w:rPr>
                <w:rFonts w:ascii="SimSun" w:hAnsi="SimSun" w:eastAsia="SimSun" w:cs="SimSun"/>
                <w:sz w:val="18"/>
                <w:szCs w:val="18"/>
              </w:rPr>
            </w:pPr>
            <w:r>
              <w:rPr>
                <w:rFonts w:ascii="SimSun" w:hAnsi="SimSun" w:eastAsia="SimSun" w:cs="SimSun"/>
                <w:sz w:val="18"/>
                <w:szCs w:val="18"/>
                <w:color w:val="212529"/>
                <w:spacing w:val="-1"/>
              </w:rPr>
              <w:t>人力资源和社会保障管理事务</w:t>
            </w:r>
          </w:p>
        </w:tc>
        <w:tc>
          <w:tcPr>
            <w:tcW w:w="1438" w:type="dxa"/>
            <w:vAlign w:val="top"/>
          </w:tcPr>
          <w:p>
            <w:pPr>
              <w:ind w:right="22"/>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3"/>
              </w:rPr>
              <w:t>166.06</w:t>
            </w:r>
          </w:p>
        </w:tc>
        <w:tc>
          <w:tcPr>
            <w:tcW w:w="1274" w:type="dxa"/>
            <w:vAlign w:val="top"/>
          </w:tcPr>
          <w:p>
            <w:pPr>
              <w:ind w:right="21"/>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3"/>
              </w:rPr>
              <w:t>166.06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2080109</w:t>
            </w:r>
          </w:p>
        </w:tc>
        <w:tc>
          <w:tcPr>
            <w:tcW w:w="2997" w:type="dxa"/>
            <w:vAlign w:val="top"/>
          </w:tcPr>
          <w:p>
            <w:pPr>
              <w:ind w:left="5"/>
              <w:spacing w:before="130" w:line="218" w:lineRule="auto"/>
              <w:rPr>
                <w:rFonts w:ascii="SimSun" w:hAnsi="SimSun" w:eastAsia="SimSun" w:cs="SimSun"/>
                <w:sz w:val="18"/>
                <w:szCs w:val="18"/>
              </w:rPr>
            </w:pPr>
            <w:r>
              <w:rPr>
                <w:rFonts w:ascii="SimSun" w:hAnsi="SimSun" w:eastAsia="SimSun" w:cs="SimSun"/>
                <w:sz w:val="18"/>
                <w:szCs w:val="18"/>
                <w:color w:val="212529"/>
                <w:spacing w:val="-1"/>
              </w:rPr>
              <w:t>社会保险经办机构</w:t>
            </w:r>
          </w:p>
        </w:tc>
        <w:tc>
          <w:tcPr>
            <w:tcW w:w="1438" w:type="dxa"/>
            <w:vAlign w:val="top"/>
          </w:tcPr>
          <w:p>
            <w:pPr>
              <w:ind w:right="22"/>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3"/>
              </w:rPr>
              <w:t>166.06</w:t>
            </w:r>
          </w:p>
        </w:tc>
        <w:tc>
          <w:tcPr>
            <w:tcW w:w="1274" w:type="dxa"/>
            <w:vAlign w:val="top"/>
          </w:tcPr>
          <w:p>
            <w:pPr>
              <w:ind w:right="21"/>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3"/>
              </w:rPr>
              <w:t>166.06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97" w:type="dxa"/>
            <w:vAlign w:val="top"/>
          </w:tcPr>
          <w:p>
            <w:pPr>
              <w:ind w:left="4"/>
              <w:spacing w:before="131"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right="24"/>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36.80</w:t>
            </w:r>
          </w:p>
        </w:tc>
        <w:tc>
          <w:tcPr>
            <w:tcW w:w="1274" w:type="dxa"/>
            <w:vAlign w:val="top"/>
          </w:tcPr>
          <w:p>
            <w:pPr>
              <w:ind w:right="23"/>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36.80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97" w:type="dxa"/>
            <w:vAlign w:val="top"/>
          </w:tcPr>
          <w:p>
            <w:pPr>
              <w:ind w:left="5"/>
              <w:spacing w:before="132"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right="22"/>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4"/>
              </w:rPr>
              <w:t>19.16</w:t>
            </w:r>
          </w:p>
        </w:tc>
        <w:tc>
          <w:tcPr>
            <w:tcW w:w="1274" w:type="dxa"/>
            <w:vAlign w:val="top"/>
          </w:tcPr>
          <w:p>
            <w:pPr>
              <w:ind w:right="21"/>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4"/>
              </w:rPr>
              <w:t>19.16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97" w:type="dxa"/>
            <w:vAlign w:val="top"/>
          </w:tcPr>
          <w:p>
            <w:pPr>
              <w:ind w:left="3"/>
              <w:spacing w:before="133"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right="22"/>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4"/>
              </w:rPr>
              <w:t>12.81</w:t>
            </w:r>
          </w:p>
        </w:tc>
        <w:tc>
          <w:tcPr>
            <w:tcW w:w="1274" w:type="dxa"/>
            <w:vAlign w:val="top"/>
          </w:tcPr>
          <w:p>
            <w:pPr>
              <w:ind w:right="21"/>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4"/>
              </w:rPr>
              <w:t>12.81</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2080506</w:t>
            </w:r>
          </w:p>
        </w:tc>
        <w:tc>
          <w:tcPr>
            <w:tcW w:w="2997" w:type="dxa"/>
            <w:vAlign w:val="top"/>
          </w:tcPr>
          <w:p>
            <w:pPr>
              <w:ind w:left="3"/>
              <w:spacing w:before="134" w:line="218" w:lineRule="auto"/>
              <w:rPr>
                <w:rFonts w:ascii="SimSun" w:hAnsi="SimSun" w:eastAsia="SimSun" w:cs="SimSun"/>
                <w:sz w:val="18"/>
                <w:szCs w:val="18"/>
              </w:rPr>
            </w:pPr>
            <w:r>
              <w:rPr>
                <w:rFonts w:ascii="SimSun" w:hAnsi="SimSun" w:eastAsia="SimSun" w:cs="SimSun"/>
                <w:sz w:val="18"/>
                <w:szCs w:val="18"/>
                <w:color w:val="212529"/>
                <w:spacing w:val="-1"/>
              </w:rPr>
              <w:t>机关事业单位职业年金缴费支出</w:t>
            </w:r>
          </w:p>
        </w:tc>
        <w:tc>
          <w:tcPr>
            <w:tcW w:w="1438" w:type="dxa"/>
            <w:vAlign w:val="top"/>
          </w:tcPr>
          <w:p>
            <w:pPr>
              <w:ind w:right="24"/>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4.83</w:t>
            </w:r>
          </w:p>
        </w:tc>
        <w:tc>
          <w:tcPr>
            <w:tcW w:w="1274" w:type="dxa"/>
            <w:vAlign w:val="top"/>
          </w:tcPr>
          <w:p>
            <w:pPr>
              <w:ind w:right="23"/>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4.83</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20899</w:t>
            </w:r>
          </w:p>
        </w:tc>
        <w:tc>
          <w:tcPr>
            <w:tcW w:w="2997" w:type="dxa"/>
            <w:vAlign w:val="top"/>
          </w:tcPr>
          <w:p>
            <w:pPr>
              <w:ind w:left="3"/>
              <w:spacing w:before="135" w:line="218" w:lineRule="auto"/>
              <w:rPr>
                <w:rFonts w:ascii="SimSun" w:hAnsi="SimSun" w:eastAsia="SimSun" w:cs="SimSun"/>
                <w:sz w:val="18"/>
                <w:szCs w:val="18"/>
              </w:rPr>
            </w:pPr>
            <w:r>
              <w:rPr>
                <w:rFonts w:ascii="SimSun" w:hAnsi="SimSun" w:eastAsia="SimSun" w:cs="SimSun"/>
                <w:sz w:val="18"/>
                <w:szCs w:val="18"/>
                <w:color w:val="212529"/>
                <w:spacing w:val="-1"/>
              </w:rPr>
              <w:t>其他社会保障和就业支出</w:t>
            </w:r>
          </w:p>
        </w:tc>
        <w:tc>
          <w:tcPr>
            <w:tcW w:w="1438" w:type="dxa"/>
            <w:vAlign w:val="top"/>
          </w:tcPr>
          <w:p>
            <w:pPr>
              <w:ind w:right="24"/>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55.29</w:t>
            </w:r>
          </w:p>
        </w:tc>
        <w:tc>
          <w:tcPr>
            <w:tcW w:w="1274" w:type="dxa"/>
            <w:vAlign w:val="top"/>
          </w:tcPr>
          <w:p>
            <w:pPr>
              <w:ind w:right="23"/>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55.29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2089999</w:t>
            </w:r>
          </w:p>
        </w:tc>
        <w:tc>
          <w:tcPr>
            <w:tcW w:w="2997" w:type="dxa"/>
            <w:vAlign w:val="top"/>
          </w:tcPr>
          <w:p>
            <w:pPr>
              <w:ind w:left="3"/>
              <w:spacing w:before="136" w:line="218" w:lineRule="auto"/>
              <w:rPr>
                <w:rFonts w:ascii="SimSun" w:hAnsi="SimSun" w:eastAsia="SimSun" w:cs="SimSun"/>
                <w:sz w:val="18"/>
                <w:szCs w:val="18"/>
              </w:rPr>
            </w:pPr>
            <w:r>
              <w:rPr>
                <w:rFonts w:ascii="SimSun" w:hAnsi="SimSun" w:eastAsia="SimSun" w:cs="SimSun"/>
                <w:sz w:val="18"/>
                <w:szCs w:val="18"/>
                <w:color w:val="212529"/>
                <w:spacing w:val="-1"/>
              </w:rPr>
              <w:t>其他社会保障和就业支出</w:t>
            </w:r>
          </w:p>
        </w:tc>
        <w:tc>
          <w:tcPr>
            <w:tcW w:w="1438" w:type="dxa"/>
            <w:vAlign w:val="top"/>
          </w:tcPr>
          <w:p>
            <w:pPr>
              <w:ind w:right="24"/>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55.29</w:t>
            </w:r>
          </w:p>
        </w:tc>
        <w:tc>
          <w:tcPr>
            <w:tcW w:w="1274" w:type="dxa"/>
            <w:vAlign w:val="top"/>
          </w:tcPr>
          <w:p>
            <w:pPr>
              <w:ind w:right="23"/>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55.29</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97" w:type="dxa"/>
            <w:vAlign w:val="top"/>
          </w:tcPr>
          <w:p>
            <w:pPr>
              <w:ind w:left="5"/>
              <w:spacing w:before="137"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right="24"/>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9.97</w:t>
            </w:r>
          </w:p>
        </w:tc>
        <w:tc>
          <w:tcPr>
            <w:tcW w:w="1274" w:type="dxa"/>
            <w:vAlign w:val="top"/>
          </w:tcPr>
          <w:p>
            <w:pPr>
              <w:ind w:right="23"/>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9.97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97" w:type="dxa"/>
            <w:vAlign w:val="top"/>
          </w:tcPr>
          <w:p>
            <w:pPr>
              <w:ind w:left="4"/>
              <w:spacing w:before="139" w:line="219" w:lineRule="auto"/>
              <w:rPr>
                <w:rFonts w:ascii="SimSun" w:hAnsi="SimSun" w:eastAsia="SimSun" w:cs="SimSun"/>
                <w:sz w:val="18"/>
                <w:szCs w:val="18"/>
              </w:rPr>
            </w:pPr>
            <w:r>
              <w:rPr>
                <w:rFonts w:ascii="SimSun" w:hAnsi="SimSun" w:eastAsia="SimSun" w:cs="SimSun"/>
                <w:sz w:val="18"/>
                <w:szCs w:val="18"/>
                <w:color w:val="212529"/>
                <w:spacing w:val="-1"/>
              </w:rPr>
              <w:t>行政事业单位医疗</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9.97</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9.97</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right="24"/>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6.86</w:t>
            </w:r>
          </w:p>
        </w:tc>
        <w:tc>
          <w:tcPr>
            <w:tcW w:w="1274"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6.86</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2101103</w:t>
            </w:r>
          </w:p>
        </w:tc>
        <w:tc>
          <w:tcPr>
            <w:tcW w:w="2997" w:type="dxa"/>
            <w:vAlign w:val="top"/>
          </w:tcPr>
          <w:p>
            <w:pPr>
              <w:ind w:left="10"/>
              <w:spacing w:before="138"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38" w:type="dxa"/>
            <w:vAlign w:val="top"/>
          </w:tcPr>
          <w:p>
            <w:pPr>
              <w:ind w:right="23"/>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3.10</w:t>
            </w:r>
          </w:p>
        </w:tc>
        <w:tc>
          <w:tcPr>
            <w:tcW w:w="1274"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3.10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10.00</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97" w:type="dxa"/>
            <w:vAlign w:val="top"/>
          </w:tcPr>
          <w:p>
            <w:pPr>
              <w:ind w:left="5"/>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10.00</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97" w:type="dxa"/>
            <w:vAlign w:val="top"/>
          </w:tcPr>
          <w:p>
            <w:pPr>
              <w:ind w:left="5"/>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right="22"/>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10.00</w:t>
            </w:r>
          </w:p>
        </w:tc>
        <w:tc>
          <w:tcPr>
            <w:tcW w:w="1274" w:type="dxa"/>
            <w:vAlign w:val="top"/>
          </w:tcPr>
          <w:p>
            <w:pPr>
              <w:ind w:right="21"/>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4"/>
              </w:rPr>
              <w:t>10.00</w:t>
            </w:r>
          </w:p>
        </w:tc>
        <w:tc>
          <w:tcPr>
            <w:tcW w:w="1318" w:type="dxa"/>
            <w:vAlign w:val="top"/>
          </w:tcPr>
          <w:p>
            <w:pPr>
              <w:pStyle w:val="TableText"/>
              <w:rPr/>
            </w:pPr>
            <w:r/>
          </w:p>
        </w:tc>
        <w:tc>
          <w:tcPr>
            <w:tcW w:w="1513" w:type="dxa"/>
            <w:vAlign w:val="top"/>
          </w:tcPr>
          <w:p>
            <w:pPr>
              <w:pStyle w:val="TableText"/>
              <w:rPr/>
            </w:pPr>
            <w:r/>
          </w:p>
        </w:tc>
        <w:tc>
          <w:tcPr>
            <w:tcW w:w="1498" w:type="dxa"/>
            <w:vAlign w:val="top"/>
          </w:tcPr>
          <w:p>
            <w:pPr>
              <w:pStyle w:val="TableText"/>
              <w:rPr/>
            </w:pPr>
            <w:r/>
          </w:p>
        </w:tc>
        <w:tc>
          <w:tcPr>
            <w:tcW w:w="974" w:type="dxa"/>
            <w:vAlign w:val="top"/>
          </w:tcPr>
          <w:p>
            <w:pPr>
              <w:pStyle w:val="TableText"/>
              <w:rPr/>
            </w:pPr>
            <w:r/>
          </w:p>
        </w:tc>
        <w:tc>
          <w:tcPr>
            <w:tcW w:w="1026" w:type="dxa"/>
            <w:vAlign w:val="top"/>
          </w:tcPr>
          <w:p>
            <w:pPr>
              <w:pStyle w:val="TableText"/>
              <w:rPr/>
            </w:pPr>
            <w:r/>
          </w:p>
        </w:tc>
      </w:tr>
    </w:tbl>
    <w:p>
      <w:pPr>
        <w:pStyle w:val="BodyText"/>
        <w:rPr/>
      </w:pPr>
      <w:r/>
    </w:p>
    <w:p>
      <w:pPr>
        <w:sectPr>
          <w:headerReference w:type="default" r:id="rId10"/>
          <w:footerReference w:type="default" r:id="rId11"/>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66"/>
        <w:gridCol w:w="3294"/>
        <w:gridCol w:w="1404"/>
        <w:gridCol w:w="1339"/>
        <w:gridCol w:w="1355"/>
      </w:tblGrid>
      <w:tr>
        <w:trPr>
          <w:trHeight w:val="319" w:hRule="atLeast"/>
        </w:trPr>
        <w:tc>
          <w:tcPr>
            <w:tcW w:w="17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29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55" w:type="dxa"/>
            <w:vAlign w:val="top"/>
            <w:tcBorders>
              <w:bottom w:val="single" w:color="FFFFFF" w:sz="4" w:space="0"/>
              <w:top w:val="single" w:color="FFFFFF" w:sz="4" w:space="0"/>
              <w:left w:val="single" w:color="FFFFFF" w:sz="2" w:space="0"/>
              <w:right w:val="single" w:color="FFFFFF" w:sz="2" w:space="0"/>
            </w:tcBorders>
          </w:tcPr>
          <w:p>
            <w:pPr>
              <w:ind w:left="616"/>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464" w:type="dxa"/>
            <w:vAlign w:val="top"/>
            <w:gridSpan w:val="3"/>
            <w:tcBorders>
              <w:top w:val="single" w:color="FFFFFF" w:sz="4" w:space="0"/>
              <w:left w:val="single" w:color="FFFFFF" w:sz="2" w:space="0"/>
              <w:right w:val="single" w:color="FFFFFF" w:sz="2" w:space="0"/>
            </w:tcBorders>
          </w:tcPr>
          <w:p>
            <w:pPr>
              <w:ind w:left="9"/>
              <w:spacing w:before="90" w:line="233" w:lineRule="auto"/>
              <w:rPr>
                <w:rFonts w:ascii="SimSun" w:hAnsi="SimSun" w:eastAsia="SimSun" w:cs="SimSun"/>
                <w:sz w:val="12"/>
                <w:szCs w:val="12"/>
              </w:rPr>
            </w:pPr>
            <w:r>
              <w:rPr>
                <w:rFonts w:ascii="SimSun" w:hAnsi="SimSun" w:eastAsia="SimSun" w:cs="SimSun"/>
                <w:sz w:val="12"/>
                <w:szCs w:val="12"/>
                <w:color w:val="212529"/>
                <w:spacing w:val="9"/>
              </w:rPr>
              <w:t>单位名称：长治高新区社会保险中心</w:t>
            </w:r>
          </w:p>
        </w:tc>
        <w:tc>
          <w:tcPr>
            <w:tcW w:w="1339" w:type="dxa"/>
            <w:vAlign w:val="top"/>
            <w:tcBorders>
              <w:top w:val="single" w:color="FFFFFF" w:sz="4" w:space="0"/>
              <w:left w:val="single" w:color="FFFFFF" w:sz="2" w:space="0"/>
              <w:right w:val="single" w:color="FFFFFF" w:sz="2" w:space="0"/>
            </w:tcBorders>
          </w:tcPr>
          <w:p>
            <w:pPr>
              <w:pStyle w:val="TableText"/>
              <w:rPr/>
            </w:pPr>
            <w:r/>
          </w:p>
        </w:tc>
        <w:tc>
          <w:tcPr>
            <w:tcW w:w="1355" w:type="dxa"/>
            <w:vAlign w:val="top"/>
            <w:tcBorders>
              <w:top w:val="single" w:color="FFFFFF" w:sz="4" w:space="0"/>
              <w:left w:val="single" w:color="FFFFFF" w:sz="2" w:space="0"/>
              <w:right w:val="single" w:color="FFFFFF" w:sz="2" w:space="0"/>
            </w:tcBorders>
          </w:tcPr>
          <w:p>
            <w:pPr>
              <w:ind w:left="682"/>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060" w:type="dxa"/>
            <w:vAlign w:val="top"/>
            <w:gridSpan w:val="2"/>
          </w:tcPr>
          <w:p>
            <w:pPr>
              <w:ind w:left="2357"/>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98" w:type="dxa"/>
            <w:vAlign w:val="top"/>
            <w:gridSpan w:val="3"/>
          </w:tcPr>
          <w:p>
            <w:pPr>
              <w:ind w:left="1556"/>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766" w:type="dxa"/>
            <w:vAlign w:val="top"/>
          </w:tcPr>
          <w:p>
            <w:pPr>
              <w:ind w:left="541"/>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94" w:type="dxa"/>
            <w:vAlign w:val="top"/>
          </w:tcPr>
          <w:p>
            <w:pPr>
              <w:ind w:left="1307"/>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404" w:type="dxa"/>
            <w:vAlign w:val="top"/>
          </w:tcPr>
          <w:p>
            <w:pPr>
              <w:ind w:left="530"/>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39" w:type="dxa"/>
            <w:vAlign w:val="top"/>
          </w:tcPr>
          <w:p>
            <w:pPr>
              <w:ind w:left="332"/>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355" w:type="dxa"/>
            <w:vAlign w:val="top"/>
          </w:tcPr>
          <w:p>
            <w:pPr>
              <w:ind w:left="344"/>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060" w:type="dxa"/>
            <w:vAlign w:val="top"/>
            <w:gridSpan w:val="2"/>
          </w:tcPr>
          <w:p>
            <w:pPr>
              <w:ind w:left="2360"/>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ind w:left="891"/>
              <w:spacing w:before="99" w:line="186" w:lineRule="auto"/>
              <w:rPr>
                <w:sz w:val="13"/>
                <w:szCs w:val="13"/>
              </w:rPr>
            </w:pPr>
            <w:r>
              <w:rPr>
                <w:sz w:val="13"/>
                <w:szCs w:val="13"/>
                <w:color w:val="212529"/>
                <w:spacing w:val="4"/>
              </w:rPr>
              <w:t>278.</w:t>
            </w:r>
            <w:r>
              <w:rPr>
                <w:sz w:val="13"/>
                <w:szCs w:val="13"/>
                <w:color w:val="212529"/>
                <w:spacing w:val="15"/>
              </w:rPr>
              <w:t xml:space="preserve"> </w:t>
            </w:r>
            <w:r>
              <w:rPr>
                <w:sz w:val="13"/>
                <w:szCs w:val="13"/>
                <w:color w:val="212529"/>
                <w:spacing w:val="4"/>
              </w:rPr>
              <w:t>12</w:t>
            </w:r>
          </w:p>
        </w:tc>
        <w:tc>
          <w:tcPr>
            <w:tcW w:w="1339" w:type="dxa"/>
            <w:vAlign w:val="top"/>
          </w:tcPr>
          <w:p>
            <w:pPr>
              <w:pStyle w:val="TableText"/>
              <w:ind w:left="845"/>
              <w:spacing w:before="99" w:line="186" w:lineRule="auto"/>
              <w:rPr>
                <w:sz w:val="13"/>
                <w:szCs w:val="13"/>
              </w:rPr>
            </w:pPr>
            <w:r>
              <w:rPr>
                <w:sz w:val="13"/>
                <w:szCs w:val="13"/>
                <w:color w:val="212529"/>
                <w:spacing w:val="2"/>
              </w:rPr>
              <w:t>133.</w:t>
            </w:r>
            <w:r>
              <w:rPr>
                <w:sz w:val="13"/>
                <w:szCs w:val="13"/>
                <w:color w:val="212529"/>
                <w:spacing w:val="17"/>
              </w:rPr>
              <w:t xml:space="preserve"> </w:t>
            </w:r>
            <w:r>
              <w:rPr>
                <w:sz w:val="13"/>
                <w:szCs w:val="13"/>
                <w:color w:val="212529"/>
                <w:spacing w:val="2"/>
              </w:rPr>
              <w:t>62</w:t>
            </w:r>
          </w:p>
        </w:tc>
        <w:tc>
          <w:tcPr>
            <w:tcW w:w="1355" w:type="dxa"/>
            <w:vAlign w:val="top"/>
          </w:tcPr>
          <w:p>
            <w:pPr>
              <w:pStyle w:val="TableText"/>
              <w:ind w:left="854"/>
              <w:spacing w:before="99" w:line="186" w:lineRule="auto"/>
              <w:rPr>
                <w:sz w:val="13"/>
                <w:szCs w:val="13"/>
              </w:rPr>
            </w:pPr>
            <w:r>
              <w:rPr>
                <w:sz w:val="13"/>
                <w:szCs w:val="13"/>
                <w:color w:val="212529"/>
                <w:spacing w:val="2"/>
              </w:rPr>
              <w:t>144.</w:t>
            </w:r>
            <w:r>
              <w:rPr>
                <w:sz w:val="13"/>
                <w:szCs w:val="13"/>
                <w:color w:val="212529"/>
                <w:spacing w:val="18"/>
                <w:w w:val="101"/>
              </w:rPr>
              <w:t xml:space="preserve"> </w:t>
            </w:r>
            <w:r>
              <w:rPr>
                <w:sz w:val="13"/>
                <w:szCs w:val="13"/>
                <w:color w:val="212529"/>
                <w:spacing w:val="2"/>
              </w:rPr>
              <w:t>50</w:t>
            </w:r>
          </w:p>
        </w:tc>
      </w:tr>
      <w:tr>
        <w:trPr>
          <w:trHeight w:val="314" w:hRule="atLeast"/>
        </w:trPr>
        <w:tc>
          <w:tcPr>
            <w:tcW w:w="176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94" w:type="dxa"/>
            <w:vAlign w:val="top"/>
          </w:tcPr>
          <w:p>
            <w:pPr>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404" w:type="dxa"/>
            <w:vAlign w:val="top"/>
          </w:tcPr>
          <w:p>
            <w:pPr>
              <w:ind w:right="25"/>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258.15</w:t>
            </w:r>
          </w:p>
        </w:tc>
        <w:tc>
          <w:tcPr>
            <w:tcW w:w="1339" w:type="dxa"/>
            <w:vAlign w:val="top"/>
          </w:tcPr>
          <w:p>
            <w:pPr>
              <w:pStyle w:val="TableText"/>
              <w:ind w:left="845"/>
              <w:spacing w:before="99" w:line="187" w:lineRule="auto"/>
              <w:rPr>
                <w:sz w:val="13"/>
                <w:szCs w:val="13"/>
              </w:rPr>
            </w:pPr>
            <w:r>
              <w:rPr>
                <w:sz w:val="13"/>
                <w:szCs w:val="13"/>
                <w:color w:val="212529"/>
                <w:spacing w:val="2"/>
              </w:rPr>
              <w:t>113.</w:t>
            </w:r>
            <w:r>
              <w:rPr>
                <w:sz w:val="13"/>
                <w:szCs w:val="13"/>
                <w:color w:val="212529"/>
                <w:spacing w:val="16"/>
                <w:w w:val="101"/>
              </w:rPr>
              <w:t xml:space="preserve"> </w:t>
            </w:r>
            <w:r>
              <w:rPr>
                <w:sz w:val="13"/>
                <w:szCs w:val="13"/>
                <w:color w:val="212529"/>
                <w:spacing w:val="2"/>
              </w:rPr>
              <w:t>65</w:t>
            </w:r>
          </w:p>
        </w:tc>
        <w:tc>
          <w:tcPr>
            <w:tcW w:w="1355" w:type="dxa"/>
            <w:vAlign w:val="top"/>
          </w:tcPr>
          <w:p>
            <w:pPr>
              <w:pStyle w:val="TableText"/>
              <w:ind w:left="854"/>
              <w:spacing w:before="99" w:line="187" w:lineRule="auto"/>
              <w:rPr>
                <w:sz w:val="13"/>
                <w:szCs w:val="13"/>
              </w:rPr>
            </w:pPr>
            <w:r>
              <w:rPr>
                <w:sz w:val="13"/>
                <w:szCs w:val="13"/>
                <w:color w:val="212529"/>
                <w:spacing w:val="2"/>
              </w:rPr>
              <w:t>144.</w:t>
            </w:r>
            <w:r>
              <w:rPr>
                <w:sz w:val="13"/>
                <w:szCs w:val="13"/>
                <w:color w:val="212529"/>
                <w:spacing w:val="18"/>
                <w:w w:val="101"/>
              </w:rPr>
              <w:t xml:space="preserve"> </w:t>
            </w:r>
            <w:r>
              <w:rPr>
                <w:sz w:val="13"/>
                <w:szCs w:val="13"/>
                <w:color w:val="212529"/>
                <w:spacing w:val="2"/>
              </w:rPr>
              <w:t>50</w:t>
            </w:r>
          </w:p>
        </w:tc>
      </w:tr>
      <w:tr>
        <w:trPr>
          <w:trHeight w:val="314" w:hRule="atLeast"/>
        </w:trPr>
        <w:tc>
          <w:tcPr>
            <w:tcW w:w="1766"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20801</w:t>
            </w:r>
          </w:p>
        </w:tc>
        <w:tc>
          <w:tcPr>
            <w:tcW w:w="3294" w:type="dxa"/>
            <w:vAlign w:val="top"/>
          </w:tcPr>
          <w:p>
            <w:pPr>
              <w:spacing w:before="81" w:line="228" w:lineRule="auto"/>
              <w:rPr>
                <w:rFonts w:ascii="SimSun" w:hAnsi="SimSun" w:eastAsia="SimSun" w:cs="SimSun"/>
                <w:sz w:val="15"/>
                <w:szCs w:val="15"/>
              </w:rPr>
            </w:pPr>
            <w:r>
              <w:rPr>
                <w:rFonts w:ascii="SimSun" w:hAnsi="SimSun" w:eastAsia="SimSun" w:cs="SimSun"/>
                <w:sz w:val="15"/>
                <w:szCs w:val="15"/>
                <w:color w:val="212529"/>
                <w:spacing w:val="11"/>
              </w:rPr>
              <w:t>人力资源和社会保障管理事务</w:t>
            </w:r>
          </w:p>
        </w:tc>
        <w:tc>
          <w:tcPr>
            <w:tcW w:w="1404" w:type="dxa"/>
            <w:vAlign w:val="top"/>
          </w:tcPr>
          <w:p>
            <w:pPr>
              <w:ind w:right="25"/>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166.06</w:t>
            </w:r>
          </w:p>
        </w:tc>
        <w:tc>
          <w:tcPr>
            <w:tcW w:w="1339" w:type="dxa"/>
            <w:vAlign w:val="top"/>
          </w:tcPr>
          <w:p>
            <w:pPr>
              <w:pStyle w:val="TableText"/>
              <w:ind w:left="917"/>
              <w:spacing w:before="99" w:line="186" w:lineRule="auto"/>
              <w:rPr>
                <w:sz w:val="13"/>
                <w:szCs w:val="13"/>
              </w:rPr>
            </w:pPr>
            <w:r>
              <w:rPr>
                <w:sz w:val="13"/>
                <w:szCs w:val="13"/>
                <w:color w:val="212529"/>
                <w:spacing w:val="4"/>
              </w:rPr>
              <w:t>76.</w:t>
            </w:r>
            <w:r>
              <w:rPr>
                <w:sz w:val="13"/>
                <w:szCs w:val="13"/>
                <w:color w:val="212529"/>
                <w:spacing w:val="10"/>
              </w:rPr>
              <w:t xml:space="preserve"> </w:t>
            </w:r>
            <w:r>
              <w:rPr>
                <w:sz w:val="13"/>
                <w:szCs w:val="13"/>
                <w:color w:val="212529"/>
                <w:spacing w:val="4"/>
              </w:rPr>
              <w:t>56</w:t>
            </w:r>
          </w:p>
        </w:tc>
        <w:tc>
          <w:tcPr>
            <w:tcW w:w="1355" w:type="dxa"/>
            <w:vAlign w:val="top"/>
          </w:tcPr>
          <w:p>
            <w:pPr>
              <w:pStyle w:val="TableText"/>
              <w:ind w:left="924"/>
              <w:spacing w:before="99" w:line="186" w:lineRule="auto"/>
              <w:rPr>
                <w:sz w:val="13"/>
                <w:szCs w:val="13"/>
              </w:rPr>
            </w:pPr>
            <w:r>
              <w:rPr>
                <w:sz w:val="13"/>
                <w:szCs w:val="13"/>
                <w:color w:val="212529"/>
                <w:spacing w:val="4"/>
              </w:rPr>
              <w:t>89.</w:t>
            </w:r>
            <w:r>
              <w:rPr>
                <w:sz w:val="13"/>
                <w:szCs w:val="13"/>
                <w:color w:val="212529"/>
                <w:spacing w:val="12"/>
                <w:w w:val="102"/>
              </w:rPr>
              <w:t xml:space="preserve"> </w:t>
            </w:r>
            <w:r>
              <w:rPr>
                <w:sz w:val="13"/>
                <w:szCs w:val="13"/>
                <w:color w:val="212529"/>
                <w:spacing w:val="4"/>
              </w:rPr>
              <w:t>50</w:t>
            </w:r>
          </w:p>
        </w:tc>
      </w:tr>
      <w:tr>
        <w:trPr>
          <w:trHeight w:val="314" w:hRule="atLeast"/>
        </w:trPr>
        <w:tc>
          <w:tcPr>
            <w:tcW w:w="1766" w:type="dxa"/>
            <w:vAlign w:val="top"/>
          </w:tcPr>
          <w:p>
            <w:pPr>
              <w:ind w:left="8"/>
              <w:spacing w:before="81" w:line="202" w:lineRule="exact"/>
              <w:rPr>
                <w:rFonts w:ascii="SimSun" w:hAnsi="SimSun" w:eastAsia="SimSun" w:cs="SimSun"/>
                <w:sz w:val="15"/>
                <w:szCs w:val="15"/>
              </w:rPr>
            </w:pPr>
            <w:r>
              <w:rPr>
                <w:rFonts w:ascii="SimSun" w:hAnsi="SimSun" w:eastAsia="SimSun" w:cs="SimSun"/>
                <w:sz w:val="15"/>
                <w:szCs w:val="15"/>
                <w:color w:val="212529"/>
                <w:spacing w:val="4"/>
                <w:position w:val="1"/>
              </w:rPr>
              <w:t>2080109</w:t>
            </w:r>
          </w:p>
        </w:tc>
        <w:tc>
          <w:tcPr>
            <w:tcW w:w="3294" w:type="dxa"/>
            <w:vAlign w:val="top"/>
          </w:tcPr>
          <w:p>
            <w:pPr>
              <w:spacing w:before="81" w:line="228" w:lineRule="auto"/>
              <w:rPr>
                <w:rFonts w:ascii="SimSun" w:hAnsi="SimSun" w:eastAsia="SimSun" w:cs="SimSun"/>
                <w:sz w:val="15"/>
                <w:szCs w:val="15"/>
              </w:rPr>
            </w:pPr>
            <w:r>
              <w:rPr>
                <w:rFonts w:ascii="SimSun" w:hAnsi="SimSun" w:eastAsia="SimSun" w:cs="SimSun"/>
                <w:sz w:val="15"/>
                <w:szCs w:val="15"/>
                <w:color w:val="212529"/>
                <w:spacing w:val="10"/>
              </w:rPr>
              <w:t>社会保险经办机构</w:t>
            </w:r>
          </w:p>
        </w:tc>
        <w:tc>
          <w:tcPr>
            <w:tcW w:w="1404" w:type="dxa"/>
            <w:vAlign w:val="top"/>
          </w:tcPr>
          <w:p>
            <w:pPr>
              <w:ind w:right="25"/>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166.06</w:t>
            </w:r>
          </w:p>
        </w:tc>
        <w:tc>
          <w:tcPr>
            <w:tcW w:w="1339" w:type="dxa"/>
            <w:vAlign w:val="top"/>
          </w:tcPr>
          <w:p>
            <w:pPr>
              <w:ind w:right="17"/>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76.56</w:t>
            </w:r>
          </w:p>
        </w:tc>
        <w:tc>
          <w:tcPr>
            <w:tcW w:w="1355" w:type="dxa"/>
            <w:vAlign w:val="top"/>
          </w:tcPr>
          <w:p>
            <w:pPr>
              <w:ind w:right="24"/>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89.50</w:t>
            </w:r>
          </w:p>
        </w:tc>
      </w:tr>
      <w:tr>
        <w:trPr>
          <w:trHeight w:val="314" w:hRule="atLeast"/>
        </w:trPr>
        <w:tc>
          <w:tcPr>
            <w:tcW w:w="1766"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94" w:type="dxa"/>
            <w:vAlign w:val="top"/>
          </w:tcPr>
          <w:p>
            <w:pPr>
              <w:spacing w:before="81"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404" w:type="dxa"/>
            <w:vAlign w:val="top"/>
          </w:tcPr>
          <w:p>
            <w:pPr>
              <w:ind w:right="25"/>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36.80</w:t>
            </w:r>
          </w:p>
        </w:tc>
        <w:tc>
          <w:tcPr>
            <w:tcW w:w="1339" w:type="dxa"/>
            <w:vAlign w:val="top"/>
          </w:tcPr>
          <w:p>
            <w:pPr>
              <w:pStyle w:val="TableText"/>
              <w:ind w:left="917"/>
              <w:spacing w:before="100" w:line="186" w:lineRule="auto"/>
              <w:rPr>
                <w:sz w:val="13"/>
                <w:szCs w:val="13"/>
              </w:rPr>
            </w:pPr>
            <w:r>
              <w:rPr>
                <w:sz w:val="13"/>
                <w:szCs w:val="13"/>
                <w:color w:val="212529"/>
                <w:spacing w:val="4"/>
              </w:rPr>
              <w:t>36.</w:t>
            </w:r>
            <w:r>
              <w:rPr>
                <w:sz w:val="13"/>
                <w:szCs w:val="13"/>
                <w:color w:val="212529"/>
                <w:spacing w:val="10"/>
                <w:w w:val="101"/>
              </w:rPr>
              <w:t xml:space="preserve"> </w:t>
            </w:r>
            <w:r>
              <w:rPr>
                <w:sz w:val="13"/>
                <w:szCs w:val="13"/>
                <w:color w:val="212529"/>
                <w:spacing w:val="4"/>
              </w:rPr>
              <w:t>80</w:t>
            </w:r>
          </w:p>
        </w:tc>
        <w:tc>
          <w:tcPr>
            <w:tcW w:w="1355" w:type="dxa"/>
            <w:vAlign w:val="top"/>
          </w:tcPr>
          <w:p>
            <w:pPr>
              <w:pStyle w:val="TableText"/>
              <w:rPr/>
            </w:pPr>
            <w:r/>
          </w:p>
        </w:tc>
      </w:tr>
      <w:tr>
        <w:trPr>
          <w:trHeight w:val="314" w:hRule="atLeast"/>
        </w:trPr>
        <w:tc>
          <w:tcPr>
            <w:tcW w:w="1766" w:type="dxa"/>
            <w:vAlign w:val="top"/>
          </w:tcPr>
          <w:p>
            <w:pPr>
              <w:ind w:left="8"/>
              <w:spacing w:before="81" w:line="203"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294" w:type="dxa"/>
            <w:vAlign w:val="top"/>
          </w:tcPr>
          <w:p>
            <w:pPr>
              <w:spacing w:before="81"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404" w:type="dxa"/>
            <w:vAlign w:val="top"/>
          </w:tcPr>
          <w:p>
            <w:pPr>
              <w:ind w:right="25"/>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19.16</w:t>
            </w:r>
          </w:p>
        </w:tc>
        <w:tc>
          <w:tcPr>
            <w:tcW w:w="1339" w:type="dxa"/>
            <w:vAlign w:val="top"/>
          </w:tcPr>
          <w:p>
            <w:pPr>
              <w:ind w:right="17"/>
              <w:spacing w:before="8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19.16</w:t>
            </w:r>
          </w:p>
        </w:tc>
        <w:tc>
          <w:tcPr>
            <w:tcW w:w="1355" w:type="dxa"/>
            <w:vAlign w:val="top"/>
          </w:tcPr>
          <w:p>
            <w:pPr>
              <w:pStyle w:val="TableText"/>
              <w:rPr/>
            </w:pPr>
            <w:r/>
          </w:p>
        </w:tc>
      </w:tr>
      <w:tr>
        <w:trPr>
          <w:trHeight w:val="314" w:hRule="atLeast"/>
        </w:trPr>
        <w:tc>
          <w:tcPr>
            <w:tcW w:w="1766"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94" w:type="dxa"/>
            <w:vAlign w:val="top"/>
          </w:tcPr>
          <w:p>
            <w:pPr>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404" w:type="dxa"/>
            <w:vAlign w:val="top"/>
          </w:tcPr>
          <w:p>
            <w:pPr>
              <w:ind w:right="25"/>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12.81</w:t>
            </w:r>
          </w:p>
        </w:tc>
        <w:tc>
          <w:tcPr>
            <w:tcW w:w="1339" w:type="dxa"/>
            <w:vAlign w:val="top"/>
          </w:tcPr>
          <w:p>
            <w:pPr>
              <w:ind w:right="17"/>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12.81</w:t>
            </w:r>
          </w:p>
        </w:tc>
        <w:tc>
          <w:tcPr>
            <w:tcW w:w="1355" w:type="dxa"/>
            <w:vAlign w:val="top"/>
          </w:tcPr>
          <w:p>
            <w:pPr>
              <w:pStyle w:val="TableText"/>
              <w:rPr/>
            </w:pPr>
            <w:r/>
          </w:p>
        </w:tc>
      </w:tr>
      <w:tr>
        <w:trPr>
          <w:trHeight w:val="314" w:hRule="atLeast"/>
        </w:trPr>
        <w:tc>
          <w:tcPr>
            <w:tcW w:w="1766"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294" w:type="dxa"/>
            <w:vAlign w:val="top"/>
          </w:tcPr>
          <w:p>
            <w:pPr>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404" w:type="dxa"/>
            <w:vAlign w:val="top"/>
          </w:tcPr>
          <w:p>
            <w:pPr>
              <w:ind w:right="25"/>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4.83</w:t>
            </w:r>
          </w:p>
        </w:tc>
        <w:tc>
          <w:tcPr>
            <w:tcW w:w="1339" w:type="dxa"/>
            <w:vAlign w:val="top"/>
          </w:tcPr>
          <w:p>
            <w:pPr>
              <w:ind w:right="17"/>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4.83</w:t>
            </w:r>
          </w:p>
        </w:tc>
        <w:tc>
          <w:tcPr>
            <w:tcW w:w="1355" w:type="dxa"/>
            <w:vAlign w:val="top"/>
          </w:tcPr>
          <w:p>
            <w:pPr>
              <w:pStyle w:val="TableText"/>
              <w:rPr/>
            </w:pPr>
            <w:r/>
          </w:p>
        </w:tc>
      </w:tr>
      <w:tr>
        <w:trPr>
          <w:trHeight w:val="314" w:hRule="atLeast"/>
        </w:trPr>
        <w:tc>
          <w:tcPr>
            <w:tcW w:w="176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20899</w:t>
            </w:r>
          </w:p>
        </w:tc>
        <w:tc>
          <w:tcPr>
            <w:tcW w:w="3294" w:type="dxa"/>
            <w:vAlign w:val="top"/>
          </w:tcPr>
          <w:p>
            <w:pPr>
              <w:spacing w:before="83"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404" w:type="dxa"/>
            <w:vAlign w:val="top"/>
          </w:tcPr>
          <w:p>
            <w:pPr>
              <w:ind w:right="25"/>
              <w:spacing w:before="8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55.29</w:t>
            </w:r>
          </w:p>
        </w:tc>
        <w:tc>
          <w:tcPr>
            <w:tcW w:w="1339" w:type="dxa"/>
            <w:vAlign w:val="top"/>
          </w:tcPr>
          <w:p>
            <w:pPr>
              <w:pStyle w:val="TableText"/>
              <w:rPr/>
            </w:pPr>
            <w:r/>
          </w:p>
        </w:tc>
        <w:tc>
          <w:tcPr>
            <w:tcW w:w="1355" w:type="dxa"/>
            <w:vAlign w:val="top"/>
          </w:tcPr>
          <w:p>
            <w:pPr>
              <w:pStyle w:val="TableText"/>
              <w:ind w:left="926"/>
              <w:spacing w:before="102" w:line="186" w:lineRule="auto"/>
              <w:rPr>
                <w:sz w:val="13"/>
                <w:szCs w:val="13"/>
              </w:rPr>
            </w:pPr>
            <w:r>
              <w:rPr>
                <w:sz w:val="13"/>
                <w:szCs w:val="13"/>
                <w:color w:val="212529"/>
                <w:spacing w:val="3"/>
              </w:rPr>
              <w:t>55.</w:t>
            </w:r>
            <w:r>
              <w:rPr>
                <w:sz w:val="13"/>
                <w:szCs w:val="13"/>
                <w:color w:val="212529"/>
                <w:spacing w:val="15"/>
                <w:w w:val="101"/>
              </w:rPr>
              <w:t xml:space="preserve"> </w:t>
            </w:r>
            <w:r>
              <w:rPr>
                <w:sz w:val="13"/>
                <w:szCs w:val="13"/>
                <w:color w:val="212529"/>
                <w:spacing w:val="3"/>
              </w:rPr>
              <w:t>00</w:t>
            </w:r>
          </w:p>
        </w:tc>
      </w:tr>
      <w:tr>
        <w:trPr>
          <w:trHeight w:val="314" w:hRule="atLeast"/>
        </w:trPr>
        <w:tc>
          <w:tcPr>
            <w:tcW w:w="1766"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2089999</w:t>
            </w:r>
          </w:p>
        </w:tc>
        <w:tc>
          <w:tcPr>
            <w:tcW w:w="3294" w:type="dxa"/>
            <w:vAlign w:val="top"/>
          </w:tcPr>
          <w:p>
            <w:pPr>
              <w:spacing w:before="83"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404" w:type="dxa"/>
            <w:vAlign w:val="top"/>
          </w:tcPr>
          <w:p>
            <w:pPr>
              <w:ind w:right="2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55.29</w:t>
            </w:r>
          </w:p>
        </w:tc>
        <w:tc>
          <w:tcPr>
            <w:tcW w:w="1339" w:type="dxa"/>
            <w:vAlign w:val="top"/>
          </w:tcPr>
          <w:p>
            <w:pPr>
              <w:ind w:right="17"/>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0.29</w:t>
            </w:r>
          </w:p>
        </w:tc>
        <w:tc>
          <w:tcPr>
            <w:tcW w:w="1355" w:type="dxa"/>
            <w:vAlign w:val="top"/>
          </w:tcPr>
          <w:p>
            <w:pPr>
              <w:ind w:right="24"/>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55.00</w:t>
            </w:r>
          </w:p>
        </w:tc>
      </w:tr>
      <w:tr>
        <w:trPr>
          <w:trHeight w:val="314" w:hRule="atLeast"/>
        </w:trPr>
        <w:tc>
          <w:tcPr>
            <w:tcW w:w="1766"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94" w:type="dxa"/>
            <w:vAlign w:val="top"/>
          </w:tcPr>
          <w:p>
            <w:pPr>
              <w:spacing w:before="83"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404" w:type="dxa"/>
            <w:vAlign w:val="top"/>
          </w:tcPr>
          <w:p>
            <w:pPr>
              <w:ind w:right="25"/>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9.97</w:t>
            </w:r>
          </w:p>
        </w:tc>
        <w:tc>
          <w:tcPr>
            <w:tcW w:w="1339" w:type="dxa"/>
            <w:vAlign w:val="top"/>
          </w:tcPr>
          <w:p>
            <w:pPr>
              <w:pStyle w:val="TableText"/>
              <w:ind w:left="996"/>
              <w:spacing w:before="102" w:line="186" w:lineRule="auto"/>
              <w:rPr>
                <w:sz w:val="13"/>
                <w:szCs w:val="13"/>
              </w:rPr>
            </w:pPr>
            <w:r>
              <w:rPr>
                <w:sz w:val="13"/>
                <w:szCs w:val="13"/>
                <w:color w:val="212529"/>
                <w:spacing w:val="3"/>
              </w:rPr>
              <w:t>9.</w:t>
            </w:r>
            <w:r>
              <w:rPr>
                <w:sz w:val="13"/>
                <w:szCs w:val="13"/>
                <w:color w:val="212529"/>
                <w:spacing w:val="10"/>
                <w:w w:val="102"/>
              </w:rPr>
              <w:t xml:space="preserve"> </w:t>
            </w:r>
            <w:r>
              <w:rPr>
                <w:sz w:val="13"/>
                <w:szCs w:val="13"/>
                <w:color w:val="212529"/>
                <w:spacing w:val="3"/>
              </w:rPr>
              <w:t>97</w:t>
            </w:r>
          </w:p>
        </w:tc>
        <w:tc>
          <w:tcPr>
            <w:tcW w:w="1355" w:type="dxa"/>
            <w:vAlign w:val="top"/>
          </w:tcPr>
          <w:p>
            <w:pPr>
              <w:pStyle w:val="TableText"/>
              <w:rPr/>
            </w:pPr>
            <w:r/>
          </w:p>
        </w:tc>
      </w:tr>
      <w:tr>
        <w:trPr>
          <w:trHeight w:val="314" w:hRule="atLeast"/>
        </w:trPr>
        <w:tc>
          <w:tcPr>
            <w:tcW w:w="176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294" w:type="dxa"/>
            <w:vAlign w:val="top"/>
          </w:tcPr>
          <w:p>
            <w:pPr>
              <w:spacing w:before="83"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404" w:type="dxa"/>
            <w:vAlign w:val="top"/>
          </w:tcPr>
          <w:p>
            <w:pPr>
              <w:ind w:right="25"/>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9.97</w:t>
            </w:r>
          </w:p>
        </w:tc>
        <w:tc>
          <w:tcPr>
            <w:tcW w:w="1339" w:type="dxa"/>
            <w:vAlign w:val="top"/>
          </w:tcPr>
          <w:p>
            <w:pPr>
              <w:pStyle w:val="TableText"/>
              <w:ind w:left="996"/>
              <w:spacing w:before="103" w:line="186" w:lineRule="auto"/>
              <w:rPr>
                <w:sz w:val="13"/>
                <w:szCs w:val="13"/>
              </w:rPr>
            </w:pPr>
            <w:r>
              <w:rPr>
                <w:sz w:val="13"/>
                <w:szCs w:val="13"/>
                <w:color w:val="212529"/>
                <w:spacing w:val="3"/>
              </w:rPr>
              <w:t>9.</w:t>
            </w:r>
            <w:r>
              <w:rPr>
                <w:sz w:val="13"/>
                <w:szCs w:val="13"/>
                <w:color w:val="212529"/>
                <w:spacing w:val="10"/>
                <w:w w:val="102"/>
              </w:rPr>
              <w:t xml:space="preserve"> </w:t>
            </w:r>
            <w:r>
              <w:rPr>
                <w:sz w:val="13"/>
                <w:szCs w:val="13"/>
                <w:color w:val="212529"/>
                <w:spacing w:val="3"/>
              </w:rPr>
              <w:t>97</w:t>
            </w:r>
          </w:p>
        </w:tc>
        <w:tc>
          <w:tcPr>
            <w:tcW w:w="1355" w:type="dxa"/>
            <w:vAlign w:val="top"/>
          </w:tcPr>
          <w:p>
            <w:pPr>
              <w:pStyle w:val="TableText"/>
              <w:rPr/>
            </w:pPr>
            <w:r/>
          </w:p>
        </w:tc>
      </w:tr>
      <w:tr>
        <w:trPr>
          <w:trHeight w:val="314" w:hRule="atLeast"/>
        </w:trPr>
        <w:tc>
          <w:tcPr>
            <w:tcW w:w="1766"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94" w:type="dxa"/>
            <w:vAlign w:val="top"/>
          </w:tcPr>
          <w:p>
            <w:pPr>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404" w:type="dxa"/>
            <w:vAlign w:val="top"/>
          </w:tcPr>
          <w:p>
            <w:pPr>
              <w:ind w:right="25"/>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6.86</w:t>
            </w:r>
          </w:p>
        </w:tc>
        <w:tc>
          <w:tcPr>
            <w:tcW w:w="1339" w:type="dxa"/>
            <w:vAlign w:val="top"/>
          </w:tcPr>
          <w:p>
            <w:pPr>
              <w:ind w:right="17"/>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6.86</w:t>
            </w:r>
          </w:p>
        </w:tc>
        <w:tc>
          <w:tcPr>
            <w:tcW w:w="1355" w:type="dxa"/>
            <w:vAlign w:val="top"/>
          </w:tcPr>
          <w:p>
            <w:pPr>
              <w:pStyle w:val="TableText"/>
              <w:rPr/>
            </w:pPr>
            <w:r/>
          </w:p>
        </w:tc>
      </w:tr>
      <w:tr>
        <w:trPr>
          <w:trHeight w:val="314" w:hRule="atLeast"/>
        </w:trPr>
        <w:tc>
          <w:tcPr>
            <w:tcW w:w="1766"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294" w:type="dxa"/>
            <w:vAlign w:val="top"/>
          </w:tcPr>
          <w:p>
            <w:pPr>
              <w:ind w:left="3"/>
              <w:spacing w:before="84"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404" w:type="dxa"/>
            <w:vAlign w:val="top"/>
          </w:tcPr>
          <w:p>
            <w:pPr>
              <w:ind w:right="25"/>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3.10</w:t>
            </w:r>
          </w:p>
        </w:tc>
        <w:tc>
          <w:tcPr>
            <w:tcW w:w="1339" w:type="dxa"/>
            <w:vAlign w:val="top"/>
          </w:tcPr>
          <w:p>
            <w:pPr>
              <w:ind w:right="17"/>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3.10</w:t>
            </w:r>
          </w:p>
        </w:tc>
        <w:tc>
          <w:tcPr>
            <w:tcW w:w="1355" w:type="dxa"/>
            <w:vAlign w:val="top"/>
          </w:tcPr>
          <w:p>
            <w:pPr>
              <w:pStyle w:val="TableText"/>
              <w:rPr/>
            </w:pPr>
            <w:r/>
          </w:p>
        </w:tc>
      </w:tr>
      <w:tr>
        <w:trPr>
          <w:trHeight w:val="314" w:hRule="atLeast"/>
        </w:trPr>
        <w:tc>
          <w:tcPr>
            <w:tcW w:w="176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94" w:type="dxa"/>
            <w:vAlign w:val="top"/>
          </w:tcPr>
          <w:p>
            <w:pPr>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404" w:type="dxa"/>
            <w:vAlign w:val="top"/>
          </w:tcPr>
          <w:p>
            <w:pPr>
              <w:ind w:right="25"/>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339" w:type="dxa"/>
            <w:vAlign w:val="top"/>
          </w:tcPr>
          <w:p>
            <w:pPr>
              <w:pStyle w:val="TableText"/>
              <w:ind w:left="926"/>
              <w:spacing w:before="103" w:line="162" w:lineRule="auto"/>
              <w:rPr>
                <w:sz w:val="15"/>
                <w:szCs w:val="15"/>
              </w:rPr>
            </w:pPr>
            <w:r>
              <w:rPr>
                <w:sz w:val="15"/>
                <w:szCs w:val="15"/>
                <w:color w:val="212529"/>
                <w:spacing w:val="1"/>
              </w:rPr>
              <w:t>10.00</w:t>
            </w:r>
          </w:p>
        </w:tc>
        <w:tc>
          <w:tcPr>
            <w:tcW w:w="1355" w:type="dxa"/>
            <w:vAlign w:val="top"/>
          </w:tcPr>
          <w:p>
            <w:pPr>
              <w:pStyle w:val="TableText"/>
              <w:rPr/>
            </w:pPr>
            <w:r/>
          </w:p>
        </w:tc>
      </w:tr>
      <w:tr>
        <w:trPr>
          <w:trHeight w:val="314" w:hRule="atLeast"/>
        </w:trPr>
        <w:tc>
          <w:tcPr>
            <w:tcW w:w="1766"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94" w:type="dxa"/>
            <w:vAlign w:val="top"/>
          </w:tcPr>
          <w:p>
            <w:pPr>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404" w:type="dxa"/>
            <w:vAlign w:val="top"/>
          </w:tcPr>
          <w:p>
            <w:pPr>
              <w:ind w:right="25"/>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339" w:type="dxa"/>
            <w:vAlign w:val="top"/>
          </w:tcPr>
          <w:p>
            <w:pPr>
              <w:pStyle w:val="TableText"/>
              <w:ind w:left="926"/>
              <w:spacing w:before="103" w:line="162" w:lineRule="auto"/>
              <w:rPr>
                <w:sz w:val="15"/>
                <w:szCs w:val="15"/>
              </w:rPr>
            </w:pPr>
            <w:r>
              <w:rPr>
                <w:sz w:val="15"/>
                <w:szCs w:val="15"/>
                <w:color w:val="212529"/>
                <w:spacing w:val="1"/>
              </w:rPr>
              <w:t>10.00</w:t>
            </w:r>
          </w:p>
        </w:tc>
        <w:tc>
          <w:tcPr>
            <w:tcW w:w="1355" w:type="dxa"/>
            <w:vAlign w:val="top"/>
          </w:tcPr>
          <w:p>
            <w:pPr>
              <w:pStyle w:val="TableText"/>
              <w:rPr/>
            </w:pPr>
            <w:r/>
          </w:p>
        </w:tc>
      </w:tr>
      <w:tr>
        <w:trPr>
          <w:trHeight w:val="319" w:hRule="atLeast"/>
        </w:trPr>
        <w:tc>
          <w:tcPr>
            <w:tcW w:w="1766"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94" w:type="dxa"/>
            <w:vAlign w:val="top"/>
          </w:tcPr>
          <w:p>
            <w:pPr>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404" w:type="dxa"/>
            <w:vAlign w:val="top"/>
          </w:tcPr>
          <w:p>
            <w:pPr>
              <w:ind w:right="25"/>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339" w:type="dxa"/>
            <w:vAlign w:val="top"/>
          </w:tcPr>
          <w:p>
            <w:pPr>
              <w:ind w:right="17"/>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355" w:type="dxa"/>
            <w:vAlign w:val="top"/>
          </w:tcPr>
          <w:p>
            <w:pPr>
              <w:pStyle w:val="TableText"/>
              <w:rPr/>
            </w:pPr>
            <w:r/>
          </w:p>
        </w:tc>
      </w:tr>
    </w:tbl>
    <w:p>
      <w:pPr>
        <w:pStyle w:val="BodyText"/>
        <w:rPr/>
      </w:pPr>
      <w:r/>
    </w:p>
    <w:p>
      <w:pPr>
        <w:sectPr>
          <w:headerReference w:type="default" r:id="rId12"/>
          <w:footerReference w:type="default" r:id="rId13"/>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4" w:hRule="atLeast"/>
        </w:trPr>
        <w:tc>
          <w:tcPr>
            <w:tcW w:w="19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3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left="1198"/>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84" w:type="dxa"/>
            <w:vAlign w:val="top"/>
            <w:gridSpan w:val="6"/>
            <w:tcBorders>
              <w:top w:val="single" w:color="FFFFFF" w:sz="4" w:space="0"/>
              <w:left w:val="single" w:color="FFFFFF" w:sz="2" w:space="0"/>
              <w:right w:val="single" w:color="FFFFFF" w:sz="2" w:space="0"/>
            </w:tcBorders>
          </w:tcPr>
          <w:p>
            <w:pPr>
              <w:ind w:left="9"/>
              <w:spacing w:before="123" w:line="233" w:lineRule="auto"/>
              <w:rPr>
                <w:rFonts w:ascii="SimSun" w:hAnsi="SimSun" w:eastAsia="SimSun" w:cs="SimSun"/>
                <w:sz w:val="12"/>
                <w:szCs w:val="12"/>
              </w:rPr>
            </w:pPr>
            <w:r>
              <w:rPr>
                <w:rFonts w:ascii="SimSun" w:hAnsi="SimSun" w:eastAsia="SimSun" w:cs="SimSun"/>
                <w:sz w:val="12"/>
                <w:szCs w:val="12"/>
                <w:color w:val="212529"/>
                <w:spacing w:val="9"/>
              </w:rPr>
              <w:t>单位名称：长治高新区社会保险中心</w:t>
            </w:r>
          </w:p>
        </w:tc>
        <w:tc>
          <w:tcPr>
            <w:tcW w:w="1074" w:type="dxa"/>
            <w:vAlign w:val="top"/>
            <w:tcBorders>
              <w:top w:val="single" w:color="FFFFFF" w:sz="4" w:space="0"/>
              <w:left w:val="single" w:color="FFFFFF" w:sz="2" w:space="0"/>
              <w:right w:val="single" w:color="FFFFFF" w:sz="2" w:space="0"/>
            </w:tcBorders>
          </w:tcPr>
          <w:p>
            <w:pPr>
              <w:ind w:left="401"/>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49" w:type="dxa"/>
            <w:vAlign w:val="top"/>
            <w:vMerge w:val="restart"/>
            <w:tcBorders>
              <w:bottom w:val="nil"/>
            </w:tcBorders>
          </w:tcPr>
          <w:p>
            <w:pPr>
              <w:ind w:left="80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48" w:type="dxa"/>
            <w:vAlign w:val="top"/>
            <w:vMerge w:val="restart"/>
            <w:tcBorders>
              <w:bottom w:val="nil"/>
            </w:tcBorders>
          </w:tcPr>
          <w:p>
            <w:pPr>
              <w:ind w:left="349"/>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30" w:type="dxa"/>
            <w:vAlign w:val="top"/>
            <w:vMerge w:val="restart"/>
            <w:tcBorders>
              <w:bottom w:val="nil"/>
            </w:tcBorders>
          </w:tcPr>
          <w:p>
            <w:pPr>
              <w:ind w:left="84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31" w:type="dxa"/>
            <w:vAlign w:val="top"/>
            <w:gridSpan w:val="4"/>
          </w:tcPr>
          <w:p>
            <w:pPr>
              <w:ind w:left="188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49" w:type="dxa"/>
            <w:vAlign w:val="top"/>
            <w:vMerge w:val="continue"/>
            <w:tcBorders>
              <w:top w:val="nil"/>
            </w:tcBorders>
          </w:tcPr>
          <w:p>
            <w:pPr>
              <w:pStyle w:val="TableText"/>
              <w:rPr/>
            </w:pPr>
            <w:r/>
          </w:p>
        </w:tc>
        <w:tc>
          <w:tcPr>
            <w:tcW w:w="1048" w:type="dxa"/>
            <w:vAlign w:val="top"/>
            <w:vMerge w:val="continue"/>
            <w:tcBorders>
              <w:top w:val="nil"/>
            </w:tcBorders>
          </w:tcPr>
          <w:p>
            <w:pPr>
              <w:pStyle w:val="TableText"/>
              <w:rPr/>
            </w:pPr>
            <w:r/>
          </w:p>
        </w:tc>
        <w:tc>
          <w:tcPr>
            <w:tcW w:w="2030" w:type="dxa"/>
            <w:vAlign w:val="top"/>
            <w:vMerge w:val="continue"/>
            <w:tcBorders>
              <w:top w:val="nil"/>
            </w:tcBorders>
          </w:tcPr>
          <w:p>
            <w:pPr>
              <w:pStyle w:val="TableText"/>
              <w:rPr/>
            </w:pPr>
            <w:r/>
          </w:p>
        </w:tc>
        <w:tc>
          <w:tcPr>
            <w:tcW w:w="1048" w:type="dxa"/>
            <w:vAlign w:val="top"/>
          </w:tcPr>
          <w:p>
            <w:pPr>
              <w:ind w:left="354"/>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69" w:type="dxa"/>
            <w:vAlign w:val="top"/>
          </w:tcPr>
          <w:p>
            <w:pPr>
              <w:ind w:left="38"/>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40" w:type="dxa"/>
            <w:vAlign w:val="top"/>
          </w:tcPr>
          <w:p>
            <w:pPr>
              <w:ind w:left="57"/>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297"/>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预算</w:t>
            </w:r>
          </w:p>
        </w:tc>
        <w:tc>
          <w:tcPr>
            <w:tcW w:w="1074" w:type="dxa"/>
            <w:vAlign w:val="top"/>
          </w:tcPr>
          <w:p>
            <w:pPr>
              <w:ind w:left="56"/>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61"/>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ind w:right="21"/>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278.12</w:t>
            </w:r>
          </w:p>
        </w:tc>
        <w:tc>
          <w:tcPr>
            <w:tcW w:w="2030" w:type="dxa"/>
            <w:vAlign w:val="top"/>
          </w:tcPr>
          <w:p>
            <w:pPr>
              <w:ind w:left="10"/>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ind w:left="11"/>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3"/>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21" w:right="75"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48"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258.15</w:t>
            </w:r>
          </w:p>
        </w:tc>
        <w:tc>
          <w:tcPr>
            <w:tcW w:w="1069" w:type="dxa"/>
            <w:vAlign w:val="top"/>
          </w:tcPr>
          <w:p>
            <w:pPr>
              <w:ind w:right="18"/>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48"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9.97</w:t>
            </w:r>
          </w:p>
        </w:tc>
        <w:tc>
          <w:tcPr>
            <w:tcW w:w="1069" w:type="dxa"/>
            <w:vAlign w:val="top"/>
          </w:tcPr>
          <w:p>
            <w:pPr>
              <w:ind w:right="18"/>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9.97</w:t>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48"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069" w:type="dxa"/>
            <w:vAlign w:val="top"/>
          </w:tcPr>
          <w:p>
            <w:pPr>
              <w:ind w:right="18"/>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9" w:right="75"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0" w:right="75"/>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11"/>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ind w:left="8" w:right="75"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9"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4" w:hRule="atLeast"/>
        </w:trPr>
        <w:tc>
          <w:tcPr>
            <w:tcW w:w="1949" w:type="dxa"/>
            <w:vAlign w:val="top"/>
          </w:tcPr>
          <w:p>
            <w:pPr>
              <w:ind w:left="478"/>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48" w:type="dxa"/>
            <w:vAlign w:val="top"/>
          </w:tcPr>
          <w:p>
            <w:pPr>
              <w:pStyle w:val="TableText"/>
              <w:ind w:left="273"/>
              <w:spacing w:before="137" w:line="187" w:lineRule="auto"/>
              <w:rPr>
                <w:sz w:val="13"/>
                <w:szCs w:val="13"/>
              </w:rPr>
            </w:pPr>
            <w:r>
              <w:rPr>
                <w:sz w:val="13"/>
                <w:szCs w:val="13"/>
                <w:color w:val="212529"/>
                <w:spacing w:val="2"/>
              </w:rPr>
              <w:t>278.</w:t>
            </w:r>
            <w:r>
              <w:rPr>
                <w:sz w:val="13"/>
                <w:szCs w:val="13"/>
                <w:color w:val="212529"/>
                <w:spacing w:val="27"/>
              </w:rPr>
              <w:t xml:space="preserve"> </w:t>
            </w:r>
            <w:r>
              <w:rPr>
                <w:sz w:val="13"/>
                <w:szCs w:val="13"/>
                <w:color w:val="212529"/>
                <w:spacing w:val="2"/>
              </w:rPr>
              <w:t>12</w:t>
            </w:r>
          </w:p>
        </w:tc>
        <w:tc>
          <w:tcPr>
            <w:tcW w:w="2030" w:type="dxa"/>
            <w:vAlign w:val="top"/>
          </w:tcPr>
          <w:p>
            <w:pPr>
              <w:ind w:left="51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48" w:type="dxa"/>
            <w:vAlign w:val="top"/>
          </w:tcPr>
          <w:p>
            <w:pPr>
              <w:pStyle w:val="TableText"/>
              <w:ind w:left="271"/>
              <w:spacing w:before="137" w:line="187" w:lineRule="auto"/>
              <w:rPr>
                <w:sz w:val="13"/>
                <w:szCs w:val="13"/>
              </w:rPr>
            </w:pPr>
            <w:r>
              <w:rPr>
                <w:sz w:val="13"/>
                <w:szCs w:val="13"/>
                <w:color w:val="212529"/>
                <w:spacing w:val="2"/>
              </w:rPr>
              <w:t>278.</w:t>
            </w:r>
            <w:r>
              <w:rPr>
                <w:sz w:val="13"/>
                <w:szCs w:val="13"/>
                <w:color w:val="212529"/>
                <w:spacing w:val="27"/>
              </w:rPr>
              <w:t xml:space="preserve"> </w:t>
            </w:r>
            <w:r>
              <w:rPr>
                <w:sz w:val="13"/>
                <w:szCs w:val="13"/>
                <w:color w:val="212529"/>
                <w:spacing w:val="2"/>
              </w:rPr>
              <w:t>12</w:t>
            </w:r>
          </w:p>
        </w:tc>
        <w:tc>
          <w:tcPr>
            <w:tcW w:w="1069" w:type="dxa"/>
            <w:vAlign w:val="top"/>
          </w:tcPr>
          <w:p>
            <w:pPr>
              <w:pStyle w:val="TableText"/>
              <w:ind w:left="286"/>
              <w:spacing w:before="137" w:line="173" w:lineRule="auto"/>
              <w:rPr>
                <w:sz w:val="14"/>
                <w:szCs w:val="14"/>
              </w:rPr>
            </w:pPr>
            <w:r>
              <w:rPr>
                <w:sz w:val="14"/>
                <w:szCs w:val="14"/>
                <w:color w:val="212529"/>
              </w:rPr>
              <w:t>278.</w:t>
            </w:r>
            <w:r>
              <w:rPr>
                <w:sz w:val="14"/>
                <w:szCs w:val="14"/>
                <w:color w:val="212529"/>
                <w:spacing w:val="6"/>
              </w:rPr>
              <w:t xml:space="preserve"> </w:t>
            </w:r>
            <w:r>
              <w:rPr>
                <w:sz w:val="14"/>
                <w:szCs w:val="14"/>
                <w:color w:val="212529"/>
              </w:rPr>
              <w:t>12</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4"/>
          <w:footerReference w:type="default" r:id="rId15"/>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49"/>
        <w:gridCol w:w="1048"/>
        <w:gridCol w:w="2030"/>
        <w:gridCol w:w="1048"/>
        <w:gridCol w:w="1069"/>
        <w:gridCol w:w="940"/>
        <w:gridCol w:w="1074"/>
      </w:tblGrid>
      <w:tr>
        <w:trPr>
          <w:trHeight w:val="383" w:hRule="atLeast"/>
        </w:trPr>
        <w:tc>
          <w:tcPr>
            <w:tcW w:w="1949"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048" w:type="dxa"/>
            <w:vAlign w:val="top"/>
          </w:tcPr>
          <w:p>
            <w:pPr>
              <w:pStyle w:val="TableText"/>
              <w:rPr/>
            </w:pPr>
            <w:r/>
          </w:p>
        </w:tc>
        <w:tc>
          <w:tcPr>
            <w:tcW w:w="2030" w:type="dxa"/>
            <w:vAlign w:val="top"/>
          </w:tcPr>
          <w:p>
            <w:pPr>
              <w:ind w:left="9"/>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7" w:hRule="atLeast"/>
        </w:trPr>
        <w:tc>
          <w:tcPr>
            <w:tcW w:w="1949"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78" w:hRule="atLeast"/>
        </w:trPr>
        <w:tc>
          <w:tcPr>
            <w:tcW w:w="1949" w:type="dxa"/>
            <w:vAlign w:val="top"/>
          </w:tcPr>
          <w:p>
            <w:pPr>
              <w:pStyle w:val="TableText"/>
              <w:rPr/>
            </w:pPr>
            <w:r/>
          </w:p>
        </w:tc>
        <w:tc>
          <w:tcPr>
            <w:tcW w:w="1048" w:type="dxa"/>
            <w:vAlign w:val="top"/>
          </w:tcPr>
          <w:p>
            <w:pPr>
              <w:pStyle w:val="TableText"/>
              <w:rPr/>
            </w:pPr>
            <w:r/>
          </w:p>
        </w:tc>
        <w:tc>
          <w:tcPr>
            <w:tcW w:w="2030" w:type="dxa"/>
            <w:vAlign w:val="top"/>
          </w:tcPr>
          <w:p>
            <w:pPr>
              <w:pStyle w:val="TableText"/>
              <w:rPr/>
            </w:pPr>
            <w:r/>
          </w:p>
        </w:tc>
        <w:tc>
          <w:tcPr>
            <w:tcW w:w="1048" w:type="dxa"/>
            <w:vAlign w:val="top"/>
          </w:tcPr>
          <w:p>
            <w:pPr>
              <w:pStyle w:val="TableText"/>
              <w:rPr/>
            </w:pPr>
            <w:r/>
          </w:p>
        </w:tc>
        <w:tc>
          <w:tcPr>
            <w:tcW w:w="1069" w:type="dxa"/>
            <w:vAlign w:val="top"/>
          </w:tcPr>
          <w:p>
            <w:pPr>
              <w:pStyle w:val="TableText"/>
              <w:rPr/>
            </w:pPr>
            <w:r/>
          </w:p>
        </w:tc>
        <w:tc>
          <w:tcPr>
            <w:tcW w:w="940" w:type="dxa"/>
            <w:vAlign w:val="top"/>
          </w:tcPr>
          <w:p>
            <w:pPr>
              <w:pStyle w:val="TableText"/>
              <w:rPr/>
            </w:pPr>
            <w:r/>
          </w:p>
        </w:tc>
        <w:tc>
          <w:tcPr>
            <w:tcW w:w="1074" w:type="dxa"/>
            <w:vAlign w:val="top"/>
          </w:tcPr>
          <w:p>
            <w:pPr>
              <w:pStyle w:val="TableText"/>
              <w:rPr/>
            </w:pPr>
            <w:r/>
          </w:p>
        </w:tc>
      </w:tr>
      <w:tr>
        <w:trPr>
          <w:trHeight w:val="383" w:hRule="atLeast"/>
        </w:trPr>
        <w:tc>
          <w:tcPr>
            <w:tcW w:w="1949" w:type="dxa"/>
            <w:vAlign w:val="top"/>
          </w:tcPr>
          <w:p>
            <w:pPr>
              <w:ind w:left="64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48" w:type="dxa"/>
            <w:vAlign w:val="top"/>
          </w:tcPr>
          <w:p>
            <w:pPr>
              <w:pStyle w:val="TableText"/>
              <w:ind w:left="273"/>
              <w:spacing w:before="135" w:line="187" w:lineRule="auto"/>
              <w:rPr>
                <w:sz w:val="13"/>
                <w:szCs w:val="13"/>
              </w:rPr>
            </w:pPr>
            <w:r>
              <w:rPr>
                <w:sz w:val="13"/>
                <w:szCs w:val="13"/>
                <w:color w:val="212529"/>
                <w:spacing w:val="2"/>
              </w:rPr>
              <w:t>278.</w:t>
            </w:r>
            <w:r>
              <w:rPr>
                <w:sz w:val="13"/>
                <w:szCs w:val="13"/>
                <w:color w:val="212529"/>
                <w:spacing w:val="27"/>
              </w:rPr>
              <w:t xml:space="preserve"> </w:t>
            </w:r>
            <w:r>
              <w:rPr>
                <w:sz w:val="13"/>
                <w:szCs w:val="13"/>
                <w:color w:val="212529"/>
                <w:spacing w:val="2"/>
              </w:rPr>
              <w:t>12</w:t>
            </w:r>
          </w:p>
        </w:tc>
        <w:tc>
          <w:tcPr>
            <w:tcW w:w="2030" w:type="dxa"/>
            <w:vAlign w:val="top"/>
          </w:tcPr>
          <w:p>
            <w:pPr>
              <w:ind w:left="67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48" w:type="dxa"/>
            <w:vAlign w:val="top"/>
          </w:tcPr>
          <w:p>
            <w:pPr>
              <w:pStyle w:val="TableText"/>
              <w:ind w:left="271"/>
              <w:spacing w:before="135" w:line="187" w:lineRule="auto"/>
              <w:rPr>
                <w:sz w:val="13"/>
                <w:szCs w:val="13"/>
              </w:rPr>
            </w:pPr>
            <w:r>
              <w:rPr>
                <w:sz w:val="13"/>
                <w:szCs w:val="13"/>
                <w:color w:val="212529"/>
                <w:spacing w:val="2"/>
              </w:rPr>
              <w:t>278.</w:t>
            </w:r>
            <w:r>
              <w:rPr>
                <w:sz w:val="13"/>
                <w:szCs w:val="13"/>
                <w:color w:val="212529"/>
                <w:spacing w:val="27"/>
              </w:rPr>
              <w:t xml:space="preserve"> </w:t>
            </w:r>
            <w:r>
              <w:rPr>
                <w:sz w:val="13"/>
                <w:szCs w:val="13"/>
                <w:color w:val="212529"/>
                <w:spacing w:val="2"/>
              </w:rPr>
              <w:t>12</w:t>
            </w:r>
          </w:p>
        </w:tc>
        <w:tc>
          <w:tcPr>
            <w:tcW w:w="1069" w:type="dxa"/>
            <w:vAlign w:val="top"/>
          </w:tcPr>
          <w:p>
            <w:pPr>
              <w:pStyle w:val="TableText"/>
              <w:ind w:left="286"/>
              <w:spacing w:before="135" w:line="173" w:lineRule="auto"/>
              <w:rPr>
                <w:sz w:val="14"/>
                <w:szCs w:val="14"/>
              </w:rPr>
            </w:pPr>
            <w:r>
              <w:rPr>
                <w:sz w:val="14"/>
                <w:szCs w:val="14"/>
                <w:color w:val="212529"/>
              </w:rPr>
              <w:t>278.</w:t>
            </w:r>
            <w:r>
              <w:rPr>
                <w:sz w:val="14"/>
                <w:szCs w:val="14"/>
                <w:color w:val="212529"/>
                <w:spacing w:val="6"/>
              </w:rPr>
              <w:t xml:space="preserve"> </w:t>
            </w:r>
            <w:r>
              <w:rPr>
                <w:sz w:val="14"/>
                <w:szCs w:val="14"/>
                <w:color w:val="212529"/>
              </w:rPr>
              <w:t>12</w:t>
            </w:r>
          </w:p>
        </w:tc>
        <w:tc>
          <w:tcPr>
            <w:tcW w:w="940" w:type="dxa"/>
            <w:vAlign w:val="top"/>
          </w:tcPr>
          <w:p>
            <w:pPr>
              <w:pStyle w:val="TableText"/>
              <w:rPr/>
            </w:pPr>
            <w:r/>
          </w:p>
        </w:tc>
        <w:tc>
          <w:tcPr>
            <w:tcW w:w="1074" w:type="dxa"/>
            <w:vAlign w:val="top"/>
          </w:tcPr>
          <w:p>
            <w:pPr>
              <w:pStyle w:val="TableText"/>
              <w:rPr/>
            </w:pPr>
            <w:r/>
          </w:p>
        </w:tc>
      </w:tr>
    </w:tbl>
    <w:p>
      <w:pPr>
        <w:pStyle w:val="BodyText"/>
        <w:rPr/>
      </w:pPr>
      <w:r/>
    </w:p>
    <w:p>
      <w:pPr>
        <w:sectPr>
          <w:headerReference w:type="default" r:id="rId16"/>
          <w:footerReference w:type="default" r:id="rId17"/>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58"/>
        <w:gridCol w:w="3121"/>
        <w:gridCol w:w="1533"/>
        <w:gridCol w:w="1393"/>
        <w:gridCol w:w="1453"/>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705"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单位名称：长治高新区社会保险中心</w:t>
            </w:r>
          </w:p>
        </w:tc>
        <w:tc>
          <w:tcPr>
            <w:tcW w:w="1453" w:type="dxa"/>
            <w:vAlign w:val="top"/>
            <w:tcBorders>
              <w:top w:val="single" w:color="FFFFFF" w:sz="4" w:space="0"/>
              <w:left w:val="single" w:color="FFFFFF" w:sz="2" w:space="0"/>
              <w:right w:val="single" w:color="FFFFFF" w:sz="2" w:space="0"/>
            </w:tcBorders>
          </w:tcPr>
          <w:p>
            <w:pPr>
              <w:ind w:left="780"/>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779" w:type="dxa"/>
            <w:vAlign w:val="top"/>
            <w:gridSpan w:val="2"/>
          </w:tcPr>
          <w:p>
            <w:pPr>
              <w:ind w:left="2216"/>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379" w:type="dxa"/>
            <w:vAlign w:val="top"/>
            <w:gridSpan w:val="3"/>
          </w:tcPr>
          <w:p>
            <w:pPr>
              <w:ind w:left="169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658" w:type="dxa"/>
            <w:vAlign w:val="top"/>
          </w:tcPr>
          <w:p>
            <w:pPr>
              <w:ind w:left="49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121" w:type="dxa"/>
            <w:vAlign w:val="top"/>
          </w:tcPr>
          <w:p>
            <w:pPr>
              <w:ind w:left="122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33" w:type="dxa"/>
            <w:vAlign w:val="top"/>
          </w:tcPr>
          <w:p>
            <w:pPr>
              <w:ind w:left="593"/>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93" w:type="dxa"/>
            <w:vAlign w:val="top"/>
          </w:tcPr>
          <w:p>
            <w:pPr>
              <w:ind w:left="359"/>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453" w:type="dxa"/>
            <w:vAlign w:val="top"/>
          </w:tcPr>
          <w:p>
            <w:pPr>
              <w:ind w:left="393"/>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779" w:type="dxa"/>
            <w:vAlign w:val="top"/>
            <w:gridSpan w:val="2"/>
          </w:tcPr>
          <w:p>
            <w:pPr>
              <w:ind w:left="2218"/>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33" w:type="dxa"/>
            <w:vAlign w:val="top"/>
          </w:tcPr>
          <w:p>
            <w:pPr>
              <w:pStyle w:val="TableText"/>
              <w:ind w:left="1019"/>
              <w:spacing w:before="87" w:line="186" w:lineRule="auto"/>
              <w:rPr>
                <w:sz w:val="13"/>
                <w:szCs w:val="13"/>
              </w:rPr>
            </w:pPr>
            <w:r>
              <w:rPr>
                <w:sz w:val="13"/>
                <w:szCs w:val="13"/>
                <w:color w:val="212529"/>
                <w:spacing w:val="2"/>
              </w:rPr>
              <w:t>278.</w:t>
            </w:r>
            <w:r>
              <w:rPr>
                <w:sz w:val="13"/>
                <w:szCs w:val="13"/>
                <w:color w:val="212529"/>
                <w:spacing w:val="27"/>
              </w:rPr>
              <w:t xml:space="preserve"> </w:t>
            </w:r>
            <w:r>
              <w:rPr>
                <w:sz w:val="13"/>
                <w:szCs w:val="13"/>
                <w:color w:val="212529"/>
                <w:spacing w:val="2"/>
              </w:rPr>
              <w:t>12</w:t>
            </w:r>
          </w:p>
        </w:tc>
        <w:tc>
          <w:tcPr>
            <w:tcW w:w="1393" w:type="dxa"/>
            <w:vAlign w:val="top"/>
          </w:tcPr>
          <w:p>
            <w:pPr>
              <w:pStyle w:val="TableText"/>
              <w:ind w:left="899"/>
              <w:spacing w:before="86" w:line="162" w:lineRule="auto"/>
              <w:rPr>
                <w:sz w:val="15"/>
                <w:szCs w:val="15"/>
              </w:rPr>
            </w:pPr>
            <w:r>
              <w:rPr>
                <w:sz w:val="15"/>
                <w:szCs w:val="15"/>
                <w:color w:val="212529"/>
              </w:rPr>
              <w:t>133.62</w:t>
            </w:r>
          </w:p>
        </w:tc>
        <w:tc>
          <w:tcPr>
            <w:tcW w:w="1453" w:type="dxa"/>
            <w:vAlign w:val="top"/>
          </w:tcPr>
          <w:p>
            <w:pPr>
              <w:pStyle w:val="TableText"/>
              <w:ind w:left="952"/>
              <w:spacing w:before="87" w:line="186" w:lineRule="auto"/>
              <w:rPr>
                <w:sz w:val="13"/>
                <w:szCs w:val="13"/>
              </w:rPr>
            </w:pPr>
            <w:r>
              <w:rPr>
                <w:sz w:val="13"/>
                <w:szCs w:val="13"/>
                <w:color w:val="212529"/>
                <w:spacing w:val="2"/>
              </w:rPr>
              <w:t>144.</w:t>
            </w:r>
            <w:r>
              <w:rPr>
                <w:sz w:val="13"/>
                <w:szCs w:val="13"/>
                <w:color w:val="212529"/>
                <w:spacing w:val="18"/>
                <w:w w:val="101"/>
              </w:rPr>
              <w:t xml:space="preserve"> </w:t>
            </w:r>
            <w:r>
              <w:rPr>
                <w:sz w:val="13"/>
                <w:szCs w:val="13"/>
                <w:color w:val="212529"/>
                <w:spacing w:val="2"/>
              </w:rPr>
              <w:t>50</w:t>
            </w:r>
          </w:p>
        </w:tc>
      </w:tr>
      <w:tr>
        <w:trPr>
          <w:trHeight w:val="292" w:hRule="atLeast"/>
        </w:trPr>
        <w:tc>
          <w:tcPr>
            <w:tcW w:w="1658"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121" w:type="dxa"/>
            <w:vAlign w:val="top"/>
          </w:tcPr>
          <w:p>
            <w:pPr>
              <w:ind w:left="8"/>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33" w:type="dxa"/>
            <w:vAlign w:val="top"/>
          </w:tcPr>
          <w:p>
            <w:pPr>
              <w:ind w:right="2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258.15</w:t>
            </w:r>
          </w:p>
        </w:tc>
        <w:tc>
          <w:tcPr>
            <w:tcW w:w="1393" w:type="dxa"/>
            <w:vAlign w:val="top"/>
          </w:tcPr>
          <w:p>
            <w:pPr>
              <w:ind w:right="16"/>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113.65</w:t>
            </w:r>
          </w:p>
        </w:tc>
        <w:tc>
          <w:tcPr>
            <w:tcW w:w="1453" w:type="dxa"/>
            <w:vAlign w:val="top"/>
          </w:tcPr>
          <w:p>
            <w:pPr>
              <w:ind w:right="24"/>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144.50</w:t>
            </w:r>
          </w:p>
        </w:tc>
      </w:tr>
      <w:tr>
        <w:trPr>
          <w:trHeight w:val="292" w:hRule="atLeast"/>
        </w:trPr>
        <w:tc>
          <w:tcPr>
            <w:tcW w:w="1658"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20801</w:t>
            </w:r>
          </w:p>
        </w:tc>
        <w:tc>
          <w:tcPr>
            <w:tcW w:w="3121" w:type="dxa"/>
            <w:vAlign w:val="top"/>
          </w:tcPr>
          <w:p>
            <w:pPr>
              <w:ind w:left="8"/>
              <w:spacing w:before="69" w:line="228" w:lineRule="auto"/>
              <w:rPr>
                <w:rFonts w:ascii="SimSun" w:hAnsi="SimSun" w:eastAsia="SimSun" w:cs="SimSun"/>
                <w:sz w:val="15"/>
                <w:szCs w:val="15"/>
              </w:rPr>
            </w:pPr>
            <w:r>
              <w:rPr>
                <w:rFonts w:ascii="SimSun" w:hAnsi="SimSun" w:eastAsia="SimSun" w:cs="SimSun"/>
                <w:sz w:val="15"/>
                <w:szCs w:val="15"/>
                <w:color w:val="212529"/>
                <w:spacing w:val="11"/>
              </w:rPr>
              <w:t>人力资源和社会保障管理事务</w:t>
            </w:r>
          </w:p>
        </w:tc>
        <w:tc>
          <w:tcPr>
            <w:tcW w:w="1533" w:type="dxa"/>
            <w:vAlign w:val="top"/>
          </w:tcPr>
          <w:p>
            <w:pPr>
              <w:ind w:right="2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166.06</w:t>
            </w:r>
          </w:p>
        </w:tc>
        <w:tc>
          <w:tcPr>
            <w:tcW w:w="1393" w:type="dxa"/>
            <w:vAlign w:val="top"/>
          </w:tcPr>
          <w:p>
            <w:pPr>
              <w:ind w:right="16"/>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76.56</w:t>
            </w:r>
          </w:p>
        </w:tc>
        <w:tc>
          <w:tcPr>
            <w:tcW w:w="1453" w:type="dxa"/>
            <w:vAlign w:val="top"/>
          </w:tcPr>
          <w:p>
            <w:pPr>
              <w:ind w:right="24"/>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89.50</w:t>
            </w:r>
          </w:p>
        </w:tc>
      </w:tr>
      <w:tr>
        <w:trPr>
          <w:trHeight w:val="292" w:hRule="atLeast"/>
        </w:trPr>
        <w:tc>
          <w:tcPr>
            <w:tcW w:w="1658"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2080109</w:t>
            </w:r>
          </w:p>
        </w:tc>
        <w:tc>
          <w:tcPr>
            <w:tcW w:w="3121" w:type="dxa"/>
            <w:vAlign w:val="top"/>
          </w:tcPr>
          <w:p>
            <w:pPr>
              <w:ind w:left="8"/>
              <w:spacing w:before="70" w:line="228" w:lineRule="auto"/>
              <w:rPr>
                <w:rFonts w:ascii="SimSun" w:hAnsi="SimSun" w:eastAsia="SimSun" w:cs="SimSun"/>
                <w:sz w:val="15"/>
                <w:szCs w:val="15"/>
              </w:rPr>
            </w:pPr>
            <w:r>
              <w:rPr>
                <w:rFonts w:ascii="SimSun" w:hAnsi="SimSun" w:eastAsia="SimSun" w:cs="SimSun"/>
                <w:sz w:val="15"/>
                <w:szCs w:val="15"/>
                <w:color w:val="212529"/>
                <w:spacing w:val="10"/>
              </w:rPr>
              <w:t>社会保险经办机构</w:t>
            </w:r>
          </w:p>
        </w:tc>
        <w:tc>
          <w:tcPr>
            <w:tcW w:w="1533" w:type="dxa"/>
            <w:vAlign w:val="top"/>
          </w:tcPr>
          <w:p>
            <w:pPr>
              <w:ind w:right="2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166.06</w:t>
            </w:r>
          </w:p>
        </w:tc>
        <w:tc>
          <w:tcPr>
            <w:tcW w:w="1393" w:type="dxa"/>
            <w:vAlign w:val="top"/>
          </w:tcPr>
          <w:p>
            <w:pPr>
              <w:ind w:right="16"/>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76.56</w:t>
            </w:r>
          </w:p>
        </w:tc>
        <w:tc>
          <w:tcPr>
            <w:tcW w:w="1453" w:type="dxa"/>
            <w:vAlign w:val="top"/>
          </w:tcPr>
          <w:p>
            <w:pPr>
              <w:ind w:right="24"/>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89.50</w:t>
            </w:r>
          </w:p>
        </w:tc>
      </w:tr>
      <w:tr>
        <w:trPr>
          <w:trHeight w:val="292" w:hRule="atLeast"/>
        </w:trPr>
        <w:tc>
          <w:tcPr>
            <w:tcW w:w="1658"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121" w:type="dxa"/>
            <w:vAlign w:val="top"/>
          </w:tcPr>
          <w:p>
            <w:pPr>
              <w:ind w:left="7"/>
              <w:spacing w:before="71"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36.80</w:t>
            </w:r>
          </w:p>
        </w:tc>
        <w:tc>
          <w:tcPr>
            <w:tcW w:w="1393"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36.80</w:t>
            </w:r>
          </w:p>
        </w:tc>
        <w:tc>
          <w:tcPr>
            <w:tcW w:w="1453" w:type="dxa"/>
            <w:vAlign w:val="top"/>
          </w:tcPr>
          <w:p>
            <w:pPr>
              <w:pStyle w:val="TableText"/>
              <w:rPr/>
            </w:pPr>
            <w:r/>
          </w:p>
        </w:tc>
      </w:tr>
      <w:tr>
        <w:trPr>
          <w:trHeight w:val="292" w:hRule="atLeast"/>
        </w:trPr>
        <w:tc>
          <w:tcPr>
            <w:tcW w:w="1658"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121" w:type="dxa"/>
            <w:vAlign w:val="top"/>
          </w:tcPr>
          <w:p>
            <w:pPr>
              <w:ind w:left="8"/>
              <w:spacing w:before="71"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33" w:type="dxa"/>
            <w:vAlign w:val="top"/>
          </w:tcPr>
          <w:p>
            <w:pPr>
              <w:ind w:right="2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19.16</w:t>
            </w:r>
          </w:p>
        </w:tc>
        <w:tc>
          <w:tcPr>
            <w:tcW w:w="1393" w:type="dxa"/>
            <w:vAlign w:val="top"/>
          </w:tcPr>
          <w:p>
            <w:pPr>
              <w:ind w:right="16"/>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19.16</w:t>
            </w:r>
          </w:p>
        </w:tc>
        <w:tc>
          <w:tcPr>
            <w:tcW w:w="1453" w:type="dxa"/>
            <w:vAlign w:val="top"/>
          </w:tcPr>
          <w:p>
            <w:pPr>
              <w:pStyle w:val="TableText"/>
              <w:rPr/>
            </w:pPr>
            <w:r/>
          </w:p>
        </w:tc>
      </w:tr>
      <w:tr>
        <w:trPr>
          <w:trHeight w:val="292" w:hRule="atLeast"/>
        </w:trPr>
        <w:tc>
          <w:tcPr>
            <w:tcW w:w="1658"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121" w:type="dxa"/>
            <w:vAlign w:val="top"/>
          </w:tcPr>
          <w:p>
            <w:pPr>
              <w:ind w:left="6"/>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33" w:type="dxa"/>
            <w:vAlign w:val="top"/>
          </w:tcPr>
          <w:p>
            <w:pPr>
              <w:ind w:right="2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12.81</w:t>
            </w:r>
          </w:p>
        </w:tc>
        <w:tc>
          <w:tcPr>
            <w:tcW w:w="1393" w:type="dxa"/>
            <w:vAlign w:val="top"/>
          </w:tcPr>
          <w:p>
            <w:pPr>
              <w:ind w:right="16"/>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12.81</w:t>
            </w:r>
          </w:p>
        </w:tc>
        <w:tc>
          <w:tcPr>
            <w:tcW w:w="1453" w:type="dxa"/>
            <w:vAlign w:val="top"/>
          </w:tcPr>
          <w:p>
            <w:pPr>
              <w:pStyle w:val="TableText"/>
              <w:rPr/>
            </w:pPr>
            <w:r/>
          </w:p>
        </w:tc>
      </w:tr>
      <w:tr>
        <w:trPr>
          <w:trHeight w:val="292" w:hRule="atLeast"/>
        </w:trPr>
        <w:tc>
          <w:tcPr>
            <w:tcW w:w="1658"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2080506</w:t>
            </w:r>
          </w:p>
        </w:tc>
        <w:tc>
          <w:tcPr>
            <w:tcW w:w="3121" w:type="dxa"/>
            <w:vAlign w:val="top"/>
          </w:tcPr>
          <w:p>
            <w:pPr>
              <w:ind w:left="6"/>
              <w:spacing w:before="73" w:line="228" w:lineRule="auto"/>
              <w:rPr>
                <w:rFonts w:ascii="SimSun" w:hAnsi="SimSun" w:eastAsia="SimSun" w:cs="SimSun"/>
                <w:sz w:val="15"/>
                <w:szCs w:val="15"/>
              </w:rPr>
            </w:pPr>
            <w:r>
              <w:rPr>
                <w:rFonts w:ascii="SimSun" w:hAnsi="SimSun" w:eastAsia="SimSun" w:cs="SimSun"/>
                <w:sz w:val="15"/>
                <w:szCs w:val="15"/>
                <w:color w:val="212529"/>
                <w:spacing w:val="11"/>
              </w:rPr>
              <w:t>机关事业单位职业年金缴费支出</w:t>
            </w:r>
          </w:p>
        </w:tc>
        <w:tc>
          <w:tcPr>
            <w:tcW w:w="1533" w:type="dxa"/>
            <w:vAlign w:val="top"/>
          </w:tcPr>
          <w:p>
            <w:pPr>
              <w:ind w:right="2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4.83</w:t>
            </w:r>
          </w:p>
        </w:tc>
        <w:tc>
          <w:tcPr>
            <w:tcW w:w="1393" w:type="dxa"/>
            <w:vAlign w:val="top"/>
          </w:tcPr>
          <w:p>
            <w:pPr>
              <w:ind w:right="16"/>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4.83</w:t>
            </w:r>
          </w:p>
        </w:tc>
        <w:tc>
          <w:tcPr>
            <w:tcW w:w="1453" w:type="dxa"/>
            <w:vAlign w:val="top"/>
          </w:tcPr>
          <w:p>
            <w:pPr>
              <w:pStyle w:val="TableText"/>
              <w:rPr/>
            </w:pPr>
            <w:r/>
          </w:p>
        </w:tc>
      </w:tr>
      <w:tr>
        <w:trPr>
          <w:trHeight w:val="292"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121" w:type="dxa"/>
            <w:vAlign w:val="top"/>
          </w:tcPr>
          <w:p>
            <w:pPr>
              <w:ind w:left="6"/>
              <w:spacing w:before="74"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533" w:type="dxa"/>
            <w:vAlign w:val="top"/>
          </w:tcPr>
          <w:p>
            <w:pPr>
              <w:ind w:right="2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55.29</w:t>
            </w:r>
          </w:p>
        </w:tc>
        <w:tc>
          <w:tcPr>
            <w:tcW w:w="1393" w:type="dxa"/>
            <w:vAlign w:val="top"/>
          </w:tcPr>
          <w:p>
            <w:pPr>
              <w:ind w:right="16"/>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0.29</w:t>
            </w:r>
          </w:p>
        </w:tc>
        <w:tc>
          <w:tcPr>
            <w:tcW w:w="1453"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r>
      <w:tr>
        <w:trPr>
          <w:trHeight w:val="292" w:hRule="atLeast"/>
        </w:trPr>
        <w:tc>
          <w:tcPr>
            <w:tcW w:w="1658" w:type="dxa"/>
            <w:vAlign w:val="top"/>
          </w:tcPr>
          <w:p>
            <w:pPr>
              <w:ind w:left="250"/>
              <w:spacing w:before="74" w:line="203" w:lineRule="exact"/>
              <w:rPr>
                <w:rFonts w:ascii="SimSun" w:hAnsi="SimSun" w:eastAsia="SimSun" w:cs="SimSun"/>
                <w:sz w:val="15"/>
                <w:szCs w:val="15"/>
              </w:rPr>
            </w:pPr>
            <w:r>
              <w:rPr>
                <w:rFonts w:ascii="SimSun" w:hAnsi="SimSun" w:eastAsia="SimSun" w:cs="SimSun"/>
                <w:sz w:val="15"/>
                <w:szCs w:val="15"/>
                <w:color w:val="212529"/>
                <w:spacing w:val="3"/>
                <w:position w:val="1"/>
              </w:rPr>
              <w:t>9999</w:t>
            </w:r>
          </w:p>
        </w:tc>
        <w:tc>
          <w:tcPr>
            <w:tcW w:w="3121" w:type="dxa"/>
            <w:vAlign w:val="top"/>
          </w:tcPr>
          <w:p>
            <w:pPr>
              <w:ind w:left="6"/>
              <w:spacing w:before="75" w:line="228" w:lineRule="auto"/>
              <w:rPr>
                <w:rFonts w:ascii="SimSun" w:hAnsi="SimSun" w:eastAsia="SimSun" w:cs="SimSun"/>
                <w:sz w:val="15"/>
                <w:szCs w:val="15"/>
              </w:rPr>
            </w:pPr>
            <w:r>
              <w:rPr>
                <w:rFonts w:ascii="SimSun" w:hAnsi="SimSun" w:eastAsia="SimSun" w:cs="SimSun"/>
                <w:sz w:val="15"/>
                <w:szCs w:val="15"/>
                <w:color w:val="212529"/>
                <w:spacing w:val="11"/>
              </w:rPr>
              <w:t>其他社会保障和就业支出</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55.29</w:t>
            </w:r>
          </w:p>
        </w:tc>
        <w:tc>
          <w:tcPr>
            <w:tcW w:w="1393" w:type="dxa"/>
            <w:vAlign w:val="top"/>
          </w:tcPr>
          <w:p>
            <w:pPr>
              <w:ind w:left="1051"/>
              <w:spacing w:before="74" w:line="202" w:lineRule="exact"/>
              <w:rPr>
                <w:rFonts w:ascii="SimSun" w:hAnsi="SimSun" w:eastAsia="SimSun" w:cs="SimSun"/>
                <w:sz w:val="15"/>
                <w:szCs w:val="15"/>
              </w:rPr>
            </w:pPr>
            <w:r>
              <w:rPr>
                <w:rFonts w:ascii="SimSun" w:hAnsi="SimSun" w:eastAsia="SimSun" w:cs="SimSun"/>
                <w:sz w:val="15"/>
                <w:szCs w:val="15"/>
                <w:color w:val="212529"/>
                <w:spacing w:val="2"/>
                <w:position w:val="1"/>
              </w:rPr>
              <w:t>0.2</w:t>
            </w:r>
          </w:p>
        </w:tc>
        <w:tc>
          <w:tcPr>
            <w:tcW w:w="1453" w:type="dxa"/>
            <w:vAlign w:val="top"/>
          </w:tcPr>
          <w:p>
            <w:pPr>
              <w:ind w:right="24"/>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55.00</w:t>
            </w:r>
          </w:p>
        </w:tc>
      </w:tr>
      <w:tr>
        <w:trPr>
          <w:trHeight w:val="293" w:hRule="atLeast"/>
        </w:trPr>
        <w:tc>
          <w:tcPr>
            <w:tcW w:w="1658"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121" w:type="dxa"/>
            <w:vAlign w:val="top"/>
          </w:tcPr>
          <w:p>
            <w:pPr>
              <w:ind w:left="8"/>
              <w:spacing w:before="75"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9.97</w:t>
            </w:r>
          </w:p>
        </w:tc>
        <w:tc>
          <w:tcPr>
            <w:tcW w:w="1393" w:type="dxa"/>
            <w:vAlign w:val="top"/>
          </w:tcPr>
          <w:p>
            <w:pPr>
              <w:ind w:left="1135"/>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453" w:type="dxa"/>
            <w:vAlign w:val="top"/>
          </w:tcPr>
          <w:p>
            <w:pPr>
              <w:pStyle w:val="TableText"/>
              <w:rPr/>
            </w:pPr>
            <w:r/>
          </w:p>
        </w:tc>
      </w:tr>
      <w:tr>
        <w:trPr>
          <w:trHeight w:val="293" w:hRule="atLeast"/>
        </w:trPr>
        <w:tc>
          <w:tcPr>
            <w:tcW w:w="1658"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121" w:type="dxa"/>
            <w:vAlign w:val="top"/>
          </w:tcPr>
          <w:p>
            <w:pPr>
              <w:ind w:left="7"/>
              <w:spacing w:before="75"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9.97</w:t>
            </w:r>
          </w:p>
        </w:tc>
        <w:tc>
          <w:tcPr>
            <w:tcW w:w="1393"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.97</w:t>
            </w:r>
          </w:p>
        </w:tc>
        <w:tc>
          <w:tcPr>
            <w:tcW w:w="1453" w:type="dxa"/>
            <w:vAlign w:val="top"/>
          </w:tcPr>
          <w:p>
            <w:pPr>
              <w:pStyle w:val="TableText"/>
              <w:rPr/>
            </w:pPr>
            <w:r/>
          </w:p>
        </w:tc>
      </w:tr>
      <w:tr>
        <w:trPr>
          <w:trHeight w:val="292" w:hRule="atLeast"/>
        </w:trPr>
        <w:tc>
          <w:tcPr>
            <w:tcW w:w="1658"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121" w:type="dxa"/>
            <w:vAlign w:val="top"/>
          </w:tcPr>
          <w:p>
            <w:pPr>
              <w:ind w:left="8"/>
              <w:spacing w:before="7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33" w:type="dxa"/>
            <w:vAlign w:val="top"/>
          </w:tcPr>
          <w:p>
            <w:pPr>
              <w:ind w:right="2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6.86</w:t>
            </w:r>
          </w:p>
        </w:tc>
        <w:tc>
          <w:tcPr>
            <w:tcW w:w="1393" w:type="dxa"/>
            <w:vAlign w:val="top"/>
          </w:tcPr>
          <w:p>
            <w:pPr>
              <w:ind w:right="16"/>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6.86</w:t>
            </w:r>
          </w:p>
        </w:tc>
        <w:tc>
          <w:tcPr>
            <w:tcW w:w="1453" w:type="dxa"/>
            <w:vAlign w:val="top"/>
          </w:tcPr>
          <w:p>
            <w:pPr>
              <w:pStyle w:val="TableText"/>
              <w:rPr/>
            </w:pPr>
            <w:r/>
          </w:p>
        </w:tc>
      </w:tr>
      <w:tr>
        <w:trPr>
          <w:trHeight w:val="293" w:hRule="atLeast"/>
        </w:trPr>
        <w:tc>
          <w:tcPr>
            <w:tcW w:w="1658"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2101103</w:t>
            </w:r>
          </w:p>
        </w:tc>
        <w:tc>
          <w:tcPr>
            <w:tcW w:w="3121" w:type="dxa"/>
            <w:vAlign w:val="top"/>
          </w:tcPr>
          <w:p>
            <w:pPr>
              <w:ind w:left="12"/>
              <w:spacing w:before="75" w:line="229" w:lineRule="auto"/>
              <w:rPr>
                <w:rFonts w:ascii="SimSun" w:hAnsi="SimSun" w:eastAsia="SimSun" w:cs="SimSun"/>
                <w:sz w:val="15"/>
                <w:szCs w:val="15"/>
              </w:rPr>
            </w:pPr>
            <w:r>
              <w:rPr>
                <w:rFonts w:ascii="SimSun" w:hAnsi="SimSun" w:eastAsia="SimSun" w:cs="SimSun"/>
                <w:sz w:val="15"/>
                <w:szCs w:val="15"/>
                <w:color w:val="212529"/>
                <w:spacing w:val="10"/>
              </w:rPr>
              <w:t>公务员医疗补助</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3.10</w:t>
            </w:r>
          </w:p>
        </w:tc>
        <w:tc>
          <w:tcPr>
            <w:tcW w:w="1393"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3.10</w:t>
            </w:r>
          </w:p>
        </w:tc>
        <w:tc>
          <w:tcPr>
            <w:tcW w:w="1453" w:type="dxa"/>
            <w:vAlign w:val="top"/>
          </w:tcPr>
          <w:p>
            <w:pPr>
              <w:pStyle w:val="TableText"/>
              <w:rPr/>
            </w:pPr>
            <w:r/>
          </w:p>
        </w:tc>
      </w:tr>
      <w:tr>
        <w:trPr>
          <w:trHeight w:val="292" w:hRule="atLeast"/>
        </w:trPr>
        <w:tc>
          <w:tcPr>
            <w:tcW w:w="1658" w:type="dxa"/>
            <w:vAlign w:val="top"/>
          </w:tcPr>
          <w:p>
            <w:pPr>
              <w:ind w:left="8"/>
              <w:spacing w:before="7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121" w:type="dxa"/>
            <w:vAlign w:val="top"/>
          </w:tcPr>
          <w:p>
            <w:pPr>
              <w:ind w:left="8"/>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393"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453" w:type="dxa"/>
            <w:vAlign w:val="top"/>
          </w:tcPr>
          <w:p>
            <w:pPr>
              <w:pStyle w:val="TableText"/>
              <w:rPr/>
            </w:pPr>
            <w:r/>
          </w:p>
        </w:tc>
      </w:tr>
      <w:tr>
        <w:trPr>
          <w:trHeight w:val="293" w:hRule="atLeast"/>
        </w:trPr>
        <w:tc>
          <w:tcPr>
            <w:tcW w:w="1658" w:type="dxa"/>
            <w:vAlign w:val="top"/>
          </w:tcPr>
          <w:p>
            <w:pPr>
              <w:ind w:left="8"/>
              <w:spacing w:before="76" w:line="202"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121" w:type="dxa"/>
            <w:vAlign w:val="top"/>
          </w:tcPr>
          <w:p>
            <w:pPr>
              <w:ind w:left="8"/>
              <w:spacing w:before="76"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33" w:type="dxa"/>
            <w:vAlign w:val="top"/>
          </w:tcPr>
          <w:p>
            <w:pPr>
              <w:ind w:right="26"/>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393" w:type="dxa"/>
            <w:vAlign w:val="top"/>
          </w:tcPr>
          <w:p>
            <w:pPr>
              <w:ind w:right="16"/>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453" w:type="dxa"/>
            <w:vAlign w:val="top"/>
          </w:tcPr>
          <w:p>
            <w:pPr>
              <w:pStyle w:val="TableText"/>
              <w:rPr/>
            </w:pPr>
            <w:r/>
          </w:p>
        </w:tc>
      </w:tr>
      <w:tr>
        <w:trPr>
          <w:trHeight w:val="298" w:hRule="atLeast"/>
        </w:trPr>
        <w:tc>
          <w:tcPr>
            <w:tcW w:w="1658"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121" w:type="dxa"/>
            <w:vAlign w:val="top"/>
          </w:tcPr>
          <w:p>
            <w:pPr>
              <w:ind w:left="8"/>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33" w:type="dxa"/>
            <w:vAlign w:val="top"/>
          </w:tcPr>
          <w:p>
            <w:pPr>
              <w:ind w:right="2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393" w:type="dxa"/>
            <w:vAlign w:val="top"/>
          </w:tcPr>
          <w:p>
            <w:pPr>
              <w:ind w:right="16"/>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453" w:type="dxa"/>
            <w:vAlign w:val="top"/>
          </w:tcPr>
          <w:p>
            <w:pPr>
              <w:pStyle w:val="TableText"/>
              <w:rPr/>
            </w:pPr>
            <w:r/>
          </w:p>
        </w:tc>
      </w:tr>
    </w:tbl>
    <w:p>
      <w:pPr>
        <w:pStyle w:val="BodyText"/>
        <w:rPr/>
      </w:pPr>
      <w:r/>
    </w:p>
    <w:p>
      <w:pPr>
        <w:sectPr>
          <w:headerReference w:type="default" r:id="rId18"/>
          <w:footerReference w:type="default" r:id="rId19"/>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42"/>
        <w:gridCol w:w="2300"/>
        <w:gridCol w:w="1199"/>
        <w:gridCol w:w="1199"/>
        <w:gridCol w:w="1042"/>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841" w:type="dxa"/>
            <w:vAlign w:val="top"/>
            <w:gridSpan w:val="3"/>
            <w:tcBorders>
              <w:top w:val="single" w:color="FFFFFF" w:sz="4" w:space="0"/>
              <w:left w:val="single" w:color="FFFFFF" w:sz="2" w:space="0"/>
              <w:right w:val="single" w:color="FFFFFF" w:sz="2" w:space="0"/>
            </w:tcBorders>
          </w:tcPr>
          <w:p>
            <w:pPr>
              <w:ind w:left="9"/>
              <w:spacing w:before="79" w:line="233" w:lineRule="auto"/>
              <w:rPr>
                <w:rFonts w:ascii="SimSun" w:hAnsi="SimSun" w:eastAsia="SimSun" w:cs="SimSun"/>
                <w:sz w:val="12"/>
                <w:szCs w:val="12"/>
              </w:rPr>
            </w:pPr>
            <w:r>
              <w:rPr>
                <w:rFonts w:ascii="SimSun" w:hAnsi="SimSun" w:eastAsia="SimSun" w:cs="SimSun"/>
                <w:sz w:val="12"/>
                <w:szCs w:val="12"/>
                <w:color w:val="212529"/>
                <w:spacing w:val="9"/>
              </w:rPr>
              <w:t>单位名称：长治高新区社会保险中心</w:t>
            </w:r>
          </w:p>
        </w:tc>
        <w:tc>
          <w:tcPr>
            <w:tcW w:w="1199" w:type="dxa"/>
            <w:vAlign w:val="top"/>
            <w:tcBorders>
              <w:top w:val="single" w:color="FFFFFF" w:sz="4" w:space="0"/>
              <w:left w:val="single" w:color="FFFFFF" w:sz="2" w:space="0"/>
              <w:right w:val="single" w:color="FFFFFF" w:sz="2" w:space="0"/>
            </w:tcBorders>
          </w:tcPr>
          <w:p>
            <w:pPr>
              <w:pStyle w:val="TableText"/>
              <w:rPr/>
            </w:pPr>
            <w:r/>
          </w:p>
        </w:tc>
        <w:tc>
          <w:tcPr>
            <w:tcW w:w="1042" w:type="dxa"/>
            <w:vAlign w:val="top"/>
            <w:tcBorders>
              <w:top w:val="single" w:color="FFFFFF" w:sz="4" w:space="0"/>
              <w:left w:val="single" w:color="FFFFFF" w:sz="2" w:space="0"/>
              <w:right w:val="single" w:color="FFFFFF" w:sz="2" w:space="0"/>
            </w:tcBorders>
          </w:tcPr>
          <w:p>
            <w:pPr>
              <w:ind w:left="371"/>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342" w:type="dxa"/>
            <w:vAlign w:val="top"/>
            <w:vMerge w:val="restart"/>
            <w:tcBorders>
              <w:bottom w:val="nil"/>
            </w:tcBorders>
          </w:tcPr>
          <w:p>
            <w:pPr>
              <w:ind w:left="684"/>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300" w:type="dxa"/>
            <w:vAlign w:val="top"/>
            <w:vMerge w:val="restart"/>
            <w:tcBorders>
              <w:bottom w:val="nil"/>
            </w:tcBorders>
          </w:tcPr>
          <w:p>
            <w:pPr>
              <w:ind w:left="165"/>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440" w:type="dxa"/>
            <w:vAlign w:val="top"/>
            <w:gridSpan w:val="3"/>
          </w:tcPr>
          <w:p>
            <w:pPr>
              <w:ind w:left="1227"/>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342" w:type="dxa"/>
            <w:vAlign w:val="top"/>
            <w:vMerge w:val="continue"/>
            <w:tcBorders>
              <w:top w:val="nil"/>
            </w:tcBorders>
          </w:tcPr>
          <w:p>
            <w:pPr>
              <w:pStyle w:val="TableText"/>
              <w:rPr/>
            </w:pPr>
            <w:r/>
          </w:p>
        </w:tc>
        <w:tc>
          <w:tcPr>
            <w:tcW w:w="2300" w:type="dxa"/>
            <w:vAlign w:val="top"/>
            <w:vMerge w:val="continue"/>
            <w:tcBorders>
              <w:top w:val="nil"/>
            </w:tcBorders>
          </w:tcPr>
          <w:p>
            <w:pPr>
              <w:pStyle w:val="TableText"/>
              <w:rPr/>
            </w:pPr>
            <w:r/>
          </w:p>
        </w:tc>
        <w:tc>
          <w:tcPr>
            <w:tcW w:w="1199" w:type="dxa"/>
            <w:vAlign w:val="top"/>
          </w:tcPr>
          <w:p>
            <w:pPr>
              <w:ind w:left="429"/>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99" w:type="dxa"/>
            <w:vAlign w:val="top"/>
          </w:tcPr>
          <w:p>
            <w:pPr>
              <w:ind w:left="266"/>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042" w:type="dxa"/>
            <w:vAlign w:val="top"/>
          </w:tcPr>
          <w:p>
            <w:pPr>
              <w:ind w:left="192"/>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642" w:type="dxa"/>
            <w:vAlign w:val="top"/>
            <w:gridSpan w:val="2"/>
          </w:tcPr>
          <w:p>
            <w:pPr>
              <w:ind w:left="2662"/>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99" w:type="dxa"/>
            <w:vAlign w:val="top"/>
          </w:tcPr>
          <w:p>
            <w:pPr>
              <w:pStyle w:val="TableText"/>
              <w:ind w:left="700"/>
              <w:spacing w:before="86" w:line="162" w:lineRule="auto"/>
              <w:rPr>
                <w:sz w:val="15"/>
                <w:szCs w:val="15"/>
              </w:rPr>
            </w:pPr>
            <w:r>
              <w:rPr>
                <w:sz w:val="15"/>
                <w:szCs w:val="15"/>
                <w:color w:val="212529"/>
              </w:rPr>
              <w:t>133.62</w:t>
            </w:r>
          </w:p>
        </w:tc>
        <w:tc>
          <w:tcPr>
            <w:tcW w:w="1199" w:type="dxa"/>
            <w:vAlign w:val="top"/>
          </w:tcPr>
          <w:p>
            <w:pPr>
              <w:pStyle w:val="TableText"/>
              <w:ind w:left="700"/>
              <w:spacing w:before="87" w:line="186" w:lineRule="auto"/>
              <w:rPr>
                <w:sz w:val="13"/>
                <w:szCs w:val="13"/>
              </w:rPr>
            </w:pPr>
            <w:r>
              <w:rPr>
                <w:sz w:val="13"/>
                <w:szCs w:val="13"/>
                <w:color w:val="212529"/>
                <w:spacing w:val="3"/>
              </w:rPr>
              <w:t>126.</w:t>
            </w:r>
            <w:r>
              <w:rPr>
                <w:sz w:val="13"/>
                <w:szCs w:val="13"/>
                <w:color w:val="212529"/>
                <w:spacing w:val="11"/>
              </w:rPr>
              <w:t xml:space="preserve"> </w:t>
            </w:r>
            <w:r>
              <w:rPr>
                <w:sz w:val="13"/>
                <w:szCs w:val="13"/>
                <w:color w:val="212529"/>
                <w:spacing w:val="3"/>
              </w:rPr>
              <w:t>52</w:t>
            </w:r>
          </w:p>
        </w:tc>
        <w:tc>
          <w:tcPr>
            <w:tcW w:w="1042" w:type="dxa"/>
            <w:vAlign w:val="top"/>
          </w:tcPr>
          <w:p>
            <w:pPr>
              <w:pStyle w:val="TableText"/>
              <w:ind w:left="696"/>
              <w:spacing w:before="87" w:line="186" w:lineRule="auto"/>
              <w:rPr>
                <w:sz w:val="13"/>
                <w:szCs w:val="13"/>
              </w:rPr>
            </w:pPr>
            <w:r>
              <w:rPr>
                <w:sz w:val="13"/>
                <w:szCs w:val="13"/>
                <w:color w:val="212529"/>
                <w:spacing w:val="1"/>
              </w:rPr>
              <w:t>7.</w:t>
            </w:r>
            <w:r>
              <w:rPr>
                <w:sz w:val="13"/>
                <w:szCs w:val="13"/>
                <w:color w:val="212529"/>
                <w:spacing w:val="16"/>
                <w:w w:val="102"/>
              </w:rPr>
              <w:t xml:space="preserve"> </w:t>
            </w:r>
            <w:r>
              <w:rPr>
                <w:sz w:val="13"/>
                <w:szCs w:val="13"/>
                <w:color w:val="212529"/>
                <w:spacing w:val="1"/>
              </w:rPr>
              <w:t>09</w:t>
            </w:r>
          </w:p>
        </w:tc>
      </w:tr>
      <w:tr>
        <w:trPr>
          <w:trHeight w:val="292" w:hRule="atLeast"/>
        </w:trPr>
        <w:tc>
          <w:tcPr>
            <w:tcW w:w="3342"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300" w:type="dxa"/>
            <w:vAlign w:val="top"/>
          </w:tcPr>
          <w:p>
            <w:pPr>
              <w:pStyle w:val="TableText"/>
              <w:rPr/>
            </w:pPr>
            <w:r/>
          </w:p>
        </w:tc>
        <w:tc>
          <w:tcPr>
            <w:tcW w:w="1199"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107.24</w:t>
            </w:r>
          </w:p>
        </w:tc>
        <w:tc>
          <w:tcPr>
            <w:tcW w:w="1199" w:type="dxa"/>
            <w:vAlign w:val="top"/>
          </w:tcPr>
          <w:p>
            <w:pPr>
              <w:ind w:right="21"/>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2"/>
                <w:position w:val="1"/>
              </w:rPr>
              <w:t>107.24</w:t>
            </w:r>
          </w:p>
        </w:tc>
        <w:tc>
          <w:tcPr>
            <w:tcW w:w="1042" w:type="dxa"/>
            <w:vAlign w:val="top"/>
          </w:tcPr>
          <w:p>
            <w:pPr>
              <w:pStyle w:val="TableText"/>
              <w:rPr/>
            </w:pPr>
            <w:r/>
          </w:p>
        </w:tc>
      </w:tr>
      <w:tr>
        <w:trPr>
          <w:trHeight w:val="292" w:hRule="atLeast"/>
        </w:trPr>
        <w:tc>
          <w:tcPr>
            <w:tcW w:w="3342"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300" w:type="dxa"/>
            <w:vAlign w:val="top"/>
          </w:tcPr>
          <w:p>
            <w:pPr>
              <w:ind w:left="329"/>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37.26</w:t>
            </w:r>
          </w:p>
        </w:tc>
        <w:tc>
          <w:tcPr>
            <w:tcW w:w="1199" w:type="dxa"/>
            <w:vAlign w:val="top"/>
          </w:tcPr>
          <w:p>
            <w:pPr>
              <w:ind w:right="21"/>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37.26</w:t>
            </w:r>
          </w:p>
        </w:tc>
        <w:tc>
          <w:tcPr>
            <w:tcW w:w="1042" w:type="dxa"/>
            <w:vAlign w:val="top"/>
          </w:tcPr>
          <w:p>
            <w:pPr>
              <w:pStyle w:val="TableText"/>
              <w:rPr/>
            </w:pPr>
            <w:r/>
          </w:p>
        </w:tc>
      </w:tr>
      <w:tr>
        <w:trPr>
          <w:trHeight w:val="292" w:hRule="atLeast"/>
        </w:trPr>
        <w:tc>
          <w:tcPr>
            <w:tcW w:w="3342"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300" w:type="dxa"/>
            <w:vAlign w:val="top"/>
          </w:tcPr>
          <w:p>
            <w:pPr>
              <w:ind w:left="329"/>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5.10</w:t>
            </w:r>
          </w:p>
        </w:tc>
        <w:tc>
          <w:tcPr>
            <w:tcW w:w="1199" w:type="dxa"/>
            <w:vAlign w:val="top"/>
          </w:tcPr>
          <w:p>
            <w:pPr>
              <w:ind w:right="21"/>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5.10</w:t>
            </w:r>
          </w:p>
        </w:tc>
        <w:tc>
          <w:tcPr>
            <w:tcW w:w="1042" w:type="dxa"/>
            <w:vAlign w:val="top"/>
          </w:tcPr>
          <w:p>
            <w:pPr>
              <w:pStyle w:val="TableText"/>
              <w:rPr/>
            </w:pPr>
            <w:r/>
          </w:p>
        </w:tc>
      </w:tr>
      <w:tr>
        <w:trPr>
          <w:trHeight w:val="292" w:hRule="atLeast"/>
        </w:trPr>
        <w:tc>
          <w:tcPr>
            <w:tcW w:w="3342"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300" w:type="dxa"/>
            <w:vAlign w:val="top"/>
          </w:tcPr>
          <w:p>
            <w:pPr>
              <w:ind w:left="329"/>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24.33</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24.33</w:t>
            </w:r>
          </w:p>
        </w:tc>
        <w:tc>
          <w:tcPr>
            <w:tcW w:w="1042" w:type="dxa"/>
            <w:vAlign w:val="top"/>
          </w:tcPr>
          <w:p>
            <w:pPr>
              <w:pStyle w:val="TableText"/>
              <w:rPr/>
            </w:pPr>
            <w:r/>
          </w:p>
        </w:tc>
      </w:tr>
      <w:tr>
        <w:trPr>
          <w:trHeight w:val="292" w:hRule="atLeast"/>
        </w:trPr>
        <w:tc>
          <w:tcPr>
            <w:tcW w:w="3342"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300" w:type="dxa"/>
            <w:vAlign w:val="top"/>
          </w:tcPr>
          <w:p>
            <w:pPr>
              <w:ind w:left="329"/>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12.81</w:t>
            </w:r>
          </w:p>
        </w:tc>
        <w:tc>
          <w:tcPr>
            <w:tcW w:w="1199" w:type="dxa"/>
            <w:vAlign w:val="top"/>
          </w:tcPr>
          <w:p>
            <w:pPr>
              <w:ind w:right="21"/>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12.81</w:t>
            </w:r>
          </w:p>
        </w:tc>
        <w:tc>
          <w:tcPr>
            <w:tcW w:w="1042" w:type="dxa"/>
            <w:vAlign w:val="top"/>
          </w:tcPr>
          <w:p>
            <w:pPr>
              <w:pStyle w:val="TableText"/>
              <w:rPr/>
            </w:pPr>
            <w:r/>
          </w:p>
        </w:tc>
      </w:tr>
      <w:tr>
        <w:trPr>
          <w:trHeight w:val="292" w:hRule="atLeast"/>
        </w:trPr>
        <w:tc>
          <w:tcPr>
            <w:tcW w:w="3342"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职业年金缴费</w:t>
            </w:r>
          </w:p>
        </w:tc>
        <w:tc>
          <w:tcPr>
            <w:tcW w:w="2300" w:type="dxa"/>
            <w:vAlign w:val="top"/>
          </w:tcPr>
          <w:p>
            <w:pPr>
              <w:ind w:left="329"/>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4.83</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4.83</w:t>
            </w:r>
          </w:p>
        </w:tc>
        <w:tc>
          <w:tcPr>
            <w:tcW w:w="1042" w:type="dxa"/>
            <w:vAlign w:val="top"/>
          </w:tcPr>
          <w:p>
            <w:pPr>
              <w:pStyle w:val="TableText"/>
              <w:rPr/>
            </w:pPr>
            <w:r/>
          </w:p>
        </w:tc>
      </w:tr>
      <w:tr>
        <w:trPr>
          <w:trHeight w:val="293" w:hRule="atLeast"/>
        </w:trPr>
        <w:tc>
          <w:tcPr>
            <w:tcW w:w="3342"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300" w:type="dxa"/>
            <w:vAlign w:val="top"/>
          </w:tcPr>
          <w:p>
            <w:pPr>
              <w:ind w:left="329"/>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6.75</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6.75</w:t>
            </w:r>
          </w:p>
        </w:tc>
        <w:tc>
          <w:tcPr>
            <w:tcW w:w="1042" w:type="dxa"/>
            <w:vAlign w:val="top"/>
          </w:tcPr>
          <w:p>
            <w:pPr>
              <w:pStyle w:val="TableText"/>
              <w:rPr/>
            </w:pPr>
            <w:r/>
          </w:p>
        </w:tc>
      </w:tr>
      <w:tr>
        <w:trPr>
          <w:trHeight w:val="293" w:hRule="atLeast"/>
        </w:trPr>
        <w:tc>
          <w:tcPr>
            <w:tcW w:w="3342" w:type="dxa"/>
            <w:vAlign w:val="top"/>
          </w:tcPr>
          <w:p>
            <w:pPr>
              <w:ind w:left="661"/>
              <w:spacing w:before="73" w:line="229" w:lineRule="auto"/>
              <w:rPr>
                <w:rFonts w:ascii="SimSun" w:hAnsi="SimSun" w:eastAsia="SimSun" w:cs="SimSun"/>
                <w:sz w:val="15"/>
                <w:szCs w:val="15"/>
              </w:rPr>
            </w:pPr>
            <w:r>
              <w:rPr>
                <w:rFonts w:ascii="SimSun" w:hAnsi="SimSun" w:eastAsia="SimSun" w:cs="SimSun"/>
                <w:sz w:val="15"/>
                <w:szCs w:val="15"/>
                <w:color w:val="212529"/>
                <w:spacing w:val="9"/>
              </w:rPr>
              <w:t>员医疗补助缴费</w:t>
            </w:r>
          </w:p>
        </w:tc>
        <w:tc>
          <w:tcPr>
            <w:tcW w:w="2300" w:type="dxa"/>
            <w:vAlign w:val="top"/>
          </w:tcPr>
          <w:p>
            <w:pPr>
              <w:ind w:left="329"/>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3.10</w:t>
            </w:r>
          </w:p>
        </w:tc>
        <w:tc>
          <w:tcPr>
            <w:tcW w:w="1199" w:type="dxa"/>
            <w:vAlign w:val="top"/>
          </w:tcPr>
          <w:p>
            <w:pPr>
              <w:ind w:right="21"/>
              <w:spacing w:before="73"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3.10</w:t>
            </w:r>
          </w:p>
        </w:tc>
        <w:tc>
          <w:tcPr>
            <w:tcW w:w="1042" w:type="dxa"/>
            <w:vAlign w:val="top"/>
          </w:tcPr>
          <w:p>
            <w:pPr>
              <w:pStyle w:val="TableText"/>
              <w:rPr/>
            </w:pPr>
            <w:r/>
          </w:p>
        </w:tc>
      </w:tr>
      <w:tr>
        <w:trPr>
          <w:trHeight w:val="293" w:hRule="atLeast"/>
        </w:trPr>
        <w:tc>
          <w:tcPr>
            <w:tcW w:w="3342"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00" w:type="dxa"/>
            <w:vAlign w:val="top"/>
          </w:tcPr>
          <w:p>
            <w:pPr>
              <w:ind w:left="329"/>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0.39</w:t>
            </w:r>
          </w:p>
        </w:tc>
        <w:tc>
          <w:tcPr>
            <w:tcW w:w="1199" w:type="dxa"/>
            <w:vAlign w:val="top"/>
          </w:tcPr>
          <w:p>
            <w:pPr>
              <w:ind w:left="936"/>
              <w:spacing w:before="189"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042" w:type="dxa"/>
            <w:vAlign w:val="top"/>
          </w:tcPr>
          <w:p>
            <w:pPr>
              <w:pStyle w:val="TableText"/>
              <w:rPr/>
            </w:pPr>
            <w:r/>
          </w:p>
        </w:tc>
      </w:tr>
      <w:tr>
        <w:trPr>
          <w:trHeight w:val="293" w:hRule="atLeast"/>
        </w:trPr>
        <w:tc>
          <w:tcPr>
            <w:tcW w:w="3342"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2300" w:type="dxa"/>
            <w:vAlign w:val="top"/>
          </w:tcPr>
          <w:p>
            <w:pPr>
              <w:ind w:left="329"/>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10.00</w:t>
            </w:r>
          </w:p>
        </w:tc>
        <w:tc>
          <w:tcPr>
            <w:tcW w:w="1199" w:type="dxa"/>
            <w:vAlign w:val="top"/>
          </w:tcPr>
          <w:p>
            <w:pPr>
              <w:ind w:left="936"/>
              <w:spacing w:before="188"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042" w:type="dxa"/>
            <w:vAlign w:val="top"/>
          </w:tcPr>
          <w:p>
            <w:pPr>
              <w:pStyle w:val="TableText"/>
              <w:rPr/>
            </w:pPr>
            <w:r/>
          </w:p>
        </w:tc>
      </w:tr>
      <w:tr>
        <w:trPr>
          <w:trHeight w:val="293" w:hRule="atLeast"/>
        </w:trPr>
        <w:tc>
          <w:tcPr>
            <w:tcW w:w="3342" w:type="dxa"/>
            <w:vAlign w:val="top"/>
          </w:tcPr>
          <w:p>
            <w:pPr>
              <w:ind w:left="330"/>
              <w:spacing w:before="72"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300" w:type="dxa"/>
            <w:vAlign w:val="top"/>
          </w:tcPr>
          <w:p>
            <w:pPr>
              <w:ind w:left="329"/>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99" w:type="dxa"/>
            <w:vAlign w:val="top"/>
          </w:tcPr>
          <w:p>
            <w:pPr>
              <w:ind w:left="852"/>
              <w:spacing w:before="72" w:line="202" w:lineRule="exact"/>
              <w:rPr>
                <w:rFonts w:ascii="SimSun" w:hAnsi="SimSun" w:eastAsia="SimSun" w:cs="SimSun"/>
                <w:sz w:val="15"/>
                <w:szCs w:val="15"/>
              </w:rPr>
            </w:pPr>
            <w:r>
              <w:rPr>
                <w:rFonts w:ascii="SimSun" w:hAnsi="SimSun" w:eastAsia="SimSun" w:cs="SimSun"/>
                <w:sz w:val="15"/>
                <w:szCs w:val="15"/>
                <w:color w:val="212529"/>
                <w:spacing w:val="1"/>
                <w:position w:val="1"/>
              </w:rPr>
              <w:t>2.</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2.67</w:t>
            </w:r>
          </w:p>
        </w:tc>
        <w:tc>
          <w:tcPr>
            <w:tcW w:w="1042" w:type="dxa"/>
            <w:vAlign w:val="top"/>
          </w:tcPr>
          <w:p>
            <w:pPr>
              <w:pStyle w:val="TableText"/>
              <w:rPr/>
            </w:pPr>
            <w:r/>
          </w:p>
        </w:tc>
      </w:tr>
      <w:tr>
        <w:trPr>
          <w:trHeight w:val="292" w:hRule="atLeast"/>
        </w:trPr>
        <w:tc>
          <w:tcPr>
            <w:tcW w:w="3342" w:type="dxa"/>
            <w:vAlign w:val="top"/>
          </w:tcPr>
          <w:p>
            <w:pPr>
              <w:ind w:left="9"/>
              <w:spacing w:before="71"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300" w:type="dxa"/>
            <w:vAlign w:val="top"/>
          </w:tcPr>
          <w:p>
            <w:pPr>
              <w:pStyle w:val="TableText"/>
              <w:rPr/>
            </w:pPr>
            <w:r/>
          </w:p>
        </w:tc>
        <w:tc>
          <w:tcPr>
            <w:tcW w:w="1199" w:type="dxa"/>
            <w:vAlign w:val="top"/>
          </w:tcPr>
          <w:p>
            <w:pPr>
              <w:ind w:left="854"/>
              <w:spacing w:before="71" w:line="202" w:lineRule="exact"/>
              <w:rPr>
                <w:rFonts w:ascii="SimSun" w:hAnsi="SimSun" w:eastAsia="SimSun" w:cs="SimSun"/>
                <w:sz w:val="15"/>
                <w:szCs w:val="15"/>
              </w:rPr>
            </w:pPr>
            <w:r>
              <w:rPr>
                <w:rFonts w:ascii="SimSun" w:hAnsi="SimSun" w:eastAsia="SimSun" w:cs="SimSun"/>
                <w:sz w:val="15"/>
                <w:szCs w:val="15"/>
                <w:color w:val="212529"/>
                <w:position w:val="1"/>
              </w:rPr>
              <w:t>7.</w:t>
            </w:r>
          </w:p>
        </w:tc>
        <w:tc>
          <w:tcPr>
            <w:tcW w:w="1199" w:type="dxa"/>
            <w:vAlign w:val="top"/>
          </w:tcPr>
          <w:p>
            <w:pPr>
              <w:pStyle w:val="TableText"/>
              <w:rPr/>
            </w:pPr>
            <w:r/>
          </w:p>
        </w:tc>
        <w:tc>
          <w:tcPr>
            <w:tcW w:w="1042" w:type="dxa"/>
            <w:vAlign w:val="top"/>
          </w:tcPr>
          <w:p>
            <w:pPr>
              <w:ind w:right="22"/>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7.09</w:t>
            </w:r>
          </w:p>
        </w:tc>
      </w:tr>
      <w:tr>
        <w:trPr>
          <w:trHeight w:val="293" w:hRule="atLeast"/>
        </w:trPr>
        <w:tc>
          <w:tcPr>
            <w:tcW w:w="3342" w:type="dxa"/>
            <w:vAlign w:val="top"/>
          </w:tcPr>
          <w:p>
            <w:pPr>
              <w:ind w:left="334"/>
              <w:spacing w:before="72" w:line="229" w:lineRule="auto"/>
              <w:rPr>
                <w:rFonts w:ascii="SimSun" w:hAnsi="SimSun" w:eastAsia="SimSun" w:cs="SimSun"/>
                <w:sz w:val="15"/>
                <w:szCs w:val="15"/>
              </w:rPr>
            </w:pPr>
            <w:r>
              <w:rPr>
                <w:rFonts w:ascii="SimSun" w:hAnsi="SimSun" w:eastAsia="SimSun" w:cs="SimSun"/>
                <w:sz w:val="15"/>
                <w:szCs w:val="15"/>
                <w:color w:val="212529"/>
                <w:spacing w:val="7"/>
              </w:rPr>
              <w:t>办公费</w:t>
            </w:r>
          </w:p>
        </w:tc>
        <w:tc>
          <w:tcPr>
            <w:tcW w:w="2300"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3.80</w:t>
            </w:r>
          </w:p>
        </w:tc>
        <w:tc>
          <w:tcPr>
            <w:tcW w:w="1199" w:type="dxa"/>
            <w:vAlign w:val="top"/>
          </w:tcPr>
          <w:p>
            <w:pPr>
              <w:pStyle w:val="TableText"/>
              <w:rPr/>
            </w:pPr>
            <w:r/>
          </w:p>
        </w:tc>
        <w:tc>
          <w:tcPr>
            <w:tcW w:w="1042"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3.80</w:t>
            </w:r>
          </w:p>
        </w:tc>
      </w:tr>
      <w:tr>
        <w:trPr>
          <w:trHeight w:val="292" w:hRule="atLeast"/>
        </w:trPr>
        <w:tc>
          <w:tcPr>
            <w:tcW w:w="3342" w:type="dxa"/>
            <w:vAlign w:val="top"/>
          </w:tcPr>
          <w:p>
            <w:pPr>
              <w:ind w:left="344"/>
              <w:spacing w:before="72" w:line="229" w:lineRule="auto"/>
              <w:rPr>
                <w:rFonts w:ascii="SimSun" w:hAnsi="SimSun" w:eastAsia="SimSun" w:cs="SimSun"/>
                <w:sz w:val="15"/>
                <w:szCs w:val="15"/>
              </w:rPr>
            </w:pPr>
            <w:r>
              <w:rPr>
                <w:rFonts w:ascii="SimSun" w:hAnsi="SimSun" w:eastAsia="SimSun" w:cs="SimSun"/>
                <w:sz w:val="15"/>
                <w:szCs w:val="15"/>
                <w:color w:val="212529"/>
                <w:spacing w:val="4"/>
              </w:rPr>
              <w:t>印刷费</w:t>
            </w:r>
          </w:p>
        </w:tc>
        <w:tc>
          <w:tcPr>
            <w:tcW w:w="2300"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0.40</w:t>
            </w:r>
          </w:p>
        </w:tc>
        <w:tc>
          <w:tcPr>
            <w:tcW w:w="1199" w:type="dxa"/>
            <w:vAlign w:val="top"/>
          </w:tcPr>
          <w:p>
            <w:pPr>
              <w:pStyle w:val="TableText"/>
              <w:rPr/>
            </w:pPr>
            <w:r/>
          </w:p>
        </w:tc>
        <w:tc>
          <w:tcPr>
            <w:tcW w:w="1042"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0.40</w:t>
            </w:r>
          </w:p>
        </w:tc>
      </w:tr>
      <w:tr>
        <w:trPr>
          <w:trHeight w:val="293" w:hRule="atLeast"/>
        </w:trPr>
        <w:tc>
          <w:tcPr>
            <w:tcW w:w="3342"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8"/>
              </w:rPr>
              <w:t>手续费</w:t>
            </w:r>
          </w:p>
        </w:tc>
        <w:tc>
          <w:tcPr>
            <w:tcW w:w="2300"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0.30</w:t>
            </w:r>
          </w:p>
        </w:tc>
        <w:tc>
          <w:tcPr>
            <w:tcW w:w="1199" w:type="dxa"/>
            <w:vAlign w:val="top"/>
          </w:tcPr>
          <w:p>
            <w:pPr>
              <w:pStyle w:val="TableText"/>
              <w:rPr/>
            </w:pPr>
            <w:r/>
          </w:p>
        </w:tc>
        <w:tc>
          <w:tcPr>
            <w:tcW w:w="1042"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0.30</w:t>
            </w:r>
          </w:p>
        </w:tc>
      </w:tr>
      <w:tr>
        <w:trPr>
          <w:trHeight w:val="293" w:hRule="atLeast"/>
        </w:trPr>
        <w:tc>
          <w:tcPr>
            <w:tcW w:w="3342" w:type="dxa"/>
            <w:vAlign w:val="top"/>
          </w:tcPr>
          <w:p>
            <w:pPr>
              <w:ind w:left="343"/>
              <w:spacing w:before="72" w:line="230" w:lineRule="auto"/>
              <w:rPr>
                <w:rFonts w:ascii="SimSun" w:hAnsi="SimSun" w:eastAsia="SimSun" w:cs="SimSun"/>
                <w:sz w:val="15"/>
                <w:szCs w:val="15"/>
              </w:rPr>
            </w:pPr>
            <w:r>
              <w:rPr>
                <w:rFonts w:ascii="SimSun" w:hAnsi="SimSun" w:eastAsia="SimSun" w:cs="SimSun"/>
                <w:sz w:val="15"/>
                <w:szCs w:val="15"/>
                <w:color w:val="212529"/>
                <w:spacing w:val="4"/>
              </w:rPr>
              <w:t>邮电费</w:t>
            </w:r>
          </w:p>
        </w:tc>
        <w:tc>
          <w:tcPr>
            <w:tcW w:w="2300"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0.40</w:t>
            </w:r>
          </w:p>
        </w:tc>
        <w:tc>
          <w:tcPr>
            <w:tcW w:w="1199" w:type="dxa"/>
            <w:vAlign w:val="top"/>
          </w:tcPr>
          <w:p>
            <w:pPr>
              <w:pStyle w:val="TableText"/>
              <w:rPr/>
            </w:pPr>
            <w:r/>
          </w:p>
        </w:tc>
        <w:tc>
          <w:tcPr>
            <w:tcW w:w="1042"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0.40</w:t>
            </w:r>
          </w:p>
        </w:tc>
      </w:tr>
      <w:tr>
        <w:trPr>
          <w:trHeight w:val="292" w:hRule="atLeast"/>
        </w:trPr>
        <w:tc>
          <w:tcPr>
            <w:tcW w:w="3342" w:type="dxa"/>
            <w:vAlign w:val="top"/>
          </w:tcPr>
          <w:p>
            <w:pPr>
              <w:ind w:left="333"/>
              <w:spacing w:before="72" w:line="230" w:lineRule="auto"/>
              <w:rPr>
                <w:rFonts w:ascii="SimSun" w:hAnsi="SimSun" w:eastAsia="SimSun" w:cs="SimSun"/>
                <w:sz w:val="15"/>
                <w:szCs w:val="15"/>
              </w:rPr>
            </w:pPr>
            <w:r>
              <w:rPr>
                <w:rFonts w:ascii="SimSun" w:hAnsi="SimSun" w:eastAsia="SimSun" w:cs="SimSun"/>
                <w:sz w:val="15"/>
                <w:szCs w:val="15"/>
                <w:color w:val="212529"/>
                <w:spacing w:val="8"/>
              </w:rPr>
              <w:t>差旅费</w:t>
            </w:r>
          </w:p>
        </w:tc>
        <w:tc>
          <w:tcPr>
            <w:tcW w:w="2300" w:type="dxa"/>
            <w:vAlign w:val="top"/>
          </w:tcPr>
          <w:p>
            <w:pPr>
              <w:ind w:left="330"/>
              <w:spacing w:before="72"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c>
          <w:tcPr>
            <w:tcW w:w="1199" w:type="dxa"/>
            <w:vAlign w:val="top"/>
          </w:tcPr>
          <w:p>
            <w:pPr>
              <w:pStyle w:val="TableText"/>
              <w:rPr/>
            </w:pPr>
            <w:r/>
          </w:p>
        </w:tc>
        <w:tc>
          <w:tcPr>
            <w:tcW w:w="1042" w:type="dxa"/>
            <w:vAlign w:val="top"/>
          </w:tcPr>
          <w:p>
            <w:pPr>
              <w:ind w:right="22"/>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0.50</w:t>
            </w:r>
          </w:p>
        </w:tc>
      </w:tr>
      <w:tr>
        <w:trPr>
          <w:trHeight w:val="292" w:hRule="atLeast"/>
        </w:trPr>
        <w:tc>
          <w:tcPr>
            <w:tcW w:w="3342" w:type="dxa"/>
            <w:vAlign w:val="top"/>
          </w:tcPr>
          <w:p>
            <w:pPr>
              <w:ind w:left="330"/>
              <w:spacing w:before="73" w:line="230" w:lineRule="auto"/>
              <w:rPr>
                <w:rFonts w:ascii="SimSun" w:hAnsi="SimSun" w:eastAsia="SimSun" w:cs="SimSun"/>
                <w:sz w:val="15"/>
                <w:szCs w:val="15"/>
              </w:rPr>
            </w:pPr>
            <w:r>
              <w:rPr>
                <w:rFonts w:ascii="SimSun" w:hAnsi="SimSun" w:eastAsia="SimSun" w:cs="SimSun"/>
                <w:sz w:val="15"/>
                <w:szCs w:val="15"/>
                <w:color w:val="212529"/>
                <w:spacing w:val="10"/>
              </w:rPr>
              <w:t>其他交通费用</w:t>
            </w:r>
          </w:p>
        </w:tc>
        <w:tc>
          <w:tcPr>
            <w:tcW w:w="2300" w:type="dxa"/>
            <w:vAlign w:val="top"/>
          </w:tcPr>
          <w:p>
            <w:pPr>
              <w:ind w:left="330"/>
              <w:spacing w:before="73"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0.75</w:t>
            </w:r>
          </w:p>
        </w:tc>
        <w:tc>
          <w:tcPr>
            <w:tcW w:w="1199" w:type="dxa"/>
            <w:vAlign w:val="top"/>
          </w:tcPr>
          <w:p>
            <w:pPr>
              <w:pStyle w:val="TableText"/>
              <w:rPr/>
            </w:pPr>
            <w:r/>
          </w:p>
        </w:tc>
        <w:tc>
          <w:tcPr>
            <w:tcW w:w="1042" w:type="dxa"/>
            <w:vAlign w:val="top"/>
          </w:tcPr>
          <w:p>
            <w:pPr>
              <w:ind w:right="22"/>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0.75</w:t>
            </w:r>
          </w:p>
        </w:tc>
      </w:tr>
      <w:tr>
        <w:trPr>
          <w:trHeight w:val="293" w:hRule="atLeast"/>
        </w:trPr>
        <w:tc>
          <w:tcPr>
            <w:tcW w:w="3342"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1"/>
              </w:rPr>
              <w:t>其他商品和服务支出</w:t>
            </w:r>
          </w:p>
        </w:tc>
        <w:tc>
          <w:tcPr>
            <w:tcW w:w="230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99" w:type="dxa"/>
            <w:vAlign w:val="top"/>
          </w:tcPr>
          <w:p>
            <w:pPr>
              <w:ind w:right="21"/>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0.94</w:t>
            </w:r>
          </w:p>
        </w:tc>
        <w:tc>
          <w:tcPr>
            <w:tcW w:w="1199" w:type="dxa"/>
            <w:vAlign w:val="top"/>
          </w:tcPr>
          <w:p>
            <w:pPr>
              <w:pStyle w:val="TableText"/>
              <w:rPr/>
            </w:pPr>
            <w:r/>
          </w:p>
        </w:tc>
        <w:tc>
          <w:tcPr>
            <w:tcW w:w="1042" w:type="dxa"/>
            <w:vAlign w:val="top"/>
          </w:tcPr>
          <w:p>
            <w:pPr>
              <w:ind w:right="22"/>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0.94</w:t>
            </w:r>
          </w:p>
        </w:tc>
      </w:tr>
      <w:tr>
        <w:trPr>
          <w:trHeight w:val="292" w:hRule="atLeast"/>
        </w:trPr>
        <w:tc>
          <w:tcPr>
            <w:tcW w:w="3342" w:type="dxa"/>
            <w:vAlign w:val="top"/>
          </w:tcPr>
          <w:p>
            <w:pPr>
              <w:ind w:left="6"/>
              <w:spacing w:before="73"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300" w:type="dxa"/>
            <w:vAlign w:val="top"/>
          </w:tcPr>
          <w:p>
            <w:pPr>
              <w:pStyle w:val="TableText"/>
              <w:rPr/>
            </w:pPr>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19.28</w:t>
            </w:r>
          </w:p>
        </w:tc>
        <w:tc>
          <w:tcPr>
            <w:tcW w:w="1199" w:type="dxa"/>
            <w:vAlign w:val="top"/>
          </w:tcPr>
          <w:p>
            <w:pPr>
              <w:ind w:right="21"/>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19.28</w:t>
            </w:r>
          </w:p>
        </w:tc>
        <w:tc>
          <w:tcPr>
            <w:tcW w:w="1042" w:type="dxa"/>
            <w:vAlign w:val="top"/>
          </w:tcPr>
          <w:p>
            <w:pPr>
              <w:pStyle w:val="TableText"/>
              <w:rPr/>
            </w:pPr>
            <w:r/>
          </w:p>
        </w:tc>
      </w:tr>
      <w:tr>
        <w:trPr>
          <w:trHeight w:val="292" w:hRule="atLeast"/>
        </w:trPr>
        <w:tc>
          <w:tcPr>
            <w:tcW w:w="3342" w:type="dxa"/>
            <w:vAlign w:val="top"/>
          </w:tcPr>
          <w:p>
            <w:pPr>
              <w:ind w:left="331"/>
              <w:spacing w:before="74"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300" w:type="dxa"/>
            <w:vAlign w:val="top"/>
          </w:tcPr>
          <w:p>
            <w:pPr>
              <w:ind w:left="330"/>
              <w:spacing w:before="74"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19.16</w:t>
            </w:r>
          </w:p>
        </w:tc>
        <w:tc>
          <w:tcPr>
            <w:tcW w:w="1199" w:type="dxa"/>
            <w:vAlign w:val="top"/>
          </w:tcPr>
          <w:p>
            <w:pPr>
              <w:ind w:right="21"/>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19.16</w:t>
            </w:r>
          </w:p>
        </w:tc>
        <w:tc>
          <w:tcPr>
            <w:tcW w:w="1042" w:type="dxa"/>
            <w:vAlign w:val="top"/>
          </w:tcPr>
          <w:p>
            <w:pPr>
              <w:pStyle w:val="TableText"/>
              <w:rPr/>
            </w:pPr>
            <w:r/>
          </w:p>
        </w:tc>
      </w:tr>
      <w:tr>
        <w:trPr>
          <w:trHeight w:val="298" w:hRule="atLeast"/>
        </w:trPr>
        <w:tc>
          <w:tcPr>
            <w:tcW w:w="3342"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8"/>
              </w:rPr>
              <w:t>奖励金</w:t>
            </w:r>
          </w:p>
        </w:tc>
        <w:tc>
          <w:tcPr>
            <w:tcW w:w="2300" w:type="dxa"/>
            <w:vAlign w:val="top"/>
          </w:tcPr>
          <w:p>
            <w:pPr>
              <w:ind w:left="328"/>
              <w:spacing w:before="75" w:line="228" w:lineRule="auto"/>
              <w:rPr>
                <w:rFonts w:ascii="SimSun" w:hAnsi="SimSun" w:eastAsia="SimSun" w:cs="SimSun"/>
                <w:sz w:val="15"/>
                <w:szCs w:val="15"/>
              </w:rPr>
            </w:pPr>
            <w:r>
              <w:rPr>
                <w:rFonts w:ascii="SimSun" w:hAnsi="SimSun" w:eastAsia="SimSun" w:cs="SimSun"/>
                <w:sz w:val="15"/>
                <w:szCs w:val="15"/>
                <w:color w:val="212529"/>
                <w:spacing w:val="10"/>
              </w:rPr>
              <w:t>社会福利和救助</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199" w:type="dxa"/>
            <w:vAlign w:val="top"/>
          </w:tcPr>
          <w:p>
            <w:pPr>
              <w:ind w:right="21"/>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0.12</w:t>
            </w:r>
          </w:p>
        </w:tc>
        <w:tc>
          <w:tcPr>
            <w:tcW w:w="1042" w:type="dxa"/>
            <w:vAlign w:val="top"/>
          </w:tcPr>
          <w:p>
            <w:pPr>
              <w:pStyle w:val="TableText"/>
              <w:rPr/>
            </w:pPr>
            <w:r/>
          </w:p>
        </w:tc>
      </w:tr>
    </w:tbl>
    <w:p>
      <w:pPr>
        <w:pStyle w:val="BodyText"/>
        <w:rPr/>
      </w:pPr>
      <w:r/>
    </w:p>
    <w:p>
      <w:pPr>
        <w:sectPr>
          <w:headerReference w:type="default" r:id="rId20"/>
          <w:footerReference w:type="default" r:id="rId21"/>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单位名称：长治高新区社会保险中心</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2"/>
          <w:footerReference w:type="default" r:id="rId23"/>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单位名称：长治高新区社会保险中心</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4"/>
          <w:footerReference w:type="default" r:id="rId25"/>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单位名称：长治高新区社会保险中心</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4" w:line="233" w:lineRule="auto"/>
              <w:rPr>
                <w:rFonts w:ascii="SimSun" w:hAnsi="SimSun" w:eastAsia="SimSun" w:cs="SimSun"/>
                <w:sz w:val="12"/>
                <w:szCs w:val="12"/>
              </w:rPr>
            </w:pPr>
            <w:r>
              <w:rPr>
                <w:rFonts w:ascii="SimSun" w:hAnsi="SimSun" w:eastAsia="SimSun" w:cs="SimSun"/>
                <w:sz w:val="12"/>
                <w:szCs w:val="12"/>
                <w:color w:val="212529"/>
                <w:spacing w:val="9"/>
              </w:rPr>
              <w:t>单位名称：长治高新区社会保险中心</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6"/>
          <w:footerReference w:type="default" r:id="rId27"/>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5" w:line="233" w:lineRule="auto"/>
              <w:rPr>
                <w:rFonts w:ascii="SimSun" w:hAnsi="SimSun" w:eastAsia="SimSun" w:cs="SimSun"/>
                <w:sz w:val="12"/>
                <w:szCs w:val="12"/>
              </w:rPr>
            </w:pPr>
            <w:r>
              <w:rPr>
                <w:rFonts w:ascii="SimSun" w:hAnsi="SimSun" w:eastAsia="SimSun" w:cs="SimSun"/>
                <w:sz w:val="12"/>
                <w:szCs w:val="12"/>
                <w:color w:val="212529"/>
                <w:spacing w:val="9"/>
              </w:rPr>
              <w:t>单位名称：长治高新区社会保险中心</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8"/>
          <w:footerReference w:type="default" r:id="rId29"/>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802"/>
        <w:gridCol w:w="1166"/>
        <w:gridCol w:w="1166"/>
        <w:gridCol w:w="832"/>
        <w:gridCol w:w="1253"/>
        <w:gridCol w:w="1080"/>
        <w:gridCol w:w="859"/>
      </w:tblGrid>
      <w:tr>
        <w:trPr>
          <w:trHeight w:val="384" w:hRule="atLeast"/>
        </w:trPr>
        <w:tc>
          <w:tcPr>
            <w:tcW w:w="28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6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39"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19"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单位名称：长治高新区社会保险中心</w:t>
            </w:r>
          </w:p>
        </w:tc>
        <w:tc>
          <w:tcPr>
            <w:tcW w:w="1939" w:type="dxa"/>
            <w:vAlign w:val="top"/>
            <w:gridSpan w:val="2"/>
            <w:tcBorders>
              <w:top w:val="single" w:color="FFFFFF" w:sz="4" w:space="0"/>
              <w:left w:val="single" w:color="FFFFFF" w:sz="2" w:space="0"/>
              <w:right w:val="single" w:color="FFFFFF" w:sz="2" w:space="0"/>
            </w:tcBorders>
          </w:tcPr>
          <w:p>
            <w:pPr>
              <w:ind w:left="1266"/>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2802" w:type="dxa"/>
            <w:vAlign w:val="top"/>
            <w:vMerge w:val="restart"/>
            <w:tcBorders>
              <w:bottom w:val="nil"/>
            </w:tcBorders>
          </w:tcPr>
          <w:p>
            <w:pPr>
              <w:ind w:left="1065"/>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166" w:type="dxa"/>
            <w:vAlign w:val="top"/>
            <w:vMerge w:val="restart"/>
            <w:tcBorders>
              <w:bottom w:val="nil"/>
            </w:tcBorders>
          </w:tcPr>
          <w:p>
            <w:pPr>
              <w:ind w:left="412"/>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251" w:type="dxa"/>
            <w:vAlign w:val="top"/>
            <w:gridSpan w:val="3"/>
          </w:tcPr>
          <w:p>
            <w:pPr>
              <w:ind w:left="1052"/>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80" w:type="dxa"/>
            <w:vAlign w:val="top"/>
            <w:vMerge w:val="restart"/>
            <w:tcBorders>
              <w:bottom w:val="nil"/>
            </w:tcBorders>
          </w:tcPr>
          <w:p>
            <w:pPr>
              <w:ind w:left="49"/>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9"/>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59" w:type="dxa"/>
            <w:vAlign w:val="top"/>
            <w:vMerge w:val="restart"/>
            <w:tcBorders>
              <w:bottom w:val="nil"/>
            </w:tcBorders>
          </w:tcPr>
          <w:p>
            <w:pPr>
              <w:ind w:left="96"/>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2802" w:type="dxa"/>
            <w:vAlign w:val="top"/>
            <w:vMerge w:val="continue"/>
            <w:tcBorders>
              <w:top w:val="nil"/>
            </w:tcBorders>
          </w:tcPr>
          <w:p>
            <w:pPr>
              <w:pStyle w:val="TableText"/>
              <w:rPr/>
            </w:pPr>
            <w:r/>
          </w:p>
        </w:tc>
        <w:tc>
          <w:tcPr>
            <w:tcW w:w="1166" w:type="dxa"/>
            <w:vAlign w:val="top"/>
            <w:vMerge w:val="continue"/>
            <w:tcBorders>
              <w:top w:val="nil"/>
            </w:tcBorders>
          </w:tcPr>
          <w:p>
            <w:pPr>
              <w:pStyle w:val="TableText"/>
              <w:rPr/>
            </w:pPr>
            <w:r/>
          </w:p>
        </w:tc>
        <w:tc>
          <w:tcPr>
            <w:tcW w:w="1166" w:type="dxa"/>
            <w:vAlign w:val="top"/>
          </w:tcPr>
          <w:p>
            <w:pPr>
              <w:ind w:left="86"/>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62" w:right="95"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53" w:type="dxa"/>
            <w:vAlign w:val="top"/>
          </w:tcPr>
          <w:p>
            <w:pPr>
              <w:ind w:left="67"/>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33"/>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80" w:type="dxa"/>
            <w:vAlign w:val="top"/>
            <w:vMerge w:val="continue"/>
            <w:tcBorders>
              <w:top w:val="nil"/>
            </w:tcBorders>
          </w:tcPr>
          <w:p>
            <w:pPr>
              <w:pStyle w:val="TableText"/>
              <w:rPr/>
            </w:pPr>
            <w:r/>
          </w:p>
        </w:tc>
        <w:tc>
          <w:tcPr>
            <w:tcW w:w="859" w:type="dxa"/>
            <w:vAlign w:val="top"/>
            <w:vMerge w:val="continue"/>
            <w:tcBorders>
              <w:top w:val="nil"/>
            </w:tcBorders>
          </w:tcPr>
          <w:p>
            <w:pPr>
              <w:pStyle w:val="TableText"/>
              <w:rPr/>
            </w:pPr>
            <w:r/>
          </w:p>
        </w:tc>
      </w:tr>
      <w:tr>
        <w:trPr>
          <w:trHeight w:val="378" w:hRule="atLeast"/>
        </w:trPr>
        <w:tc>
          <w:tcPr>
            <w:tcW w:w="2802" w:type="dxa"/>
            <w:vAlign w:val="top"/>
          </w:tcPr>
          <w:p>
            <w:pPr>
              <w:ind w:left="1363"/>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166" w:type="dxa"/>
            <w:vAlign w:val="top"/>
          </w:tcPr>
          <w:p>
            <w:pPr>
              <w:ind w:left="536"/>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166" w:type="dxa"/>
            <w:vAlign w:val="top"/>
          </w:tcPr>
          <w:p>
            <w:pPr>
              <w:ind w:left="538"/>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7"/>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53" w:type="dxa"/>
            <w:vAlign w:val="top"/>
          </w:tcPr>
          <w:p>
            <w:pPr>
              <w:ind w:left="582"/>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80" w:type="dxa"/>
            <w:vAlign w:val="top"/>
          </w:tcPr>
          <w:p>
            <w:pPr>
              <w:ind w:left="496"/>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59" w:type="dxa"/>
            <w:vAlign w:val="top"/>
          </w:tcPr>
          <w:p>
            <w:pPr>
              <w:ind w:left="387"/>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8" w:hRule="atLeast"/>
        </w:trPr>
        <w:tc>
          <w:tcPr>
            <w:tcW w:w="2802" w:type="dxa"/>
            <w:vAlign w:val="top"/>
          </w:tcPr>
          <w:p>
            <w:pPr>
              <w:ind w:left="88"/>
              <w:spacing w:before="115" w:line="228" w:lineRule="auto"/>
              <w:rPr>
                <w:rFonts w:ascii="SimSun" w:hAnsi="SimSun" w:eastAsia="SimSun" w:cs="SimSun"/>
                <w:sz w:val="15"/>
                <w:szCs w:val="15"/>
              </w:rPr>
            </w:pPr>
            <w:r>
              <w:rPr>
                <w:rFonts w:ascii="SimSun" w:hAnsi="SimSun" w:eastAsia="SimSun" w:cs="SimSun"/>
                <w:sz w:val="15"/>
                <w:szCs w:val="15"/>
                <w:color w:val="212529"/>
                <w:spacing w:val="11"/>
              </w:rPr>
              <w:t>长治高新区社会保险中心</w:t>
            </w:r>
          </w:p>
        </w:tc>
        <w:tc>
          <w:tcPr>
            <w:tcW w:w="1166" w:type="dxa"/>
            <w:vAlign w:val="top"/>
          </w:tcPr>
          <w:p>
            <w:pPr>
              <w:ind w:right="21"/>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144.50</w:t>
            </w:r>
          </w:p>
        </w:tc>
        <w:tc>
          <w:tcPr>
            <w:tcW w:w="1166" w:type="dxa"/>
            <w:vAlign w:val="top"/>
          </w:tcPr>
          <w:p>
            <w:pPr>
              <w:ind w:right="20"/>
              <w:spacing w:before="115"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144.50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8" w:hRule="atLeast"/>
        </w:trPr>
        <w:tc>
          <w:tcPr>
            <w:tcW w:w="2802" w:type="dxa"/>
            <w:vAlign w:val="top"/>
          </w:tcPr>
          <w:p>
            <w:pPr>
              <w:ind w:left="171"/>
              <w:spacing w:before="116" w:line="229" w:lineRule="auto"/>
              <w:rPr>
                <w:rFonts w:ascii="SimSun" w:hAnsi="SimSun" w:eastAsia="SimSun" w:cs="SimSun"/>
                <w:sz w:val="15"/>
                <w:szCs w:val="15"/>
              </w:rPr>
            </w:pPr>
            <w:r>
              <w:rPr>
                <w:rFonts w:ascii="SimSun" w:hAnsi="SimSun" w:eastAsia="SimSun" w:cs="SimSun"/>
                <w:sz w:val="15"/>
                <w:szCs w:val="15"/>
                <w:color w:val="212529"/>
                <w:spacing w:val="8"/>
              </w:rPr>
              <w:t>2023年绩效工资</w:t>
            </w:r>
          </w:p>
        </w:tc>
        <w:tc>
          <w:tcPr>
            <w:tcW w:w="1166" w:type="dxa"/>
            <w:vAlign w:val="top"/>
          </w:tcPr>
          <w:p>
            <w:pPr>
              <w:ind w:right="21"/>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69.00</w:t>
            </w:r>
          </w:p>
        </w:tc>
        <w:tc>
          <w:tcPr>
            <w:tcW w:w="1166" w:type="dxa"/>
            <w:vAlign w:val="top"/>
          </w:tcPr>
          <w:p>
            <w:pPr>
              <w:ind w:right="20"/>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69.00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69"/>
              <w:spacing w:before="117" w:line="230" w:lineRule="auto"/>
              <w:rPr>
                <w:rFonts w:ascii="SimSun" w:hAnsi="SimSun" w:eastAsia="SimSun" w:cs="SimSun"/>
                <w:sz w:val="15"/>
                <w:szCs w:val="15"/>
              </w:rPr>
            </w:pPr>
            <w:r>
              <w:rPr>
                <w:rFonts w:ascii="SimSun" w:hAnsi="SimSun" w:eastAsia="SimSun" w:cs="SimSun"/>
                <w:sz w:val="15"/>
                <w:szCs w:val="15"/>
                <w:color w:val="212529"/>
                <w:spacing w:val="8"/>
              </w:rPr>
              <w:t>培训费</w:t>
            </w:r>
          </w:p>
        </w:tc>
        <w:tc>
          <w:tcPr>
            <w:tcW w:w="1166"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66"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72"/>
              <w:spacing w:before="117" w:line="229" w:lineRule="auto"/>
              <w:rPr>
                <w:rFonts w:ascii="SimSun" w:hAnsi="SimSun" w:eastAsia="SimSun" w:cs="SimSun"/>
                <w:sz w:val="15"/>
                <w:szCs w:val="15"/>
              </w:rPr>
            </w:pPr>
            <w:r>
              <w:rPr>
                <w:rFonts w:ascii="SimSun" w:hAnsi="SimSun" w:eastAsia="SimSun" w:cs="SimSun"/>
                <w:sz w:val="15"/>
                <w:szCs w:val="15"/>
                <w:color w:val="212529"/>
                <w:spacing w:val="8"/>
              </w:rPr>
              <w:t>办公经费</w:t>
            </w:r>
          </w:p>
        </w:tc>
        <w:tc>
          <w:tcPr>
            <w:tcW w:w="1166" w:type="dxa"/>
            <w:vAlign w:val="top"/>
          </w:tcPr>
          <w:p>
            <w:pPr>
              <w:ind w:right="21"/>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1166"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658"/>
              <w:spacing w:before="118" w:line="229" w:lineRule="auto"/>
              <w:rPr>
                <w:rFonts w:ascii="SimSun" w:hAnsi="SimSun" w:eastAsia="SimSun" w:cs="SimSun"/>
                <w:sz w:val="15"/>
                <w:szCs w:val="15"/>
              </w:rPr>
            </w:pPr>
            <w:r>
              <w:rPr>
                <w:rFonts w:ascii="SimSun" w:hAnsi="SimSun" w:eastAsia="SimSun" w:cs="SimSun"/>
                <w:sz w:val="15"/>
                <w:szCs w:val="15"/>
                <w:color w:val="212529"/>
                <w:spacing w:val="10"/>
              </w:rPr>
              <w:t>企业退休人员烤火费</w:t>
            </w:r>
          </w:p>
        </w:tc>
        <w:tc>
          <w:tcPr>
            <w:tcW w:w="1166" w:type="dxa"/>
            <w:vAlign w:val="top"/>
          </w:tcPr>
          <w:p>
            <w:pPr>
              <w:ind w:right="21"/>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55.00</w:t>
            </w:r>
          </w:p>
        </w:tc>
        <w:tc>
          <w:tcPr>
            <w:tcW w:w="1166" w:type="dxa"/>
            <w:vAlign w:val="top"/>
          </w:tcPr>
          <w:p>
            <w:pPr>
              <w:ind w:right="20"/>
              <w:spacing w:before="118"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55.00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79" w:hRule="atLeast"/>
        </w:trPr>
        <w:tc>
          <w:tcPr>
            <w:tcW w:w="2802" w:type="dxa"/>
            <w:vAlign w:val="top"/>
          </w:tcPr>
          <w:p>
            <w:pPr>
              <w:ind w:left="169"/>
              <w:spacing w:before="118" w:line="230" w:lineRule="auto"/>
              <w:rPr>
                <w:rFonts w:ascii="SimSun" w:hAnsi="SimSun" w:eastAsia="SimSun" w:cs="SimSun"/>
                <w:sz w:val="15"/>
                <w:szCs w:val="15"/>
              </w:rPr>
            </w:pPr>
            <w:r>
              <w:rPr>
                <w:rFonts w:ascii="SimSun" w:hAnsi="SimSun" w:eastAsia="SimSun" w:cs="SimSun"/>
                <w:sz w:val="15"/>
                <w:szCs w:val="15"/>
                <w:color w:val="212529"/>
                <w:spacing w:val="9"/>
              </w:rPr>
              <w:t>招商经费</w:t>
            </w:r>
          </w:p>
        </w:tc>
        <w:tc>
          <w:tcPr>
            <w:tcW w:w="1166"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1166"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5.00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r>
        <w:trPr>
          <w:trHeight w:val="384" w:hRule="atLeast"/>
        </w:trPr>
        <w:tc>
          <w:tcPr>
            <w:tcW w:w="2802" w:type="dxa"/>
            <w:vAlign w:val="top"/>
          </w:tcPr>
          <w:p>
            <w:pPr>
              <w:ind w:left="168"/>
              <w:spacing w:before="118" w:line="229" w:lineRule="auto"/>
              <w:rPr>
                <w:rFonts w:ascii="SimSun" w:hAnsi="SimSun" w:eastAsia="SimSun" w:cs="SimSun"/>
                <w:sz w:val="15"/>
                <w:szCs w:val="15"/>
              </w:rPr>
            </w:pPr>
            <w:r>
              <w:rPr>
                <w:rFonts w:ascii="SimSun" w:hAnsi="SimSun" w:eastAsia="SimSun" w:cs="SimSun"/>
                <w:sz w:val="15"/>
                <w:szCs w:val="15"/>
                <w:color w:val="212529"/>
                <w:spacing w:val="11"/>
              </w:rPr>
              <w:t>三险统征数据整合经费</w:t>
            </w:r>
          </w:p>
        </w:tc>
        <w:tc>
          <w:tcPr>
            <w:tcW w:w="1166" w:type="dxa"/>
            <w:vAlign w:val="top"/>
          </w:tcPr>
          <w:p>
            <w:pPr>
              <w:ind w:right="21"/>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7.50</w:t>
            </w:r>
          </w:p>
        </w:tc>
        <w:tc>
          <w:tcPr>
            <w:tcW w:w="1166" w:type="dxa"/>
            <w:vAlign w:val="top"/>
          </w:tcPr>
          <w:p>
            <w:pPr>
              <w:ind w:right="20"/>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7.50</w:t>
            </w:r>
          </w:p>
        </w:tc>
        <w:tc>
          <w:tcPr>
            <w:tcW w:w="832" w:type="dxa"/>
            <w:vAlign w:val="top"/>
          </w:tcPr>
          <w:p>
            <w:pPr>
              <w:pStyle w:val="TableText"/>
              <w:rPr/>
            </w:pPr>
            <w:r/>
          </w:p>
        </w:tc>
        <w:tc>
          <w:tcPr>
            <w:tcW w:w="1253" w:type="dxa"/>
            <w:vAlign w:val="top"/>
          </w:tcPr>
          <w:p>
            <w:pPr>
              <w:pStyle w:val="TableText"/>
              <w:rPr/>
            </w:pPr>
            <w:r/>
          </w:p>
        </w:tc>
        <w:tc>
          <w:tcPr>
            <w:tcW w:w="1080" w:type="dxa"/>
            <w:vAlign w:val="top"/>
          </w:tcPr>
          <w:p>
            <w:pPr>
              <w:pStyle w:val="TableText"/>
              <w:rPr/>
            </w:pPr>
            <w:r/>
          </w:p>
        </w:tc>
        <w:tc>
          <w:tcPr>
            <w:tcW w:w="859" w:type="dxa"/>
            <w:vAlign w:val="top"/>
          </w:tcPr>
          <w:p>
            <w:pPr>
              <w:pStyle w:val="TableText"/>
              <w:rPr/>
            </w:pPr>
            <w:r/>
          </w:p>
        </w:tc>
      </w:tr>
    </w:tbl>
    <w:p>
      <w:pPr>
        <w:pStyle w:val="BodyText"/>
        <w:rPr/>
      </w:pPr>
      <w:r/>
    </w:p>
    <w:p>
      <w:pPr>
        <w:sectPr>
          <w:headerReference w:type="default" r:id="rId30"/>
          <w:footerReference w:type="default" r:id="rId31"/>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828"/>
        <w:gridCol w:w="1296"/>
        <w:gridCol w:w="1415"/>
        <w:gridCol w:w="1372"/>
        <w:gridCol w:w="1247"/>
      </w:tblGrid>
      <w:tr>
        <w:trPr>
          <w:trHeight w:val="383" w:hRule="atLeast"/>
        </w:trPr>
        <w:tc>
          <w:tcPr>
            <w:tcW w:w="38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11" w:type="dxa"/>
            <w:vAlign w:val="top"/>
            <w:gridSpan w:val="4"/>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单位名称：长治高新区社会保险中心</w:t>
            </w:r>
          </w:p>
        </w:tc>
        <w:tc>
          <w:tcPr>
            <w:tcW w:w="1247" w:type="dxa"/>
            <w:vAlign w:val="top"/>
            <w:tcBorders>
              <w:left w:val="single" w:color="FFFFFF" w:sz="2" w:space="0"/>
              <w:right w:val="single" w:color="FFFFFF" w:sz="2" w:space="0"/>
              <w:top w:val="single" w:color="FFFFFF" w:sz="4" w:space="0"/>
            </w:tcBorders>
          </w:tcPr>
          <w:p>
            <w:pPr>
              <w:ind w:left="574"/>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28" w:type="dxa"/>
            <w:vAlign w:val="top"/>
            <w:vMerge w:val="restart"/>
            <w:tcBorders>
              <w:bottom w:val="nil"/>
            </w:tcBorders>
          </w:tcPr>
          <w:p>
            <w:pPr>
              <w:ind w:left="1577"/>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96" w:type="dxa"/>
            <w:vAlign w:val="top"/>
            <w:vMerge w:val="restart"/>
            <w:tcBorders>
              <w:bottom w:val="nil"/>
            </w:tcBorders>
          </w:tcPr>
          <w:p>
            <w:pPr>
              <w:ind w:left="477"/>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4034" w:type="dxa"/>
            <w:vAlign w:val="top"/>
            <w:gridSpan w:val="3"/>
          </w:tcPr>
          <w:p>
            <w:pPr>
              <w:ind w:left="1442"/>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828" w:type="dxa"/>
            <w:vAlign w:val="top"/>
            <w:vMerge w:val="continue"/>
            <w:tcBorders>
              <w:top w:val="nil"/>
            </w:tcBorders>
          </w:tcPr>
          <w:p>
            <w:pPr>
              <w:pStyle w:val="TableText"/>
              <w:rPr/>
            </w:pPr>
            <w:r/>
          </w:p>
        </w:tc>
        <w:tc>
          <w:tcPr>
            <w:tcW w:w="1296" w:type="dxa"/>
            <w:vAlign w:val="top"/>
            <w:vMerge w:val="continue"/>
            <w:tcBorders>
              <w:top w:val="nil"/>
            </w:tcBorders>
          </w:tcPr>
          <w:p>
            <w:pPr>
              <w:pStyle w:val="TableText"/>
              <w:rPr/>
            </w:pPr>
            <w:r/>
          </w:p>
        </w:tc>
        <w:tc>
          <w:tcPr>
            <w:tcW w:w="1415" w:type="dxa"/>
            <w:vAlign w:val="top"/>
          </w:tcPr>
          <w:p>
            <w:pPr>
              <w:ind w:left="209"/>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72" w:type="dxa"/>
            <w:vAlign w:val="top"/>
          </w:tcPr>
          <w:p>
            <w:pPr>
              <w:ind w:left="269"/>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w:t>
            </w:r>
          </w:p>
          <w:p>
            <w:pPr>
              <w:ind w:left="510"/>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47" w:type="dxa"/>
            <w:vAlign w:val="top"/>
          </w:tcPr>
          <w:p>
            <w:pPr>
              <w:ind w:left="304"/>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88"/>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828" w:type="dxa"/>
            <w:vAlign w:val="top"/>
          </w:tcPr>
          <w:p>
            <w:pPr>
              <w:ind w:left="1875"/>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96" w:type="dxa"/>
            <w:vAlign w:val="top"/>
          </w:tcPr>
          <w:p>
            <w:pPr>
              <w:ind w:left="600"/>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415" w:type="dxa"/>
            <w:vAlign w:val="top"/>
          </w:tcPr>
          <w:p>
            <w:pPr>
              <w:ind w:left="661"/>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72" w:type="dxa"/>
            <w:vAlign w:val="top"/>
          </w:tcPr>
          <w:p>
            <w:pPr>
              <w:ind w:left="635"/>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7" w:type="dxa"/>
            <w:vAlign w:val="top"/>
          </w:tcPr>
          <w:p>
            <w:pPr>
              <w:ind w:left="576"/>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828" w:type="dxa"/>
            <w:vAlign w:val="top"/>
          </w:tcPr>
          <w:p>
            <w:pPr>
              <w:pStyle w:val="TableText"/>
              <w:rPr/>
            </w:pPr>
            <w:r/>
          </w:p>
        </w:tc>
        <w:tc>
          <w:tcPr>
            <w:tcW w:w="1296" w:type="dxa"/>
            <w:vAlign w:val="top"/>
          </w:tcPr>
          <w:p>
            <w:pPr>
              <w:pStyle w:val="TableText"/>
              <w:rPr/>
            </w:pPr>
            <w:r/>
          </w:p>
        </w:tc>
        <w:tc>
          <w:tcPr>
            <w:tcW w:w="1415" w:type="dxa"/>
            <w:vAlign w:val="top"/>
          </w:tcPr>
          <w:p>
            <w:pPr>
              <w:pStyle w:val="TableText"/>
              <w:rPr/>
            </w:pPr>
            <w:r/>
          </w:p>
        </w:tc>
        <w:tc>
          <w:tcPr>
            <w:tcW w:w="1372" w:type="dxa"/>
            <w:vAlign w:val="top"/>
          </w:tcPr>
          <w:p>
            <w:pPr>
              <w:pStyle w:val="TableText"/>
              <w:rPr/>
            </w:pPr>
            <w:r/>
          </w:p>
        </w:tc>
        <w:tc>
          <w:tcPr>
            <w:tcW w:w="1247" w:type="dxa"/>
            <w:vAlign w:val="top"/>
          </w:tcPr>
          <w:p>
            <w:pPr>
              <w:pStyle w:val="TableText"/>
              <w:rPr/>
            </w:pPr>
            <w:r/>
          </w:p>
        </w:tc>
      </w:tr>
      <w:tr>
        <w:trPr>
          <w:trHeight w:val="383" w:hRule="atLeast"/>
        </w:trPr>
        <w:tc>
          <w:tcPr>
            <w:tcW w:w="3828" w:type="dxa"/>
            <w:vAlign w:val="top"/>
            <w:tcBorders>
              <w:left w:val="single" w:color="FFFFFF" w:sz="4" w:space="0"/>
              <w:bottom w:val="single" w:color="FFFFFF" w:sz="4" w:space="0"/>
              <w:right w:val="single" w:color="000000" w:sz="2"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296"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372" w:type="dxa"/>
            <w:vAlign w:val="top"/>
            <w:tcBorders>
              <w:left w:val="single" w:color="FFFFFF" w:sz="2" w:space="0"/>
              <w:right w:val="single" w:color="FFFFFF" w:sz="2" w:space="0"/>
              <w:bottom w:val="single" w:color="FFFFFF" w:sz="4" w:space="0"/>
            </w:tcBorders>
          </w:tcPr>
          <w:p>
            <w:pPr>
              <w:pStyle w:val="TableText"/>
              <w:rPr/>
            </w:pPr>
            <w:r/>
          </w:p>
        </w:tc>
        <w:tc>
          <w:tcPr>
            <w:tcW w:w="1247"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32"/>
          <w:footerReference w:type="default" r:id="rId33"/>
          <w:pgSz w:w="11900" w:h="16840"/>
          <w:pgMar w:top="642" w:right="0" w:bottom="340" w:left="0" w:header="326" w:footer="111" w:gutter="0"/>
        </w:sectPr>
        <w:rPr/>
      </w:pPr>
    </w:p>
    <w:p>
      <w:pPr>
        <w:pStyle w:val="BodyText"/>
        <w:spacing w:line="334" w:lineRule="auto"/>
        <w:rPr/>
      </w:pPr>
      <w:r/>
    </w:p>
    <w:p>
      <w:pPr>
        <w:pStyle w:val="BodyText"/>
        <w:spacing w:line="335" w:lineRule="auto"/>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63" w:right="1223" w:firstLine="457"/>
        <w:spacing w:before="187" w:line="322" w:lineRule="auto"/>
        <w:rPr>
          <w:rFonts w:ascii="FangSong" w:hAnsi="FangSong" w:eastAsia="FangSong" w:cs="FangSong"/>
          <w:sz w:val="23"/>
          <w:szCs w:val="23"/>
        </w:rPr>
      </w:pPr>
      <w:r>
        <w:rPr>
          <w:rFonts w:ascii="FangSong" w:hAnsi="FangSong" w:eastAsia="FangSong" w:cs="FangSong"/>
          <w:sz w:val="23"/>
          <w:szCs w:val="23"/>
          <w:spacing w:val="5"/>
        </w:rPr>
        <w:t>2025年度长治高新区社会保险中心预算收入总计278.12万</w:t>
      </w:r>
      <w:r>
        <w:rPr>
          <w:rFonts w:ascii="FangSong" w:hAnsi="FangSong" w:eastAsia="FangSong" w:cs="FangSong"/>
          <w:sz w:val="23"/>
          <w:szCs w:val="23"/>
          <w:spacing w:val="4"/>
        </w:rPr>
        <w:t>元，其中：本年收入278.12万</w:t>
      </w:r>
      <w:r>
        <w:rPr>
          <w:rFonts w:ascii="FangSong" w:hAnsi="FangSong" w:eastAsia="FangSong" w:cs="FangSong"/>
          <w:sz w:val="23"/>
          <w:szCs w:val="23"/>
        </w:rPr>
        <w:t xml:space="preserve"> </w:t>
      </w:r>
      <w:r>
        <w:rPr>
          <w:rFonts w:ascii="FangSong" w:hAnsi="FangSong" w:eastAsia="FangSong" w:cs="FangSong"/>
          <w:sz w:val="23"/>
          <w:szCs w:val="23"/>
          <w:spacing w:val="2"/>
        </w:rPr>
        <w:t>元，上年结转0万元，比上年减少720.36万元，下降72.15%，主要原因是山西立讯公司社保补</w:t>
      </w:r>
      <w:r>
        <w:rPr>
          <w:rFonts w:ascii="FangSong" w:hAnsi="FangSong" w:eastAsia="FangSong" w:cs="FangSong"/>
          <w:sz w:val="23"/>
          <w:szCs w:val="23"/>
          <w:spacing w:val="3"/>
        </w:rPr>
        <w:t xml:space="preserve"> </w:t>
      </w:r>
      <w:r>
        <w:rPr>
          <w:rFonts w:ascii="FangSong" w:hAnsi="FangSong" w:eastAsia="FangSong" w:cs="FangSong"/>
          <w:sz w:val="23"/>
          <w:szCs w:val="23"/>
          <w:spacing w:val="5"/>
        </w:rPr>
        <w:t>助全年预算800万，但是只发放了半年310</w:t>
      </w:r>
      <w:r>
        <w:rPr>
          <w:rFonts w:ascii="FangSong" w:hAnsi="FangSong" w:eastAsia="FangSong" w:cs="FangSong"/>
          <w:sz w:val="23"/>
          <w:szCs w:val="23"/>
          <w:spacing w:val="4"/>
        </w:rPr>
        <w:t>万。；本年单位预算支出总计278.12万元，其中：</w:t>
      </w:r>
      <w:r>
        <w:rPr>
          <w:rFonts w:ascii="FangSong" w:hAnsi="FangSong" w:eastAsia="FangSong" w:cs="FangSong"/>
          <w:sz w:val="23"/>
          <w:szCs w:val="23"/>
        </w:rPr>
        <w:t xml:space="preserve"> </w:t>
      </w:r>
      <w:r>
        <w:rPr>
          <w:rFonts w:ascii="FangSong" w:hAnsi="FangSong" w:eastAsia="FangSong" w:cs="FangSong"/>
          <w:sz w:val="23"/>
          <w:szCs w:val="23"/>
          <w:spacing w:val="2"/>
        </w:rPr>
        <w:t>本年预算安排278.12万元，上年结转0万元，比上年减少720.36万元，下降72.15%，主</w:t>
      </w:r>
      <w:r>
        <w:rPr>
          <w:rFonts w:ascii="FangSong" w:hAnsi="FangSong" w:eastAsia="FangSong" w:cs="FangSong"/>
          <w:sz w:val="23"/>
          <w:szCs w:val="23"/>
          <w:spacing w:val="1"/>
        </w:rPr>
        <w:t>要原因</w:t>
      </w:r>
      <w:r>
        <w:rPr>
          <w:rFonts w:ascii="FangSong" w:hAnsi="FangSong" w:eastAsia="FangSong" w:cs="FangSong"/>
          <w:sz w:val="23"/>
          <w:szCs w:val="23"/>
        </w:rPr>
        <w:t xml:space="preserve"> </w:t>
      </w:r>
      <w:r>
        <w:rPr>
          <w:rFonts w:ascii="FangSong" w:hAnsi="FangSong" w:eastAsia="FangSong" w:cs="FangSong"/>
          <w:sz w:val="23"/>
          <w:szCs w:val="23"/>
        </w:rPr>
        <w:t>是山西立讯公司社保补助全年预算800万，但是只发放了半年310万。</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720"/>
        <w:spacing w:before="185" w:line="221" w:lineRule="auto"/>
        <w:rPr>
          <w:rFonts w:ascii="FangSong" w:hAnsi="FangSong" w:eastAsia="FangSong" w:cs="FangSong"/>
          <w:sz w:val="23"/>
          <w:szCs w:val="23"/>
        </w:rPr>
      </w:pPr>
      <w:r>
        <w:rPr>
          <w:rFonts w:ascii="FangSong" w:hAnsi="FangSong" w:eastAsia="FangSong" w:cs="FangSong"/>
          <w:sz w:val="23"/>
          <w:szCs w:val="23"/>
          <w:spacing w:val="5"/>
        </w:rPr>
        <w:t>2025年度长治高新区社会保险中心预算收入278.12万元，主要包括一般公共预算拨款收</w:t>
      </w:r>
    </w:p>
    <w:p>
      <w:pPr>
        <w:ind w:left="1263" w:right="1223"/>
        <w:spacing w:before="125" w:line="320" w:lineRule="auto"/>
        <w:jc w:val="right"/>
        <w:rPr>
          <w:rFonts w:ascii="FangSong" w:hAnsi="FangSong" w:eastAsia="FangSong" w:cs="FangSong"/>
          <w:sz w:val="23"/>
          <w:szCs w:val="23"/>
        </w:rPr>
      </w:pPr>
      <w:r>
        <w:rPr>
          <w:rFonts w:ascii="FangSong" w:hAnsi="FangSong" w:eastAsia="FangSong" w:cs="FangSong"/>
          <w:sz w:val="23"/>
          <w:szCs w:val="23"/>
          <w:spacing w:val="1"/>
        </w:rPr>
        <w:t>入2</w:t>
      </w:r>
      <w:r>
        <w:rPr>
          <w:rFonts w:ascii="FangSong" w:hAnsi="FangSong" w:eastAsia="FangSong" w:cs="FangSong"/>
          <w:sz w:val="23"/>
          <w:szCs w:val="23"/>
          <w:spacing w:val="1"/>
        </w:rPr>
        <w:t xml:space="preserve">  </w:t>
      </w:r>
      <w:r>
        <w:rPr>
          <w:rFonts w:ascii="FangSong" w:hAnsi="FangSong" w:eastAsia="FangSong" w:cs="FangSong"/>
          <w:sz w:val="23"/>
          <w:szCs w:val="23"/>
          <w:spacing w:val="1"/>
        </w:rPr>
        <w:t>.12万元，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占100.00%；政府性基金预算拨款收入0万元，</w:t>
      </w:r>
      <w:r>
        <w:rPr>
          <w:rFonts w:ascii="FangSong" w:hAnsi="FangSong" w:eastAsia="FangSong" w:cs="FangSong"/>
          <w:sz w:val="23"/>
          <w:szCs w:val="23"/>
          <w:spacing w:val="-54"/>
        </w:rPr>
        <w:t xml:space="preserve"> </w:t>
      </w:r>
      <w:r>
        <w:rPr>
          <w:rFonts w:ascii="FangSong" w:hAnsi="FangSong" w:eastAsia="FangSong" w:cs="FangSong"/>
          <w:sz w:val="23"/>
          <w:szCs w:val="23"/>
          <w:spacing w:val="1"/>
        </w:rPr>
        <w:t>占0%；</w:t>
      </w:r>
      <w:r>
        <w:rPr>
          <w:rFonts w:ascii="FangSong" w:hAnsi="FangSong" w:eastAsia="FangSong" w:cs="FangSong"/>
          <w:sz w:val="23"/>
          <w:szCs w:val="23"/>
          <w:spacing w:val="-66"/>
        </w:rPr>
        <w:t xml:space="preserve"> </w:t>
      </w:r>
      <w:r>
        <w:rPr>
          <w:rFonts w:ascii="FangSong" w:hAnsi="FangSong" w:eastAsia="FangSong" w:cs="FangSong"/>
          <w:sz w:val="23"/>
          <w:szCs w:val="23"/>
          <w:spacing w:val="1"/>
        </w:rPr>
        <w:t>国有</w:t>
      </w:r>
      <w:r>
        <w:rPr>
          <w:rFonts w:ascii="FangSong" w:hAnsi="FangSong" w:eastAsia="FangSong" w:cs="FangSong"/>
          <w:sz w:val="23"/>
          <w:szCs w:val="23"/>
        </w:rPr>
        <w:t>资本经营</w:t>
      </w:r>
      <w:r>
        <w:rPr>
          <w:rFonts w:ascii="FangSong" w:hAnsi="FangSong" w:eastAsia="FangSong" w:cs="FangSong"/>
          <w:sz w:val="23"/>
          <w:szCs w:val="23"/>
        </w:rPr>
        <w:t xml:space="preserve">    </w:t>
      </w:r>
      <w:r>
        <w:rPr>
          <w:rFonts w:ascii="FangSong" w:hAnsi="FangSong" w:eastAsia="FangSong" w:cs="FangSong"/>
          <w:sz w:val="23"/>
          <w:szCs w:val="23"/>
        </w:rPr>
        <w:t>拨款</w:t>
      </w:r>
      <w:r>
        <w:rPr>
          <w:rFonts w:ascii="FangSong" w:hAnsi="FangSong" w:eastAsia="FangSong" w:cs="FangSong"/>
          <w:sz w:val="23"/>
          <w:szCs w:val="23"/>
        </w:rPr>
        <w:t xml:space="preserve"> </w:t>
      </w:r>
      <w:r>
        <w:rPr>
          <w:rFonts w:ascii="FangSong" w:hAnsi="FangSong" w:eastAsia="FangSong" w:cs="FangSong"/>
          <w:sz w:val="23"/>
          <w:szCs w:val="23"/>
          <w:spacing w:val="1"/>
        </w:rPr>
        <w:t>0万元，</w:t>
      </w:r>
      <w:r>
        <w:rPr>
          <w:rFonts w:ascii="FangSong" w:hAnsi="FangSong" w:eastAsia="FangSong" w:cs="FangSong"/>
          <w:sz w:val="23"/>
          <w:szCs w:val="23"/>
          <w:spacing w:val="-55"/>
        </w:rPr>
        <w:t xml:space="preserve"> </w:t>
      </w:r>
      <w:r>
        <w:rPr>
          <w:rFonts w:ascii="FangSong" w:hAnsi="FangSong" w:eastAsia="FangSong" w:cs="FangSong"/>
          <w:sz w:val="23"/>
          <w:szCs w:val="23"/>
          <w:spacing w:val="1"/>
        </w:rPr>
        <w:t>占0%</w:t>
      </w:r>
      <w:r>
        <w:rPr>
          <w:rFonts w:ascii="FangSong" w:hAnsi="FangSong" w:eastAsia="FangSong" w:cs="FangSong"/>
          <w:sz w:val="23"/>
          <w:szCs w:val="23"/>
          <w:spacing w:val="1"/>
        </w:rPr>
        <w:t xml:space="preserve">  </w:t>
      </w:r>
      <w:r>
        <w:rPr>
          <w:rFonts w:ascii="FangSong" w:hAnsi="FangSong" w:eastAsia="FangSong" w:cs="FangSong"/>
          <w:sz w:val="23"/>
          <w:szCs w:val="23"/>
          <w:spacing w:val="1"/>
        </w:rPr>
        <w:t>财政专户管理资金收入0万元，</w:t>
      </w:r>
      <w:r>
        <w:rPr>
          <w:rFonts w:ascii="FangSong" w:hAnsi="FangSong" w:eastAsia="FangSong" w:cs="FangSong"/>
          <w:sz w:val="23"/>
          <w:szCs w:val="23"/>
          <w:spacing w:val="-55"/>
        </w:rPr>
        <w:t xml:space="preserve"> </w:t>
      </w:r>
      <w:r>
        <w:rPr>
          <w:rFonts w:ascii="FangSong" w:hAnsi="FangSong" w:eastAsia="FangSong" w:cs="FangSong"/>
          <w:sz w:val="23"/>
          <w:szCs w:val="23"/>
          <w:spacing w:val="1"/>
        </w:rPr>
        <w:t>占0%</w:t>
      </w:r>
      <w:r>
        <w:rPr>
          <w:rFonts w:ascii="FangSong" w:hAnsi="FangSong" w:eastAsia="FangSong" w:cs="FangSong"/>
          <w:sz w:val="23"/>
          <w:szCs w:val="23"/>
          <w:spacing w:val="1"/>
        </w:rPr>
        <w:t xml:space="preserve">  </w:t>
      </w:r>
      <w:r>
        <w:rPr>
          <w:rFonts w:ascii="FangSong" w:hAnsi="FangSong" w:eastAsia="FangSong" w:cs="FangSong"/>
          <w:sz w:val="23"/>
          <w:szCs w:val="23"/>
          <w:spacing w:val="1"/>
        </w:rPr>
        <w:t>单位资金0万元，</w:t>
      </w:r>
      <w:r>
        <w:rPr>
          <w:rFonts w:ascii="FangSong" w:hAnsi="FangSong" w:eastAsia="FangSong" w:cs="FangSong"/>
          <w:sz w:val="23"/>
          <w:szCs w:val="23"/>
          <w:spacing w:val="5"/>
        </w:rPr>
        <w:t xml:space="preserve">        </w:t>
      </w:r>
      <w:r>
        <w:rPr>
          <w:rFonts w:ascii="FangSong" w:hAnsi="FangSong" w:eastAsia="FangSong" w:cs="FangSong"/>
          <w:sz w:val="23"/>
          <w:szCs w:val="23"/>
          <w:spacing w:val="1"/>
        </w:rPr>
        <w:t>年结转0</w:t>
      </w:r>
    </w:p>
    <w:p>
      <w:pPr>
        <w:ind w:left="1265"/>
        <w:spacing w:before="14" w:line="226" w:lineRule="auto"/>
        <w:rPr>
          <w:rFonts w:ascii="FangSong" w:hAnsi="FangSong" w:eastAsia="FangSong" w:cs="FangSong"/>
          <w:sz w:val="23"/>
          <w:szCs w:val="23"/>
        </w:rPr>
      </w:pPr>
      <w:r>
        <w:rPr>
          <w:rFonts w:ascii="FangSong" w:hAnsi="FangSong" w:eastAsia="FangSong" w:cs="FangSong"/>
          <w:sz w:val="23"/>
          <w:szCs w:val="23"/>
          <w:spacing w:val="-10"/>
        </w:rPr>
        <w:t>万元，</w:t>
      </w:r>
      <w:r>
        <w:rPr>
          <w:rFonts w:ascii="FangSong" w:hAnsi="FangSong" w:eastAsia="FangSong" w:cs="FangSong"/>
          <w:sz w:val="23"/>
          <w:szCs w:val="23"/>
          <w:spacing w:val="-60"/>
        </w:rPr>
        <w:t xml:space="preserve"> </w:t>
      </w:r>
      <w:r>
        <w:rPr>
          <w:rFonts w:ascii="FangSong" w:hAnsi="FangSong" w:eastAsia="FangSong" w:cs="FangSong"/>
          <w:sz w:val="23"/>
          <w:szCs w:val="23"/>
          <w:spacing w:val="-10"/>
        </w:rPr>
        <w:t>占0%。</w:t>
      </w:r>
    </w:p>
    <w:p>
      <w:pPr>
        <w:pStyle w:val="BodyText"/>
        <w:spacing w:line="431" w:lineRule="auto"/>
        <w:rPr/>
      </w:pPr>
      <w:r/>
    </w:p>
    <w:p>
      <w:pPr>
        <w:ind w:firstLine="3665"/>
        <w:spacing w:line="2934" w:lineRule="exact"/>
        <w:rPr/>
      </w:pPr>
      <w:r>
        <w:rPr>
          <w:position w:val="-58"/>
        </w:rPr>
        <w:drawing>
          <wp:inline distT="0" distB="0" distL="0" distR="0">
            <wp:extent cx="2346419" cy="1863136"/>
            <wp:effectExtent l="0" t="0" r="0" b="0"/>
            <wp:docPr id="4" name="IM 4"/>
            <wp:cNvGraphicFramePr/>
            <a:graphic>
              <a:graphicData uri="http://schemas.openxmlformats.org/drawingml/2006/picture">
                <pic:pic>
                  <pic:nvPicPr>
                    <pic:cNvPr id="4" name="IM 4"/>
                    <pic:cNvPicPr/>
                  </pic:nvPicPr>
                  <pic:blipFill>
                    <a:blip r:embed="rId36"/>
                    <a:stretch>
                      <a:fillRect/>
                    </a:stretch>
                  </pic:blipFill>
                  <pic:spPr>
                    <a:xfrm rot="0">
                      <a:off x="0" y="0"/>
                      <a:ext cx="2346419" cy="1863136"/>
                    </a:xfrm>
                    <a:prstGeom prst="rect">
                      <a:avLst/>
                    </a:prstGeom>
                  </pic:spPr>
                </pic:pic>
              </a:graphicData>
            </a:graphic>
          </wp:inline>
        </w:drawing>
      </w:r>
    </w:p>
    <w:p>
      <w:pPr>
        <w:pStyle w:val="BodyText"/>
        <w:spacing w:line="269" w:lineRule="auto"/>
        <w:rPr/>
      </w:pPr>
      <w:r/>
    </w:p>
    <w:p>
      <w:pPr>
        <w:pStyle w:val="BodyText"/>
        <w:spacing w:line="270" w:lineRule="auto"/>
        <w:rPr/>
      </w:pPr>
      <w:r/>
    </w:p>
    <w:p>
      <w:pPr>
        <w:ind w:left="1262"/>
        <w:spacing w:before="96"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720"/>
        <w:spacing w:before="174" w:line="221" w:lineRule="auto"/>
        <w:rPr>
          <w:rFonts w:ascii="FangSong" w:hAnsi="FangSong" w:eastAsia="FangSong" w:cs="FangSong"/>
          <w:sz w:val="23"/>
          <w:szCs w:val="23"/>
        </w:rPr>
      </w:pPr>
      <w:r>
        <w:rPr>
          <w:rFonts w:ascii="FangSong" w:hAnsi="FangSong" w:eastAsia="FangSong" w:cs="FangSong"/>
          <w:sz w:val="23"/>
          <w:szCs w:val="23"/>
          <w:spacing w:val="4"/>
        </w:rPr>
        <w:t>2025年度</w:t>
      </w:r>
      <w:r>
        <w:rPr>
          <w:rFonts w:ascii="FangSong" w:hAnsi="FangSong" w:eastAsia="FangSong" w:cs="FangSong"/>
          <w:sz w:val="23"/>
          <w:szCs w:val="23"/>
          <w:spacing w:val="4"/>
        </w:rPr>
        <w:t xml:space="preserve">        </w:t>
      </w:r>
      <w:r>
        <w:rPr>
          <w:rFonts w:ascii="FangSong" w:hAnsi="FangSong" w:eastAsia="FangSong" w:cs="FangSong"/>
          <w:sz w:val="23"/>
          <w:szCs w:val="23"/>
          <w:spacing w:val="4"/>
        </w:rPr>
        <w:t>区社会保险中心支出预算278.12万元，其中：基本支出133.62万元，</w:t>
      </w:r>
    </w:p>
    <w:p>
      <w:pPr>
        <w:ind w:left="1303"/>
        <w:spacing w:before="136" w:line="224" w:lineRule="auto"/>
        <w:rPr>
          <w:rFonts w:ascii="FangSong" w:hAnsi="FangSong" w:eastAsia="FangSong" w:cs="FangSong"/>
          <w:sz w:val="23"/>
          <w:szCs w:val="23"/>
        </w:rPr>
      </w:pPr>
      <w:r>
        <w:rPr>
          <w:rFonts w:ascii="FangSong" w:hAnsi="FangSong" w:eastAsia="FangSong" w:cs="FangSong"/>
          <w:sz w:val="23"/>
          <w:szCs w:val="23"/>
          <w:spacing w:val="-6"/>
        </w:rPr>
        <w:t>占48.</w:t>
      </w:r>
      <w:r>
        <w:rPr>
          <w:rFonts w:ascii="FangSong" w:hAnsi="FangSong" w:eastAsia="FangSong" w:cs="FangSong"/>
          <w:sz w:val="23"/>
          <w:szCs w:val="23"/>
          <w:spacing w:val="3"/>
        </w:rPr>
        <w:t xml:space="preserve">         </w:t>
      </w:r>
      <w:r>
        <w:rPr>
          <w:rFonts w:ascii="FangSong" w:hAnsi="FangSong" w:eastAsia="FangSong" w:cs="FangSong"/>
          <w:sz w:val="23"/>
          <w:szCs w:val="23"/>
          <w:spacing w:val="-6"/>
        </w:rPr>
        <w:t>支出144.5万元，</w:t>
      </w:r>
      <w:r>
        <w:rPr>
          <w:rFonts w:ascii="FangSong" w:hAnsi="FangSong" w:eastAsia="FangSong" w:cs="FangSong"/>
          <w:sz w:val="23"/>
          <w:szCs w:val="23"/>
          <w:spacing w:val="-55"/>
        </w:rPr>
        <w:t xml:space="preserve"> </w:t>
      </w:r>
      <w:r>
        <w:rPr>
          <w:rFonts w:ascii="FangSong" w:hAnsi="FangSong" w:eastAsia="FangSong" w:cs="FangSong"/>
          <w:sz w:val="23"/>
          <w:szCs w:val="23"/>
          <w:spacing w:val="-6"/>
        </w:rPr>
        <w:t>占51.96%。</w:t>
      </w:r>
    </w:p>
    <w:p>
      <w:pPr>
        <w:ind w:left="1271"/>
        <w:spacing w:before="116"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3" w:right="1223" w:firstLine="456"/>
        <w:spacing w:before="175" w:line="324" w:lineRule="auto"/>
        <w:jc w:val="both"/>
        <w:rPr>
          <w:rFonts w:ascii="FangSong" w:hAnsi="FangSong" w:eastAsia="FangSong" w:cs="FangSong"/>
          <w:sz w:val="23"/>
          <w:szCs w:val="23"/>
        </w:rPr>
      </w:pPr>
      <w:r>
        <w:rPr>
          <w:rFonts w:ascii="FangSong" w:hAnsi="FangSong" w:eastAsia="FangSong" w:cs="FangSong"/>
          <w:sz w:val="23"/>
          <w:szCs w:val="23"/>
          <w:spacing w:val="5"/>
        </w:rPr>
        <w:t>2025年度长治高新区社会保险中心财政拨款收支总预算278.12万元。其中：一般公共预</w:t>
      </w:r>
      <w:r>
        <w:rPr>
          <w:rFonts w:ascii="FangSong" w:hAnsi="FangSong" w:eastAsia="FangSong" w:cs="FangSong"/>
          <w:sz w:val="23"/>
          <w:szCs w:val="23"/>
        </w:rPr>
        <w:t xml:space="preserve"> </w:t>
      </w:r>
      <w:r>
        <w:rPr>
          <w:rFonts w:ascii="FangSong" w:hAnsi="FangSong" w:eastAsia="FangSong" w:cs="FangSong"/>
          <w:sz w:val="23"/>
          <w:szCs w:val="23"/>
          <w:spacing w:val="3"/>
        </w:rPr>
        <w:t>算拨款278.12万元，政府性基金预算拨款0万元，</w:t>
      </w:r>
      <w:r>
        <w:rPr>
          <w:rFonts w:ascii="FangSong" w:hAnsi="FangSong" w:eastAsia="FangSong" w:cs="FangSong"/>
          <w:sz w:val="23"/>
          <w:szCs w:val="23"/>
          <w:spacing w:val="-68"/>
        </w:rPr>
        <w:t xml:space="preserve"> </w:t>
      </w:r>
      <w:r>
        <w:rPr>
          <w:rFonts w:ascii="FangSong" w:hAnsi="FangSong" w:eastAsia="FangSong" w:cs="FangSong"/>
          <w:sz w:val="23"/>
          <w:szCs w:val="23"/>
          <w:spacing w:val="2"/>
        </w:rPr>
        <w:t>国有资本经营预算拨款0万元。其中：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w:t>
      </w:r>
      <w:r>
        <w:rPr>
          <w:rFonts w:ascii="FangSong" w:hAnsi="FangSong" w:eastAsia="FangSong" w:cs="FangSong"/>
          <w:sz w:val="23"/>
          <w:szCs w:val="23"/>
        </w:rPr>
        <w:t xml:space="preserve"> </w:t>
      </w:r>
      <w:r>
        <w:rPr>
          <w:rFonts w:ascii="FangSong" w:hAnsi="FangSong" w:eastAsia="FangSong" w:cs="FangSong"/>
          <w:sz w:val="23"/>
          <w:szCs w:val="23"/>
          <w:spacing w:val="2"/>
        </w:rPr>
        <w:t>拨款收入278.12万元，上年结转收入0万元。支出包括：社会保障和就业支出258.15万元、卫</w:t>
      </w:r>
      <w:r>
        <w:rPr>
          <w:rFonts w:ascii="FangSong" w:hAnsi="FangSong" w:eastAsia="FangSong" w:cs="FangSong"/>
          <w:sz w:val="23"/>
          <w:szCs w:val="23"/>
          <w:spacing w:val="2"/>
        </w:rPr>
        <w:t xml:space="preserve"> </w:t>
      </w:r>
      <w:r>
        <w:rPr>
          <w:rFonts w:ascii="FangSong" w:hAnsi="FangSong" w:eastAsia="FangSong" w:cs="FangSong"/>
          <w:sz w:val="23"/>
          <w:szCs w:val="23"/>
        </w:rPr>
        <w:t>生健康支出9.97万元、住房保障支出10.00</w:t>
      </w:r>
      <w:r>
        <w:rPr>
          <w:rFonts w:ascii="FangSong" w:hAnsi="FangSong" w:eastAsia="FangSong" w:cs="FangSong"/>
          <w:sz w:val="23"/>
          <w:szCs w:val="23"/>
          <w:spacing w:val="-1"/>
        </w:rPr>
        <w:t>万元等。</w:t>
      </w:r>
    </w:p>
    <w:p>
      <w:pPr>
        <w:ind w:left="1264"/>
        <w:spacing w:before="2" w:line="230"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7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5" w:right="1223" w:firstLine="454"/>
        <w:spacing w:before="124" w:line="325" w:lineRule="auto"/>
        <w:rPr>
          <w:rFonts w:ascii="FangSong" w:hAnsi="FangSong" w:eastAsia="FangSong" w:cs="FangSong"/>
          <w:sz w:val="23"/>
          <w:szCs w:val="23"/>
        </w:rPr>
      </w:pPr>
      <w:r>
        <w:rPr>
          <w:rFonts w:ascii="FangSong" w:hAnsi="FangSong" w:eastAsia="FangSong" w:cs="FangSong"/>
          <w:sz w:val="23"/>
          <w:szCs w:val="23"/>
          <w:spacing w:val="2"/>
        </w:rPr>
        <w:t>2025年度长治高新区社会保险中心一般公共预算当年支出278.12万元,比上年减少720.36</w:t>
      </w:r>
      <w:r>
        <w:rPr>
          <w:rFonts w:ascii="FangSong" w:hAnsi="FangSong" w:eastAsia="FangSong" w:cs="FangSong"/>
          <w:sz w:val="23"/>
          <w:szCs w:val="23"/>
          <w:spacing w:val="5"/>
        </w:rPr>
        <w:t xml:space="preserve"> </w:t>
      </w:r>
      <w:r>
        <w:rPr>
          <w:rFonts w:ascii="FangSong" w:hAnsi="FangSong" w:eastAsia="FangSong" w:cs="FangSong"/>
          <w:sz w:val="23"/>
          <w:szCs w:val="23"/>
          <w:spacing w:val="-2"/>
        </w:rPr>
        <w:t>万元，下降72.15%。</w:t>
      </w:r>
    </w:p>
    <w:p>
      <w:pPr>
        <w:ind w:left="2204"/>
        <w:spacing w:line="222" w:lineRule="auto"/>
        <w:rPr>
          <w:rFonts w:ascii="FangSong" w:hAnsi="FangSong" w:eastAsia="FangSong" w:cs="FangSong"/>
          <w:sz w:val="23"/>
          <w:szCs w:val="23"/>
        </w:rPr>
      </w:pPr>
      <w:r>
        <w:rPr>
          <w:rFonts w:ascii="FangSong" w:hAnsi="FangSong" w:eastAsia="FangSong" w:cs="FangSong"/>
          <w:sz w:val="23"/>
          <w:szCs w:val="23"/>
          <w:spacing w:val="-4"/>
        </w:rPr>
        <w:t>)</w:t>
      </w:r>
      <w:r>
        <w:rPr>
          <w:rFonts w:ascii="FangSong" w:hAnsi="FangSong" w:eastAsia="FangSong" w:cs="FangSong"/>
          <w:sz w:val="23"/>
          <w:szCs w:val="23"/>
          <w:spacing w:val="34"/>
        </w:rPr>
        <w:t xml:space="preserve"> </w:t>
      </w:r>
      <w:r>
        <w:rPr>
          <w:rFonts w:ascii="FangSong" w:hAnsi="FangSong" w:eastAsia="FangSong" w:cs="FangSong"/>
          <w:sz w:val="23"/>
          <w:szCs w:val="23"/>
          <w:spacing w:val="-4"/>
        </w:rPr>
        <w:t>一般公共预算当年支出结构情况</w:t>
      </w:r>
    </w:p>
    <w:p>
      <w:pPr>
        <w:ind w:left="1720"/>
        <w:spacing w:before="124" w:line="221" w:lineRule="auto"/>
        <w:rPr>
          <w:rFonts w:ascii="FangSong" w:hAnsi="FangSong" w:eastAsia="FangSong" w:cs="FangSong"/>
          <w:sz w:val="23"/>
          <w:szCs w:val="23"/>
        </w:rPr>
      </w:pPr>
      <w:r>
        <w:rPr>
          <w:rFonts w:ascii="FangSong" w:hAnsi="FangSong" w:eastAsia="FangSong" w:cs="FangSong"/>
          <w:sz w:val="23"/>
          <w:szCs w:val="23"/>
          <w:spacing w:val="7"/>
        </w:rPr>
        <w:t>2025年度长治高新区社会保险中心一般公共预算当年支出278.12万</w:t>
      </w:r>
      <w:r>
        <w:rPr>
          <w:rFonts w:ascii="FangSong" w:hAnsi="FangSong" w:eastAsia="FangSong" w:cs="FangSong"/>
          <w:sz w:val="23"/>
          <w:szCs w:val="23"/>
          <w:spacing w:val="7"/>
        </w:rPr>
        <w:t xml:space="preserve">  </w:t>
      </w:r>
      <w:r>
        <w:rPr>
          <w:rFonts w:ascii="FangSong" w:hAnsi="FangSong" w:eastAsia="FangSong" w:cs="FangSong"/>
          <w:sz w:val="23"/>
          <w:szCs w:val="23"/>
          <w:spacing w:val="7"/>
        </w:rPr>
        <w:t>,</w:t>
      </w:r>
      <w:r>
        <w:rPr>
          <w:rFonts w:ascii="FangSong" w:hAnsi="FangSong" w:eastAsia="FangSong" w:cs="FangSong"/>
          <w:sz w:val="23"/>
          <w:szCs w:val="23"/>
          <w:spacing w:val="7"/>
        </w:rPr>
        <w:t xml:space="preserve">    </w:t>
      </w:r>
      <w:r>
        <w:rPr>
          <w:rFonts w:ascii="FangSong" w:hAnsi="FangSong" w:eastAsia="FangSong" w:cs="FangSong"/>
          <w:sz w:val="23"/>
          <w:szCs w:val="23"/>
          <w:spacing w:val="7"/>
        </w:rPr>
        <w:t>用于以下方</w:t>
      </w:r>
    </w:p>
    <w:p>
      <w:pPr>
        <w:ind w:left="1268"/>
        <w:spacing w:before="135" w:line="221" w:lineRule="auto"/>
        <w:rPr>
          <w:rFonts w:ascii="FangSong" w:hAnsi="FangSong" w:eastAsia="FangSong" w:cs="FangSong"/>
          <w:sz w:val="23"/>
          <w:szCs w:val="23"/>
        </w:rPr>
      </w:pPr>
      <w:r>
        <w:rPr>
          <w:rFonts w:ascii="FangSong" w:hAnsi="FangSong" w:eastAsia="FangSong" w:cs="FangSong"/>
          <w:sz w:val="23"/>
          <w:szCs w:val="23"/>
          <w:spacing w:val="-1"/>
        </w:rPr>
        <w:t>面：社会保障和就业支出258.15万元，</w:t>
      </w:r>
      <w:r>
        <w:rPr>
          <w:rFonts w:ascii="FangSong" w:hAnsi="FangSong" w:eastAsia="FangSong" w:cs="FangSong"/>
          <w:sz w:val="23"/>
          <w:szCs w:val="23"/>
          <w:spacing w:val="-47"/>
        </w:rPr>
        <w:t xml:space="preserve"> </w:t>
      </w:r>
      <w:r>
        <w:rPr>
          <w:rFonts w:ascii="FangSong" w:hAnsi="FangSong" w:eastAsia="FangSong" w:cs="FangSong"/>
          <w:sz w:val="23"/>
          <w:szCs w:val="23"/>
          <w:spacing w:val="-1"/>
        </w:rPr>
        <w:t>占92.82%</w:t>
      </w:r>
      <w:r>
        <w:rPr>
          <w:rFonts w:ascii="FangSong" w:hAnsi="FangSong" w:eastAsia="FangSong" w:cs="FangSong"/>
          <w:sz w:val="23"/>
          <w:szCs w:val="23"/>
          <w:spacing w:val="-1"/>
        </w:rPr>
        <w:t xml:space="preserve">  </w:t>
      </w:r>
      <w:r>
        <w:rPr>
          <w:rFonts w:ascii="FangSong" w:hAnsi="FangSong" w:eastAsia="FangSong" w:cs="FangSong"/>
          <w:sz w:val="23"/>
          <w:szCs w:val="23"/>
          <w:spacing w:val="-1"/>
        </w:rPr>
        <w:t>卫生健康支出9.</w:t>
      </w:r>
      <w:r>
        <w:rPr>
          <w:rFonts w:ascii="FangSong" w:hAnsi="FangSong" w:eastAsia="FangSong" w:cs="FangSong"/>
          <w:sz w:val="23"/>
          <w:szCs w:val="23"/>
          <w:spacing w:val="-1"/>
        </w:rPr>
        <w:t xml:space="preserve">      </w:t>
      </w:r>
      <w:r>
        <w:rPr>
          <w:rFonts w:ascii="FangSong" w:hAnsi="FangSong" w:eastAsia="FangSong" w:cs="FangSong"/>
          <w:sz w:val="23"/>
          <w:szCs w:val="23"/>
          <w:spacing w:val="-1"/>
        </w:rPr>
        <w:t>，</w:t>
      </w:r>
      <w:r>
        <w:rPr>
          <w:rFonts w:ascii="FangSong" w:hAnsi="FangSong" w:eastAsia="FangSong" w:cs="FangSong"/>
          <w:sz w:val="23"/>
          <w:szCs w:val="23"/>
          <w:spacing w:val="-57"/>
        </w:rPr>
        <w:t xml:space="preserve"> </w:t>
      </w:r>
      <w:r>
        <w:rPr>
          <w:rFonts w:ascii="FangSong" w:hAnsi="FangSong" w:eastAsia="FangSong" w:cs="FangSong"/>
          <w:sz w:val="23"/>
          <w:szCs w:val="23"/>
          <w:spacing w:val="-1"/>
        </w:rPr>
        <w:t>占3.58%</w:t>
      </w:r>
      <w:r>
        <w:rPr>
          <w:rFonts w:ascii="FangSong" w:hAnsi="FangSong" w:eastAsia="FangSong" w:cs="FangSong"/>
          <w:sz w:val="23"/>
          <w:szCs w:val="23"/>
          <w:spacing w:val="9"/>
        </w:rPr>
        <w:t xml:space="preserve">  </w:t>
      </w:r>
      <w:r>
        <w:rPr>
          <w:rFonts w:ascii="FangSong" w:hAnsi="FangSong" w:eastAsia="FangSong" w:cs="FangSong"/>
          <w:sz w:val="23"/>
          <w:szCs w:val="23"/>
          <w:spacing w:val="-1"/>
        </w:rPr>
        <w:t>住房保</w:t>
      </w:r>
    </w:p>
    <w:p>
      <w:pPr>
        <w:spacing w:line="221" w:lineRule="auto"/>
        <w:sectPr>
          <w:headerReference w:type="default" r:id="rId34"/>
          <w:footerReference w:type="default" r:id="rId35"/>
          <w:pgSz w:w="11900" w:h="16840"/>
          <w:pgMar w:top="642" w:right="0" w:bottom="340" w:left="0" w:header="326" w:footer="111" w:gutter="0"/>
        </w:sectPr>
        <w:rPr>
          <w:rFonts w:ascii="FangSong" w:hAnsi="FangSong" w:eastAsia="FangSong" w:cs="FangSong"/>
          <w:sz w:val="23"/>
          <w:szCs w:val="23"/>
        </w:rPr>
      </w:pPr>
    </w:p>
    <w:p>
      <w:pPr>
        <w:pStyle w:val="BodyText"/>
        <w:spacing w:line="282" w:lineRule="auto"/>
        <w:rPr/>
      </w:pPr>
      <w:r/>
    </w:p>
    <w:p>
      <w:pPr>
        <w:pStyle w:val="BodyText"/>
        <w:spacing w:line="282" w:lineRule="auto"/>
        <w:rPr/>
      </w:pPr>
      <w:r/>
    </w:p>
    <w:p>
      <w:pPr>
        <w:ind w:left="1276"/>
        <w:spacing w:before="74" w:line="222" w:lineRule="auto"/>
        <w:rPr>
          <w:rFonts w:ascii="FangSong" w:hAnsi="FangSong" w:eastAsia="FangSong" w:cs="FangSong"/>
          <w:sz w:val="23"/>
          <w:szCs w:val="23"/>
        </w:rPr>
      </w:pPr>
      <w:r>
        <w:rPr>
          <w:rFonts w:ascii="FangSong" w:hAnsi="FangSong" w:eastAsia="FangSong" w:cs="FangSong"/>
          <w:sz w:val="23"/>
          <w:szCs w:val="23"/>
          <w:spacing w:val="-9"/>
        </w:rPr>
        <w:t>障支</w:t>
      </w:r>
      <w:r>
        <w:rPr>
          <w:rFonts w:ascii="FangSong" w:hAnsi="FangSong" w:eastAsia="FangSong" w:cs="FangSong"/>
          <w:sz w:val="23"/>
          <w:szCs w:val="23"/>
          <w:spacing w:val="5"/>
        </w:rPr>
        <w:t xml:space="preserve">    </w:t>
      </w:r>
      <w:r>
        <w:rPr>
          <w:rFonts w:ascii="FangSong" w:hAnsi="FangSong" w:eastAsia="FangSong" w:cs="FangSong"/>
          <w:sz w:val="23"/>
          <w:szCs w:val="23"/>
          <w:spacing w:val="-9"/>
        </w:rPr>
        <w:t>.</w:t>
      </w:r>
      <w:r>
        <w:rPr>
          <w:rFonts w:ascii="FangSong" w:hAnsi="FangSong" w:eastAsia="FangSong" w:cs="FangSong"/>
          <w:sz w:val="23"/>
          <w:szCs w:val="23"/>
          <w:spacing w:val="5"/>
        </w:rPr>
        <w:t xml:space="preserve">    </w:t>
      </w:r>
      <w:r>
        <w:rPr>
          <w:rFonts w:ascii="FangSong" w:hAnsi="FangSong" w:eastAsia="FangSong" w:cs="FangSong"/>
          <w:sz w:val="23"/>
          <w:szCs w:val="23"/>
          <w:spacing w:val="-9"/>
        </w:rPr>
        <w:t>元，</w:t>
      </w:r>
      <w:r>
        <w:rPr>
          <w:rFonts w:ascii="FangSong" w:hAnsi="FangSong" w:eastAsia="FangSong" w:cs="FangSong"/>
          <w:sz w:val="23"/>
          <w:szCs w:val="23"/>
          <w:spacing w:val="-60"/>
        </w:rPr>
        <w:t xml:space="preserve"> </w:t>
      </w:r>
      <w:r>
        <w:rPr>
          <w:rFonts w:ascii="FangSong" w:hAnsi="FangSong" w:eastAsia="FangSong" w:cs="FangSong"/>
          <w:sz w:val="23"/>
          <w:szCs w:val="23"/>
          <w:spacing w:val="-9"/>
        </w:rPr>
        <w:t>占3.60%等。</w:t>
      </w:r>
    </w:p>
    <w:p>
      <w:pPr>
        <w:ind w:firstLine="4384"/>
        <w:spacing w:before="219" w:line="2527" w:lineRule="exact"/>
        <w:rPr/>
      </w:pPr>
      <w:r>
        <w:rPr>
          <w:position w:val="-50"/>
        </w:rPr>
        <w:drawing>
          <wp:inline distT="0" distB="0" distL="0" distR="0">
            <wp:extent cx="2092752" cy="1604710"/>
            <wp:effectExtent l="0" t="0" r="0" b="0"/>
            <wp:docPr id="6" name="IM 6"/>
            <wp:cNvGraphicFramePr/>
            <a:graphic>
              <a:graphicData uri="http://schemas.openxmlformats.org/drawingml/2006/picture">
                <pic:pic>
                  <pic:nvPicPr>
                    <pic:cNvPr id="6" name="IM 6"/>
                    <pic:cNvPicPr/>
                  </pic:nvPicPr>
                  <pic:blipFill>
                    <a:blip r:embed="rId39"/>
                    <a:stretch>
                      <a:fillRect/>
                    </a:stretch>
                  </pic:blipFill>
                  <pic:spPr>
                    <a:xfrm rot="0">
                      <a:off x="0" y="0"/>
                      <a:ext cx="2092752" cy="1604710"/>
                    </a:xfrm>
                    <a:prstGeom prst="rect">
                      <a:avLst/>
                    </a:prstGeom>
                  </pic:spPr>
                </pic:pic>
              </a:graphicData>
            </a:graphic>
          </wp:inline>
        </w:drawing>
      </w:r>
    </w:p>
    <w:p>
      <w:pPr>
        <w:pStyle w:val="BodyText"/>
        <w:spacing w:line="259" w:lineRule="auto"/>
        <w:rPr/>
      </w:pPr>
      <w:r/>
    </w:p>
    <w:p>
      <w:pPr>
        <w:pStyle w:val="BodyText"/>
        <w:spacing w:line="259" w:lineRule="auto"/>
        <w:rPr/>
      </w:pPr>
      <w:r/>
    </w:p>
    <w:p>
      <w:pPr>
        <w:ind w:left="12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2190"/>
        <w:spacing w:before="185" w:line="221" w:lineRule="auto"/>
        <w:rPr>
          <w:rFonts w:ascii="FangSong" w:hAnsi="FangSong" w:eastAsia="FangSong" w:cs="FangSong"/>
          <w:sz w:val="23"/>
          <w:szCs w:val="23"/>
        </w:rPr>
      </w:pPr>
      <w:r>
        <w:rPr>
          <w:rFonts w:ascii="FangSong" w:hAnsi="FangSong" w:eastAsia="FangSong" w:cs="FangSong"/>
          <w:sz w:val="23"/>
          <w:szCs w:val="23"/>
          <w:spacing w:val="1"/>
        </w:rPr>
        <w:t>年度长治高新区社会保险中心一般公共预算安排基本支出133</w:t>
      </w:r>
      <w:r>
        <w:rPr>
          <w:rFonts w:ascii="FangSong" w:hAnsi="FangSong" w:eastAsia="FangSong" w:cs="FangSong"/>
          <w:sz w:val="23"/>
          <w:szCs w:val="23"/>
        </w:rPr>
        <w:t>.62万元</w:t>
      </w:r>
      <w:r>
        <w:rPr>
          <w:rFonts w:ascii="FangSong" w:hAnsi="FangSong" w:eastAsia="FangSong" w:cs="FangSong"/>
          <w:sz w:val="23"/>
          <w:szCs w:val="23"/>
          <w:spacing w:val="-16"/>
        </w:rPr>
        <w:t>，</w:t>
      </w:r>
      <w:r>
        <w:rPr>
          <w:rFonts w:ascii="FangSong" w:hAnsi="FangSong" w:eastAsia="FangSong" w:cs="FangSong"/>
          <w:sz w:val="23"/>
          <w:szCs w:val="23"/>
        </w:rPr>
        <w:t xml:space="preserve">    </w:t>
      </w:r>
      <w:r>
        <w:rPr>
          <w:rFonts w:ascii="FangSong" w:hAnsi="FangSong" w:eastAsia="FangSong" w:cs="FangSong"/>
          <w:sz w:val="23"/>
          <w:szCs w:val="23"/>
          <w:spacing w:val="-16"/>
        </w:rPr>
        <w:t>：</w:t>
      </w:r>
    </w:p>
    <w:p>
      <w:pPr>
        <w:ind w:left="1728"/>
        <w:spacing w:before="125" w:line="221" w:lineRule="auto"/>
        <w:rPr>
          <w:rFonts w:ascii="FangSong" w:hAnsi="FangSong" w:eastAsia="FangSong" w:cs="FangSong"/>
          <w:sz w:val="23"/>
          <w:szCs w:val="23"/>
        </w:rPr>
      </w:pPr>
      <w:r>
        <w:rPr>
          <w:rFonts w:ascii="FangSong" w:hAnsi="FangSong" w:eastAsia="FangSong" w:cs="FangSong"/>
          <w:sz w:val="23"/>
          <w:szCs w:val="23"/>
          <w:spacing w:val="3"/>
        </w:rPr>
        <w:t>人员经费126.52万元，主要包括：其他工资福利支</w:t>
      </w:r>
      <w:r>
        <w:rPr>
          <w:rFonts w:ascii="FangSong" w:hAnsi="FangSong" w:eastAsia="FangSong" w:cs="FangSong"/>
          <w:sz w:val="23"/>
          <w:szCs w:val="23"/>
          <w:spacing w:val="3"/>
        </w:rPr>
        <w:t xml:space="preserve">  </w:t>
      </w:r>
      <w:r>
        <w:rPr>
          <w:rFonts w:ascii="FangSong" w:hAnsi="FangSong" w:eastAsia="FangSong" w:cs="FangSong"/>
          <w:sz w:val="23"/>
          <w:szCs w:val="23"/>
          <w:spacing w:val="3"/>
        </w:rPr>
        <w:t>、其他社会保障</w:t>
      </w:r>
      <w:r>
        <w:rPr>
          <w:rFonts w:ascii="FangSong" w:hAnsi="FangSong" w:eastAsia="FangSong" w:cs="FangSong"/>
          <w:sz w:val="23"/>
          <w:szCs w:val="23"/>
          <w:spacing w:val="13"/>
        </w:rPr>
        <w:t xml:space="preserve">    </w:t>
      </w:r>
      <w:r>
        <w:rPr>
          <w:rFonts w:ascii="FangSong" w:hAnsi="FangSong" w:eastAsia="FangSong" w:cs="FangSong"/>
          <w:sz w:val="23"/>
          <w:szCs w:val="23"/>
          <w:spacing w:val="3"/>
        </w:rPr>
        <w:t>、</w:t>
      </w:r>
      <w:r>
        <w:rPr>
          <w:rFonts w:ascii="FangSong" w:hAnsi="FangSong" w:eastAsia="FangSong" w:cs="FangSong"/>
          <w:sz w:val="23"/>
          <w:szCs w:val="23"/>
          <w:spacing w:val="19"/>
        </w:rPr>
        <w:t xml:space="preserve">  </w:t>
      </w:r>
      <w:r>
        <w:rPr>
          <w:rFonts w:ascii="FangSong" w:hAnsi="FangSong" w:eastAsia="FangSong" w:cs="FangSong"/>
          <w:sz w:val="23"/>
          <w:szCs w:val="23"/>
          <w:spacing w:val="3"/>
        </w:rPr>
        <w:t>务员医疗</w:t>
      </w:r>
    </w:p>
    <w:p>
      <w:pPr>
        <w:ind w:left="1267"/>
        <w:spacing w:before="124" w:line="221" w:lineRule="auto"/>
        <w:rPr>
          <w:rFonts w:ascii="FangSong" w:hAnsi="FangSong" w:eastAsia="FangSong" w:cs="FangSong"/>
          <w:sz w:val="23"/>
          <w:szCs w:val="23"/>
        </w:rPr>
      </w:pPr>
      <w:r>
        <w:rPr>
          <w:rFonts w:ascii="FangSong" w:hAnsi="FangSong" w:eastAsia="FangSong" w:cs="FangSong"/>
          <w:sz w:val="23"/>
          <w:szCs w:val="23"/>
          <w:spacing w:val="5"/>
        </w:rPr>
        <w:t>补助缴费、绩效工资、基本工资、退休费、住房公积金、机</w:t>
      </w:r>
      <w:r>
        <w:rPr>
          <w:rFonts w:ascii="FangSong" w:hAnsi="FangSong" w:eastAsia="FangSong" w:cs="FangSong"/>
          <w:sz w:val="23"/>
          <w:szCs w:val="23"/>
          <w:spacing w:val="4"/>
        </w:rPr>
        <w:t>关事业</w:t>
      </w:r>
      <w:r>
        <w:rPr>
          <w:rFonts w:ascii="FangSong" w:hAnsi="FangSong" w:eastAsia="FangSong" w:cs="FangSong"/>
          <w:sz w:val="23"/>
          <w:szCs w:val="23"/>
          <w:spacing w:val="4"/>
        </w:rPr>
        <w:t xml:space="preserve">        </w:t>
      </w:r>
      <w:r>
        <w:rPr>
          <w:rFonts w:ascii="FangSong" w:hAnsi="FangSong" w:eastAsia="FangSong" w:cs="FangSong"/>
          <w:sz w:val="23"/>
          <w:szCs w:val="23"/>
          <w:spacing w:val="4"/>
        </w:rPr>
        <w:t>养老保险缴费、</w:t>
      </w:r>
    </w:p>
    <w:p>
      <w:pPr>
        <w:ind w:left="1268"/>
        <w:spacing w:before="136" w:line="221" w:lineRule="auto"/>
        <w:rPr>
          <w:rFonts w:ascii="FangSong" w:hAnsi="FangSong" w:eastAsia="FangSong" w:cs="FangSong"/>
          <w:sz w:val="23"/>
          <w:szCs w:val="23"/>
        </w:rPr>
      </w:pPr>
      <w:r>
        <w:rPr>
          <w:rFonts w:ascii="FangSong" w:hAnsi="FangSong" w:eastAsia="FangSong" w:cs="FangSong"/>
          <w:sz w:val="23"/>
          <w:szCs w:val="23"/>
        </w:rPr>
        <w:t>奖励金、职工基本医疗保险缴费、职业年金缴费、津</w:t>
      </w:r>
      <w:r>
        <w:rPr>
          <w:rFonts w:ascii="FangSong" w:hAnsi="FangSong" w:eastAsia="FangSong" w:cs="FangSong"/>
          <w:sz w:val="23"/>
          <w:szCs w:val="23"/>
          <w:spacing w:val="-1"/>
        </w:rPr>
        <w:t>贴补贴等；</w:t>
      </w:r>
    </w:p>
    <w:p>
      <w:pPr>
        <w:ind w:left="1263" w:right="1222" w:firstLine="466"/>
        <w:spacing w:before="125" w:line="322" w:lineRule="auto"/>
        <w:rPr>
          <w:rFonts w:ascii="FangSong" w:hAnsi="FangSong" w:eastAsia="FangSong" w:cs="FangSong"/>
          <w:sz w:val="23"/>
          <w:szCs w:val="23"/>
        </w:rPr>
      </w:pPr>
      <w:r>
        <w:rPr>
          <w:rFonts w:ascii="FangSong" w:hAnsi="FangSong" w:eastAsia="FangSong" w:cs="FangSong"/>
          <w:sz w:val="23"/>
          <w:szCs w:val="23"/>
          <w:spacing w:val="5"/>
        </w:rPr>
        <w:t>公用经费7.09万元，主要包括：办公费、邮电费、印刷费、其他交通费用、其他商品和</w:t>
      </w:r>
      <w:r>
        <w:rPr>
          <w:rFonts w:ascii="FangSong" w:hAnsi="FangSong" w:eastAsia="FangSong" w:cs="FangSong"/>
          <w:sz w:val="23"/>
          <w:szCs w:val="23"/>
          <w:spacing w:val="6"/>
        </w:rPr>
        <w:t xml:space="preserve"> </w:t>
      </w:r>
      <w:r>
        <w:rPr>
          <w:rFonts w:ascii="FangSong" w:hAnsi="FangSong" w:eastAsia="FangSong" w:cs="FangSong"/>
          <w:sz w:val="23"/>
          <w:szCs w:val="23"/>
          <w:spacing w:val="-1"/>
        </w:rPr>
        <w:t>服务支出、差旅费、手续费等。</w:t>
      </w:r>
    </w:p>
    <w:p>
      <w:pPr>
        <w:ind w:left="1255"/>
        <w:spacing w:before="5"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74"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20" w:line="230"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0"/>
        <w:spacing w:before="186" w:line="221" w:lineRule="auto"/>
        <w:rPr>
          <w:rFonts w:ascii="FangSong" w:hAnsi="FangSong" w:eastAsia="FangSong" w:cs="FangSong"/>
          <w:sz w:val="23"/>
          <w:szCs w:val="23"/>
        </w:rPr>
      </w:pPr>
      <w:r>
        <w:rPr>
          <w:rFonts w:ascii="FangSong" w:hAnsi="FangSong" w:eastAsia="FangSong" w:cs="FangSong"/>
          <w:sz w:val="23"/>
          <w:szCs w:val="23"/>
        </w:rPr>
        <w:t>2025年本部门一般公共预算机关运行经费预算支出0万元，与上年相比无变化</w:t>
      </w:r>
    </w:p>
    <w:p>
      <w:pPr>
        <w:ind w:left="1258"/>
        <w:spacing w:before="122" w:line="225"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58" w:right="1223" w:firstLine="462"/>
        <w:spacing w:before="178" w:line="323" w:lineRule="auto"/>
        <w:rPr>
          <w:rFonts w:ascii="FangSong" w:hAnsi="FangSong" w:eastAsia="FangSong" w:cs="FangSong"/>
          <w:sz w:val="23"/>
          <w:szCs w:val="23"/>
        </w:rPr>
      </w:pPr>
      <w:r>
        <w:rPr>
          <w:rFonts w:ascii="FangSong" w:hAnsi="FangSong" w:eastAsia="FangSong" w:cs="FangSong"/>
          <w:sz w:val="23"/>
          <w:szCs w:val="23"/>
          <w:spacing w:val="5"/>
        </w:rPr>
        <w:t>2025年长治高新区社会保险中心政府采购预算总额0.66万元。其中：政府采购货物预算</w:t>
      </w:r>
      <w:r>
        <w:rPr>
          <w:rFonts w:ascii="FangSong" w:hAnsi="FangSong" w:eastAsia="FangSong" w:cs="FangSong"/>
          <w:sz w:val="23"/>
          <w:szCs w:val="23"/>
          <w:spacing w:val="4"/>
        </w:rPr>
        <w:t xml:space="preserve"> </w:t>
      </w:r>
      <w:r>
        <w:rPr>
          <w:rFonts w:ascii="FangSong" w:hAnsi="FangSong" w:eastAsia="FangSong" w:cs="FangSong"/>
          <w:sz w:val="23"/>
          <w:szCs w:val="23"/>
        </w:rPr>
        <w:t>0.36万元、政府采购工</w:t>
      </w:r>
      <w:r>
        <w:rPr>
          <w:rFonts w:ascii="FangSong" w:hAnsi="FangSong" w:eastAsia="FangSong" w:cs="FangSong"/>
          <w:sz w:val="23"/>
          <w:szCs w:val="23"/>
        </w:rPr>
        <w:t xml:space="preserve">    </w:t>
      </w:r>
      <w:r>
        <w:rPr>
          <w:rFonts w:ascii="FangSong" w:hAnsi="FangSong" w:eastAsia="FangSong" w:cs="FangSong"/>
          <w:sz w:val="23"/>
          <w:szCs w:val="23"/>
        </w:rPr>
        <w:t>算0万元、政府采购服务预算0.30万元。</w:t>
      </w:r>
    </w:p>
    <w:p>
      <w:pPr>
        <w:ind w:left="1260"/>
        <w:spacing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75" w:line="223" w:lineRule="auto"/>
        <w:rPr>
          <w:rFonts w:ascii="FangSong" w:hAnsi="FangSong" w:eastAsia="FangSong" w:cs="FangSong"/>
          <w:sz w:val="23"/>
          <w:szCs w:val="23"/>
        </w:rPr>
      </w:pPr>
      <w:r>
        <w:rPr>
          <w:rFonts w:ascii="FangSong" w:hAnsi="FangSong" w:eastAsia="FangSong" w:cs="FangSong"/>
          <w:sz w:val="23"/>
          <w:szCs w:val="23"/>
          <w:spacing w:val="-20"/>
        </w:rPr>
        <w:t>1、</w:t>
      </w:r>
      <w:r>
        <w:rPr>
          <w:rFonts w:ascii="FangSong" w:hAnsi="FangSong" w:eastAsia="FangSong" w:cs="FangSong"/>
          <w:sz w:val="23"/>
          <w:szCs w:val="23"/>
          <w:spacing w:val="7"/>
        </w:rPr>
        <w:t xml:space="preserve">        </w:t>
      </w:r>
      <w:r>
        <w:rPr>
          <w:rFonts w:ascii="FangSong" w:hAnsi="FangSong" w:eastAsia="FangSong" w:cs="FangSong"/>
          <w:sz w:val="23"/>
          <w:szCs w:val="23"/>
          <w:spacing w:val="-20"/>
        </w:rPr>
        <w:t>目标</w:t>
      </w:r>
    </w:p>
    <w:p>
      <w:pPr>
        <w:ind w:left="1262" w:right="1223" w:hanging="3"/>
        <w:spacing w:before="134" w:line="321" w:lineRule="auto"/>
        <w:rPr>
          <w:rFonts w:ascii="FangSong" w:hAnsi="FangSong" w:eastAsia="FangSong" w:cs="FangSong"/>
          <w:sz w:val="23"/>
          <w:szCs w:val="23"/>
        </w:rPr>
      </w:pPr>
      <w:r>
        <w:rPr>
          <w:rFonts w:ascii="FangSong" w:hAnsi="FangSong" w:eastAsia="FangSong" w:cs="FangSong"/>
          <w:sz w:val="23"/>
          <w:szCs w:val="23"/>
          <w:spacing w:val="2"/>
        </w:rPr>
        <w:t>2025年</w:t>
      </w:r>
      <w:r>
        <w:rPr>
          <w:rFonts w:ascii="FangSong" w:hAnsi="FangSong" w:eastAsia="FangSong" w:cs="FangSong"/>
          <w:sz w:val="23"/>
          <w:szCs w:val="23"/>
          <w:spacing w:val="2"/>
        </w:rPr>
        <w:t xml:space="preserve">  </w:t>
      </w:r>
      <w:r>
        <w:rPr>
          <w:rFonts w:ascii="FangSong" w:hAnsi="FangSong" w:eastAsia="FangSong" w:cs="FangSong"/>
          <w:sz w:val="23"/>
          <w:szCs w:val="23"/>
          <w:spacing w:val="2"/>
        </w:rPr>
        <w:t>治高新区社会保险中心单位实行绩效目标管理的项目0个，涉及一般公共预算当年拨</w:t>
      </w:r>
      <w:r>
        <w:rPr>
          <w:rFonts w:ascii="FangSong" w:hAnsi="FangSong" w:eastAsia="FangSong" w:cs="FangSong"/>
          <w:sz w:val="23"/>
          <w:szCs w:val="23"/>
          <w:spacing w:val="12"/>
        </w:rPr>
        <w:t xml:space="preserve"> </w:t>
      </w:r>
      <w:r>
        <w:rPr>
          <w:rFonts w:ascii="FangSong" w:hAnsi="FangSong" w:eastAsia="FangSong" w:cs="FangSong"/>
          <w:sz w:val="23"/>
          <w:szCs w:val="23"/>
          <w:spacing w:val="-3"/>
        </w:rPr>
        <w:t>款0万元。</w:t>
      </w:r>
    </w:p>
    <w:p>
      <w:pPr>
        <w:ind w:left="1720"/>
        <w:spacing w:before="1" w:line="222"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7" w:right="1223" w:firstLine="453"/>
        <w:spacing w:before="132" w:line="323" w:lineRule="auto"/>
        <w:rPr>
          <w:rFonts w:ascii="FangSong" w:hAnsi="FangSong" w:eastAsia="FangSong" w:cs="FangSong"/>
          <w:sz w:val="23"/>
          <w:szCs w:val="23"/>
        </w:rPr>
      </w:pPr>
      <w:r>
        <w:rPr>
          <w:rFonts w:ascii="FangSong" w:hAnsi="FangSong" w:eastAsia="FangSong" w:cs="FangSong"/>
          <w:sz w:val="23"/>
          <w:szCs w:val="23"/>
          <w:spacing w:val="8"/>
        </w:rPr>
        <w:t>2025年长治高新区社会保险中心纳入绩效目标管理的二级项</w:t>
      </w:r>
      <w:r>
        <w:rPr>
          <w:rFonts w:ascii="FangSong" w:hAnsi="FangSong" w:eastAsia="FangSong" w:cs="FangSong"/>
          <w:sz w:val="23"/>
          <w:szCs w:val="23"/>
          <w:spacing w:val="7"/>
        </w:rPr>
        <w:t>目6个，共计金额144.50万</w:t>
      </w:r>
      <w:r>
        <w:rPr>
          <w:rFonts w:ascii="FangSong" w:hAnsi="FangSong" w:eastAsia="FangSong" w:cs="FangSong"/>
          <w:sz w:val="23"/>
          <w:szCs w:val="23"/>
        </w:rPr>
        <w:t xml:space="preserve"> </w:t>
      </w:r>
      <w:r>
        <w:rPr>
          <w:rFonts w:ascii="FangSong" w:hAnsi="FangSong" w:eastAsia="FangSong" w:cs="FangSong"/>
          <w:sz w:val="23"/>
          <w:szCs w:val="23"/>
          <w:spacing w:val="7"/>
        </w:rPr>
        <w:t>元。其中：其他运转类项目6个，涉及金额144.50万元；特定目标类项目0个，涉及金额0万</w:t>
      </w:r>
      <w:r>
        <w:rPr>
          <w:rFonts w:ascii="FangSong" w:hAnsi="FangSong" w:eastAsia="FangSong" w:cs="FangSong"/>
          <w:sz w:val="23"/>
          <w:szCs w:val="23"/>
          <w:spacing w:val="14"/>
        </w:rPr>
        <w:t xml:space="preserve"> </w:t>
      </w:r>
      <w:r>
        <w:rPr>
          <w:rFonts w:ascii="FangSong" w:hAnsi="FangSong" w:eastAsia="FangSong" w:cs="FangSong"/>
          <w:sz w:val="23"/>
          <w:szCs w:val="23"/>
        </w:rPr>
        <w:t>元</w:t>
      </w:r>
      <w:r>
        <w:rPr>
          <w:rFonts w:ascii="FangSong" w:hAnsi="FangSong" w:eastAsia="FangSong" w:cs="FangSong"/>
          <w:sz w:val="23"/>
          <w:szCs w:val="23"/>
          <w:spacing w:val="-58"/>
        </w:rPr>
        <w:t xml:space="preserve"> </w:t>
      </w:r>
      <w:r>
        <w:rPr>
          <w:rFonts w:ascii="FangSong" w:hAnsi="FangSong" w:eastAsia="FangSong" w:cs="FangSong"/>
          <w:sz w:val="23"/>
          <w:szCs w:val="23"/>
        </w:rPr>
        <w:t>。公开项</w:t>
      </w:r>
      <w:r>
        <w:rPr>
          <w:rFonts w:ascii="FangSong" w:hAnsi="FangSong" w:eastAsia="FangSong" w:cs="FangSong"/>
          <w:sz w:val="23"/>
          <w:szCs w:val="23"/>
          <w:spacing w:val="-44"/>
        </w:rPr>
        <w:t xml:space="preserve"> </w:t>
      </w:r>
      <w:r>
        <w:rPr>
          <w:rFonts w:ascii="FangSong" w:hAnsi="FangSong" w:eastAsia="FangSong" w:cs="FangSong"/>
          <w:sz w:val="23"/>
          <w:szCs w:val="23"/>
        </w:rPr>
        <w:t>目绩效</w:t>
      </w:r>
      <w:r>
        <w:rPr>
          <w:rFonts w:ascii="FangSong" w:hAnsi="FangSong" w:eastAsia="FangSong" w:cs="FangSong"/>
          <w:sz w:val="23"/>
          <w:szCs w:val="23"/>
          <w:spacing w:val="-44"/>
        </w:rPr>
        <w:t xml:space="preserve"> </w:t>
      </w:r>
      <w:r>
        <w:rPr>
          <w:rFonts w:ascii="FangSong" w:hAnsi="FangSong" w:eastAsia="FangSong" w:cs="FangSong"/>
          <w:sz w:val="23"/>
          <w:szCs w:val="23"/>
        </w:rPr>
        <w:t>目标6个</w:t>
      </w:r>
      <w:r>
        <w:rPr>
          <w:rFonts w:ascii="FangSong" w:hAnsi="FangSong" w:eastAsia="FangSong" w:cs="FangSong"/>
          <w:sz w:val="23"/>
          <w:szCs w:val="23"/>
          <w:spacing w:val="-68"/>
        </w:rPr>
        <w:t xml:space="preserve"> </w:t>
      </w:r>
      <w:r>
        <w:rPr>
          <w:rFonts w:ascii="FangSong" w:hAnsi="FangSong" w:eastAsia="FangSong" w:cs="FangSong"/>
          <w:sz w:val="23"/>
          <w:szCs w:val="23"/>
        </w:rPr>
        <w:t>，涉及项</w:t>
      </w:r>
      <w:r>
        <w:rPr>
          <w:rFonts w:ascii="FangSong" w:hAnsi="FangSong" w:eastAsia="FangSong" w:cs="FangSong"/>
          <w:sz w:val="23"/>
          <w:szCs w:val="23"/>
          <w:spacing w:val="-44"/>
        </w:rPr>
        <w:t xml:space="preserve"> </w:t>
      </w:r>
      <w:r>
        <w:rPr>
          <w:rFonts w:ascii="FangSong" w:hAnsi="FangSong" w:eastAsia="FangSong" w:cs="FangSong"/>
          <w:sz w:val="23"/>
          <w:szCs w:val="23"/>
        </w:rPr>
        <w:t>目金额144.50万元</w:t>
      </w:r>
      <w:r>
        <w:rPr>
          <w:rFonts w:ascii="FangSong" w:hAnsi="FangSong" w:eastAsia="FangSong" w:cs="FangSong"/>
          <w:sz w:val="23"/>
          <w:szCs w:val="23"/>
          <w:spacing w:val="-68"/>
        </w:rPr>
        <w:t xml:space="preserve"> </w:t>
      </w:r>
      <w:r>
        <w:rPr>
          <w:rFonts w:ascii="FangSong" w:hAnsi="FangSong" w:eastAsia="FangSong" w:cs="FangSong"/>
          <w:sz w:val="23"/>
          <w:szCs w:val="23"/>
        </w:rPr>
        <w:t>，</w:t>
      </w:r>
      <w:r>
        <w:rPr>
          <w:rFonts w:ascii="FangSong" w:hAnsi="FangSong" w:eastAsia="FangSong" w:cs="FangSong"/>
          <w:sz w:val="23"/>
          <w:szCs w:val="23"/>
          <w:spacing w:val="-45"/>
        </w:rPr>
        <w:t xml:space="preserve"> </w:t>
      </w:r>
      <w:r>
        <w:rPr>
          <w:rFonts w:ascii="FangSong" w:hAnsi="FangSong" w:eastAsia="FangSong" w:cs="FangSong"/>
          <w:sz w:val="23"/>
          <w:szCs w:val="23"/>
        </w:rPr>
        <w:t>占部门（单位）</w:t>
      </w:r>
      <w:r>
        <w:rPr>
          <w:rFonts w:ascii="FangSong" w:hAnsi="FangSong" w:eastAsia="FangSong" w:cs="FangSong"/>
          <w:sz w:val="23"/>
          <w:szCs w:val="23"/>
          <w:spacing w:val="-68"/>
        </w:rPr>
        <w:t xml:space="preserve"> </w:t>
      </w:r>
      <w:r>
        <w:rPr>
          <w:rFonts w:ascii="FangSong" w:hAnsi="FangSong" w:eastAsia="FangSong" w:cs="FangSong"/>
          <w:sz w:val="23"/>
          <w:szCs w:val="23"/>
        </w:rPr>
        <w:t>项</w:t>
      </w:r>
      <w:r>
        <w:rPr>
          <w:rFonts w:ascii="FangSong" w:hAnsi="FangSong" w:eastAsia="FangSong" w:cs="FangSong"/>
          <w:sz w:val="23"/>
          <w:szCs w:val="23"/>
          <w:spacing w:val="-44"/>
        </w:rPr>
        <w:t xml:space="preserve"> </w:t>
      </w:r>
      <w:r>
        <w:rPr>
          <w:rFonts w:ascii="FangSong" w:hAnsi="FangSong" w:eastAsia="FangSong" w:cs="FangSong"/>
          <w:sz w:val="23"/>
          <w:szCs w:val="23"/>
        </w:rPr>
        <w:t>目支出总额的</w:t>
      </w:r>
      <w:r>
        <w:rPr>
          <w:rFonts w:ascii="FangSong" w:hAnsi="FangSong" w:eastAsia="FangSong" w:cs="FangSong"/>
          <w:sz w:val="23"/>
          <w:szCs w:val="23"/>
        </w:rPr>
        <w:t xml:space="preserve"> </w:t>
      </w:r>
      <w:r>
        <w:rPr>
          <w:rFonts w:ascii="FangSong" w:hAnsi="FangSong" w:eastAsia="FangSong" w:cs="FangSong"/>
          <w:sz w:val="23"/>
          <w:szCs w:val="23"/>
          <w:spacing w:val="5"/>
        </w:rPr>
        <w:t>100%。其中：其他运转类项目6个，涉及项目金</w:t>
      </w:r>
      <w:r>
        <w:rPr>
          <w:rFonts w:ascii="FangSong" w:hAnsi="FangSong" w:eastAsia="FangSong" w:cs="FangSong"/>
          <w:sz w:val="23"/>
          <w:szCs w:val="23"/>
          <w:spacing w:val="4"/>
        </w:rPr>
        <w:t>额144.50万元；特定目标类项目0个，涉及项</w:t>
      </w:r>
      <w:r>
        <w:rPr>
          <w:rFonts w:ascii="FangSong" w:hAnsi="FangSong" w:eastAsia="FangSong" w:cs="FangSong"/>
          <w:sz w:val="23"/>
          <w:szCs w:val="23"/>
        </w:rPr>
        <w:t xml:space="preserve"> </w:t>
      </w:r>
      <w:r>
        <w:rPr>
          <w:rFonts w:ascii="FangSong" w:hAnsi="FangSong" w:eastAsia="FangSong" w:cs="FangSong"/>
          <w:sz w:val="23"/>
          <w:szCs w:val="23"/>
          <w:spacing w:val="-3"/>
        </w:rPr>
        <w:t>目金额0万元。</w:t>
      </w:r>
    </w:p>
    <w:p>
      <w:pPr>
        <w:ind w:left="1264"/>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headerReference w:type="default" r:id="rId37"/>
          <w:footerReference w:type="default" r:id="rId38"/>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254"/>
        <w:spacing w:line="10206" w:lineRule="exact"/>
        <w:rPr/>
      </w:pPr>
      <w:r>
        <w:pict>
          <v:shape id="_x0000_s436" style="position:absolute;margin-left:86.92pt;margin-top:472.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438" style="position:absolute;margin-left:391.92pt;margin-top:228.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709593" cy="6480840"/>
            <wp:effectExtent l="0" t="0" r="0" b="0"/>
            <wp:docPr id="8" name="IM 8"/>
            <wp:cNvGraphicFramePr/>
            <a:graphic>
              <a:graphicData uri="http://schemas.openxmlformats.org/drawingml/2006/picture">
                <pic:pic>
                  <pic:nvPicPr>
                    <pic:cNvPr id="8" name="IM 8"/>
                    <pic:cNvPicPr/>
                  </pic:nvPicPr>
                  <pic:blipFill>
                    <a:blip r:embed="rId42"/>
                    <a:stretch>
                      <a:fillRect/>
                    </a:stretch>
                  </pic:blipFill>
                  <pic:spPr>
                    <a:xfrm rot="0">
                      <a:off x="0" y="0"/>
                      <a:ext cx="4709593" cy="6480840"/>
                    </a:xfrm>
                    <a:prstGeom prst="rect">
                      <a:avLst/>
                    </a:prstGeom>
                  </pic:spPr>
                </pic:pic>
              </a:graphicData>
            </a:graphic>
          </wp:inline>
        </w:drawing>
      </w:r>
    </w:p>
    <w:p>
      <w:pPr>
        <w:spacing w:line="10206" w:lineRule="exact"/>
        <w:sectPr>
          <w:headerReference w:type="default" r:id="rId40"/>
          <w:footerReference w:type="default" r:id="rId41"/>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440" style="position:absolute;margin-left:86.92pt;margin-top:472.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442" style="position:absolute;margin-left:391.92pt;margin-top:228.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0" name="IM 10"/>
            <wp:cNvGraphicFramePr/>
            <a:graphic>
              <a:graphicData uri="http://schemas.openxmlformats.org/drawingml/2006/picture">
                <pic:pic>
                  <pic:nvPicPr>
                    <pic:cNvPr id="10" name="IM 10"/>
                    <pic:cNvPicPr/>
                  </pic:nvPicPr>
                  <pic:blipFill>
                    <a:blip r:embed="rId44"/>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43"/>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444" style="position:absolute;margin-left:391.92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446" style="position:absolute;margin-left:86.92pt;margin-top:472.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2" name="IM 12"/>
            <wp:cNvGraphicFramePr/>
            <a:graphic>
              <a:graphicData uri="http://schemas.openxmlformats.org/drawingml/2006/picture">
                <pic:pic>
                  <pic:nvPicPr>
                    <pic:cNvPr id="12" name="IM 12"/>
                    <pic:cNvPicPr/>
                  </pic:nvPicPr>
                  <pic:blipFill>
                    <a:blip r:embed="rId46"/>
                    <a:stretch>
                      <a:fillRect/>
                    </a:stretch>
                  </pic:blipFill>
                  <pic:spPr>
                    <a:xfrm rot="0">
                      <a:off x="0" y="0"/>
                      <a:ext cx="4640940" cy="6480840"/>
                    </a:xfrm>
                    <a:prstGeom prst="rect">
                      <a:avLst/>
                    </a:prstGeom>
                  </pic:spPr>
                </pic:pic>
              </a:graphicData>
            </a:graphic>
          </wp:inline>
        </w:drawing>
      </w:r>
    </w:p>
    <w:p>
      <w:pPr>
        <w:spacing w:line="10206" w:lineRule="exact"/>
        <w:sectPr>
          <w:footerReference w:type="default" r:id="rId45"/>
          <w:pgSz w:w="11900" w:h="16840"/>
          <w:pgMar w:top="642" w:right="0" w:bottom="340" w:left="0" w:header="326" w:footer="111" w:gutter="0"/>
        </w:sectPr>
        <w:rPr/>
      </w:pPr>
    </w:p>
    <w:p>
      <w:pPr>
        <w:pStyle w:val="BodyText"/>
        <w:spacing w:line="277" w:lineRule="auto"/>
        <w:rPr/>
      </w:pPr>
      <w:r>
        <w:pict>
          <v:shape id="_x0000_s456" style="position:absolute;margin-left:491.92pt;margin-top:44.1055pt;mso-position-vertical-relative:page;mso-position-horizontal-relative:page;width:119.4pt;height:18.85pt;z-index:25166643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73"/>
        <w:spacing w:line="11190" w:lineRule="exact"/>
        <w:rPr/>
      </w:pPr>
      <w:r>
        <w:pict>
          <v:shape id="_x0000_s458" style="position:absolute;margin-left:-13.08pt;margin-top:228.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460" style="position:absolute;margin-left:391.92pt;margin-top:228.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pict>
          <v:shape id="_x0000_s462" style="position:absolute;margin-left:86.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pict>
          <v:shape id="_x0000_s464" style="position:absolute;margin-left:491.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rPr>
          <w:position w:val="-223"/>
        </w:rPr>
        <w:drawing>
          <wp:inline distT="0" distB="0" distL="0" distR="0">
            <wp:extent cx="5066588" cy="7105582"/>
            <wp:effectExtent l="0" t="0" r="0" b="0"/>
            <wp:docPr id="14" name="IM 14"/>
            <wp:cNvGraphicFramePr/>
            <a:graphic>
              <a:graphicData uri="http://schemas.openxmlformats.org/drawingml/2006/picture">
                <pic:pic>
                  <pic:nvPicPr>
                    <pic:cNvPr id="14" name="IM 14"/>
                    <pic:cNvPicPr/>
                  </pic:nvPicPr>
                  <pic:blipFill>
                    <a:blip r:embed="rId49"/>
                    <a:stretch>
                      <a:fillRect/>
                    </a:stretch>
                  </pic:blipFill>
                  <pic:spPr>
                    <a:xfrm rot="0">
                      <a:off x="0" y="0"/>
                      <a:ext cx="5066588" cy="7105582"/>
                    </a:xfrm>
                    <a:prstGeom prst="rect">
                      <a:avLst/>
                    </a:prstGeom>
                  </pic:spPr>
                </pic:pic>
              </a:graphicData>
            </a:graphic>
          </wp:inline>
        </w:drawing>
      </w:r>
    </w:p>
    <w:p>
      <w:pPr>
        <w:spacing w:line="11190" w:lineRule="exact"/>
        <w:sectPr>
          <w:headerReference w:type="default" r:id="rId47"/>
          <w:footerReference w:type="default" r:id="rId48"/>
          <w:pgSz w:w="11900" w:h="16840"/>
          <w:pgMar w:top="642" w:right="0" w:bottom="340" w:left="0" w:header="326" w:footer="110" w:gutter="0"/>
        </w:sectPr>
        <w:rPr/>
      </w:pPr>
    </w:p>
    <w:p>
      <w:pPr>
        <w:pStyle w:val="BodyText"/>
        <w:spacing w:line="277" w:lineRule="auto"/>
        <w:rPr/>
      </w:pPr>
      <w:r>
        <w:pict>
          <v:shape id="_x0000_s466" style="position:absolute;margin-left:491.92pt;margin-top:44.1055pt;mso-position-vertical-relative:page;mso-position-horizontal-relative:page;width:119.4pt;height:18.85pt;z-index:25167052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973"/>
        <w:spacing w:line="11190" w:lineRule="exact"/>
        <w:rPr/>
      </w:pPr>
      <w:r>
        <w:pict>
          <v:shape id="_x0000_s468" style="position:absolute;margin-left:391.92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pict>
          <v:shape id="_x0000_s470" style="position:absolute;margin-left:491.92pt;margin-top:472.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472" style="position:absolute;margin-left:-13.08pt;margin-top:228.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474" style="position:absolute;margin-left:86.92pt;margin-top:472.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rPr>
          <w:position w:val="-223"/>
        </w:rPr>
        <w:drawing>
          <wp:inline distT="0" distB="0" distL="0" distR="0">
            <wp:extent cx="5066588" cy="7105582"/>
            <wp:effectExtent l="0" t="0" r="0" b="0"/>
            <wp:docPr id="16" name="IM 16"/>
            <wp:cNvGraphicFramePr/>
            <a:graphic>
              <a:graphicData uri="http://schemas.openxmlformats.org/drawingml/2006/picture">
                <pic:pic>
                  <pic:nvPicPr>
                    <pic:cNvPr id="16" name="IM 16"/>
                    <pic:cNvPicPr/>
                  </pic:nvPicPr>
                  <pic:blipFill>
                    <a:blip r:embed="rId51"/>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50"/>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308"/>
        <w:spacing w:line="10206" w:lineRule="exact"/>
        <w:rPr/>
      </w:pPr>
      <w:r>
        <w:pict>
          <v:shape id="_x0000_s476" style="position:absolute;margin-left:391.92pt;margin-top:228.067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478" style="position:absolute;margin-left:86.92pt;margin-top:472.067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rPr>
          <w:position w:val="-204"/>
        </w:rPr>
        <w:drawing>
          <wp:inline distT="0" distB="0" distL="0" distR="0">
            <wp:extent cx="4640940" cy="6480840"/>
            <wp:effectExtent l="0" t="0" r="0" b="0"/>
            <wp:docPr id="18" name="IM 18"/>
            <wp:cNvGraphicFramePr/>
            <a:graphic>
              <a:graphicData uri="http://schemas.openxmlformats.org/drawingml/2006/picture">
                <pic:pic>
                  <pic:nvPicPr>
                    <pic:cNvPr id="18" name="IM 18"/>
                    <pic:cNvPicPr/>
                  </pic:nvPicPr>
                  <pic:blipFill>
                    <a:blip r:embed="rId53"/>
                    <a:stretch>
                      <a:fillRect/>
                    </a:stretch>
                  </pic:blipFill>
                  <pic:spPr>
                    <a:xfrm rot="0">
                      <a:off x="0" y="0"/>
                      <a:ext cx="4640940" cy="6480840"/>
                    </a:xfrm>
                    <a:prstGeom prst="rect">
                      <a:avLst/>
                    </a:prstGeom>
                  </pic:spPr>
                </pic:pic>
              </a:graphicData>
            </a:graphic>
          </wp:inline>
        </w:drawing>
      </w:r>
    </w:p>
    <w:p>
      <w:pPr>
        <w:spacing w:line="10206" w:lineRule="exact"/>
        <w:sectPr>
          <w:headerReference w:type="default" r:id="rId40"/>
          <w:footerReference w:type="default" r:id="rId52"/>
          <w:pgSz w:w="11900" w:h="16840"/>
          <w:pgMar w:top="642" w:right="0" w:bottom="340" w:left="0" w:header="326" w:footer="11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6"/>
      <w:bookmarkEnd w:id="46"/>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rPr>
          <w:rFonts w:ascii="FangSong" w:hAnsi="FangSong" w:eastAsia="FangSong" w:cs="FangSong"/>
          <w:sz w:val="23"/>
          <w:szCs w:val="23"/>
        </w:rPr>
      </w:pPr>
      <w:r>
        <w:rPr>
          <w:rFonts w:ascii="FangSong" w:hAnsi="FangSong" w:eastAsia="FangSong" w:cs="FangSong"/>
          <w:sz w:val="23"/>
          <w:szCs w:val="23"/>
          <w:spacing w:val="3"/>
        </w:rPr>
        <w:t>截至2025年4月1</w:t>
      </w:r>
      <w:r>
        <w:rPr>
          <w:rFonts w:ascii="FangSong" w:hAnsi="FangSong" w:eastAsia="FangSong" w:cs="FangSong"/>
          <w:sz w:val="23"/>
          <w:szCs w:val="23"/>
          <w:spacing w:val="-37"/>
        </w:rPr>
        <w:t xml:space="preserve"> </w:t>
      </w:r>
      <w:r>
        <w:rPr>
          <w:rFonts w:ascii="FangSong" w:hAnsi="FangSong" w:eastAsia="FangSong" w:cs="FangSong"/>
          <w:sz w:val="23"/>
          <w:szCs w:val="23"/>
          <w:spacing w:val="3"/>
        </w:rPr>
        <w:t>日，长治高新区社会保险中心共有公务用车编制0辆，实有0辆，其中：</w:t>
      </w:r>
      <w:r>
        <w:rPr>
          <w:rFonts w:ascii="FangSong" w:hAnsi="FangSong" w:eastAsia="FangSong" w:cs="FangSong"/>
          <w:sz w:val="23"/>
          <w:szCs w:val="23"/>
        </w:rPr>
        <w:t xml:space="preserve"> </w:t>
      </w:r>
      <w:r>
        <w:rPr>
          <w:rFonts w:ascii="FangSong" w:hAnsi="FangSong" w:eastAsia="FangSong" w:cs="FangSong"/>
          <w:sz w:val="23"/>
          <w:szCs w:val="23"/>
          <w:spacing w:val="2"/>
        </w:rPr>
        <w:t>领导用车0辆，机要通信用车0辆，应急保障用车0辆，执法执勤用车0辆，特种专业技术用车0</w:t>
      </w:r>
      <w:r>
        <w:rPr>
          <w:rFonts w:ascii="FangSong" w:hAnsi="FangSong" w:eastAsia="FangSong" w:cs="FangSong"/>
          <w:sz w:val="23"/>
          <w:szCs w:val="23"/>
          <w:spacing w:val="11"/>
        </w:rPr>
        <w:t xml:space="preserve"> </w:t>
      </w:r>
      <w:r>
        <w:rPr>
          <w:rFonts w:ascii="FangSong" w:hAnsi="FangSong" w:eastAsia="FangSong" w:cs="FangSong"/>
          <w:sz w:val="23"/>
          <w:szCs w:val="23"/>
          <w:spacing w:val="-1"/>
        </w:rPr>
        <w:t>辆，事业单位业务用车0辆，其他公务用车0辆。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725"/>
        <w:spacing w:before="123" w:line="221" w:lineRule="auto"/>
        <w:rPr>
          <w:rFonts w:ascii="FangSong" w:hAnsi="FangSong" w:eastAsia="FangSong" w:cs="FangSong"/>
          <w:sz w:val="23"/>
          <w:szCs w:val="23"/>
        </w:rPr>
      </w:pPr>
      <w:r>
        <w:rPr>
          <w:rFonts w:ascii="FangSong" w:hAnsi="FangSong" w:eastAsia="FangSong" w:cs="FangSong"/>
          <w:sz w:val="23"/>
          <w:szCs w:val="23"/>
          <w:spacing w:val="-1"/>
        </w:rPr>
        <w:t>截至2025年4月1</w:t>
      </w:r>
      <w:r>
        <w:rPr>
          <w:rFonts w:ascii="FangSong" w:hAnsi="FangSong" w:eastAsia="FangSong" w:cs="FangSong"/>
          <w:sz w:val="23"/>
          <w:szCs w:val="23"/>
          <w:spacing w:val="-51"/>
        </w:rPr>
        <w:t xml:space="preserve"> </w:t>
      </w:r>
      <w:r>
        <w:rPr>
          <w:rFonts w:ascii="FangSong" w:hAnsi="FangSong" w:eastAsia="FangSong" w:cs="FangSong"/>
          <w:sz w:val="23"/>
          <w:szCs w:val="23"/>
          <w:spacing w:val="-1"/>
        </w:rPr>
        <w:t>日，长治高新区社会保险中心</w:t>
      </w:r>
      <w:r>
        <w:rPr>
          <w:rFonts w:ascii="FangSong" w:hAnsi="FangSong" w:eastAsia="FangSong" w:cs="FangSong"/>
          <w:sz w:val="23"/>
          <w:szCs w:val="23"/>
          <w:spacing w:val="-2"/>
        </w:rPr>
        <w:t>使用的办公用房建筑总面积60平方米。</w:t>
      </w:r>
    </w:p>
    <w:p>
      <w:pPr>
        <w:ind w:left="1722"/>
        <w:spacing w:before="124"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3" w:right="1223" w:firstLine="461"/>
        <w:spacing w:before="134" w:line="323" w:lineRule="auto"/>
        <w:jc w:val="both"/>
        <w:rPr>
          <w:rFonts w:ascii="FangSong" w:hAnsi="FangSong" w:eastAsia="FangSong" w:cs="FangSong"/>
          <w:sz w:val="23"/>
          <w:szCs w:val="23"/>
        </w:rPr>
      </w:pPr>
      <w:r>
        <w:rPr>
          <w:rFonts w:ascii="FangSong" w:hAnsi="FangSong" w:eastAsia="FangSong" w:cs="FangSong"/>
          <w:sz w:val="23"/>
          <w:szCs w:val="23"/>
          <w:spacing w:val="2"/>
        </w:rPr>
        <w:t>截至2025年4月1</w:t>
      </w:r>
      <w:r>
        <w:rPr>
          <w:rFonts w:ascii="FangSong" w:hAnsi="FangSong" w:eastAsia="FangSong" w:cs="FangSong"/>
          <w:sz w:val="23"/>
          <w:szCs w:val="23"/>
          <w:spacing w:val="-39"/>
        </w:rPr>
        <w:t xml:space="preserve"> </w:t>
      </w:r>
      <w:r>
        <w:rPr>
          <w:rFonts w:ascii="FangSong" w:hAnsi="FangSong" w:eastAsia="FangSong" w:cs="FangSong"/>
          <w:sz w:val="23"/>
          <w:szCs w:val="23"/>
          <w:spacing w:val="2"/>
        </w:rPr>
        <w:t>日，长治高新区社会保险中心占有使用价值50万元（原值）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以上的通用</w:t>
      </w:r>
      <w:r>
        <w:rPr>
          <w:rFonts w:ascii="FangSong" w:hAnsi="FangSong" w:eastAsia="FangSong" w:cs="FangSong"/>
          <w:sz w:val="23"/>
          <w:szCs w:val="23"/>
        </w:rPr>
        <w:t xml:space="preserve"> </w:t>
      </w:r>
      <w:r>
        <w:rPr>
          <w:rFonts w:ascii="FangSong" w:hAnsi="FangSong" w:eastAsia="FangSong" w:cs="FangSong"/>
          <w:sz w:val="23"/>
          <w:szCs w:val="23"/>
          <w:spacing w:val="2"/>
        </w:rPr>
        <w:t>设备0台（套</w:t>
      </w:r>
      <w:r>
        <w:rPr>
          <w:rFonts w:ascii="FangSong" w:hAnsi="FangSong" w:eastAsia="FangSong" w:cs="FangSong"/>
          <w:sz w:val="23"/>
          <w:szCs w:val="23"/>
          <w:spacing w:val="11"/>
        </w:rPr>
        <w:t>）；</w:t>
      </w:r>
      <w:r>
        <w:rPr>
          <w:rFonts w:ascii="FangSong" w:hAnsi="FangSong" w:eastAsia="FangSong" w:cs="FangSong"/>
          <w:sz w:val="23"/>
          <w:szCs w:val="23"/>
          <w:spacing w:val="2"/>
        </w:rPr>
        <w:t>长治高新区社会保险中心占有使用价值100万元（原值）以</w:t>
      </w:r>
      <w:r>
        <w:rPr>
          <w:rFonts w:ascii="FangSong" w:hAnsi="FangSong" w:eastAsia="FangSong" w:cs="FangSong"/>
          <w:sz w:val="23"/>
          <w:szCs w:val="23"/>
          <w:spacing w:val="1"/>
        </w:rPr>
        <w:t>上的通用设备0台</w:t>
      </w:r>
      <w:r>
        <w:rPr>
          <w:rFonts w:ascii="FangSong" w:hAnsi="FangSong" w:eastAsia="FangSong" w:cs="FangSong"/>
          <w:sz w:val="23"/>
          <w:szCs w:val="23"/>
          <w:spacing w:val="1"/>
        </w:rPr>
        <w:t xml:space="preserve"> </w:t>
      </w:r>
      <w:r>
        <w:rPr>
          <w:rFonts w:ascii="FangSong" w:hAnsi="FangSong" w:eastAsia="FangSong" w:cs="FangSong"/>
          <w:sz w:val="23"/>
          <w:szCs w:val="23"/>
          <w:spacing w:val="-4"/>
        </w:rPr>
        <w:t>（套）。</w:t>
      </w:r>
    </w:p>
    <w:p>
      <w:pPr>
        <w:ind w:left="1260"/>
        <w:spacing w:before="2" w:line="228" w:lineRule="exact"/>
        <w:outlineLvl w:val="1"/>
        <w:rPr>
          <w:rFonts w:ascii="Microsoft YaHei" w:hAnsi="Microsoft YaHei" w:eastAsia="Microsoft YaHei" w:cs="Microsoft YaHei"/>
          <w:sz w:val="22"/>
          <w:szCs w:val="22"/>
        </w:rPr>
      </w:pPr>
      <w:bookmarkStart w:name="bookmark31" w:id="47"/>
      <w:bookmarkEnd w:id="47"/>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8"/>
      <w:bookmarkEnd w:id="48"/>
      <w:r>
        <w:rPr>
          <w:rFonts w:ascii="FangSong" w:hAnsi="FangSong" w:eastAsia="FangSong" w:cs="FangSong"/>
          <w:sz w:val="23"/>
          <w:szCs w:val="23"/>
          <w:spacing w:val="-1"/>
        </w:rPr>
        <w:t>（一）政府购买服务指导性目录</w:t>
      </w:r>
    </w:p>
    <w:p>
      <w:pPr>
        <w:ind w:left="1726"/>
        <w:spacing w:before="254" w:line="221" w:lineRule="auto"/>
        <w:rPr>
          <w:rFonts w:ascii="FangSong" w:hAnsi="FangSong" w:eastAsia="FangSong" w:cs="FangSong"/>
          <w:sz w:val="23"/>
          <w:szCs w:val="23"/>
        </w:rPr>
      </w:pPr>
      <w:r>
        <w:rPr>
          <w:rFonts w:ascii="FangSong" w:hAnsi="FangSong" w:eastAsia="FangSong" w:cs="FangSong"/>
          <w:sz w:val="23"/>
          <w:szCs w:val="23"/>
          <w:spacing w:val="-1"/>
        </w:rPr>
        <w:t>本部门无政府购买服务指导性目录</w:t>
      </w:r>
    </w:p>
    <w:p>
      <w:pPr>
        <w:ind w:left="1725"/>
        <w:spacing w:before="266" w:line="222" w:lineRule="auto"/>
        <w:outlineLvl w:val="2"/>
        <w:rPr>
          <w:rFonts w:ascii="FangSong" w:hAnsi="FangSong" w:eastAsia="FangSong" w:cs="FangSong"/>
          <w:sz w:val="23"/>
          <w:szCs w:val="23"/>
        </w:rPr>
      </w:pPr>
      <w:bookmarkStart w:name="bookmark33" w:id="49"/>
      <w:bookmarkEnd w:id="49"/>
      <w:r>
        <w:rPr>
          <w:rFonts w:ascii="FangSong" w:hAnsi="FangSong" w:eastAsia="FangSong" w:cs="FangSong"/>
          <w:sz w:val="23"/>
          <w:szCs w:val="23"/>
          <w:spacing w:val="-3"/>
        </w:rPr>
        <w:t>（二）其他</w:t>
      </w:r>
    </w:p>
    <w:p>
      <w:pPr>
        <w:ind w:left="17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54"/>
          <w:footerReference w:type="default" r:id="rId55"/>
          <w:pgSz w:w="11900" w:h="16840"/>
          <w:pgMar w:top="642" w:right="0" w:bottom="340" w:left="0" w:header="326" w:footer="110" w:gutter="0"/>
        </w:sectPr>
        <w:rPr>
          <w:rFonts w:ascii="FangSong" w:hAnsi="FangSong" w:eastAsia="FangSong" w:cs="FangSong"/>
          <w:sz w:val="23"/>
          <w:szCs w:val="23"/>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5"/>
      <w:footerReference w:type="default" r:id="rId56"/>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bookmarkStart w:name="bookmark48" w:id="44"/>
    <w:bookmarkEnd w:id="44"/>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bookmarkStart w:name="bookmark49" w:id="45"/>
    <w:bookmarkEnd w:id="45"/>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13.08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86.92pt;margin-top:44.105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64" style="position:absolute;margin-left:86.92pt;margin-top:27.7633pt;mso-position-vertical-relative:text;mso-position-horizontal-relative:text;width:119.4pt;height:18.85pt;z-index:-251559936;rotation:330;" fillcolor="#404040" filled="true" stroked="false" type="#_x0000_t136">
          <v:fill opacity="0.400000"/>
          <v:textpath style="font-family:&quot;SimSun&quot;;font-size:20;v-text-kern:t;mso-text-shadow:auto" string="仅供内部审核"/>
        </v:shape>
      </w:pict>
    </w:r>
    <w:r>
      <w:pict>
        <v:shape id="PowerPlusWaterMarkObject166" style="position:absolute;margin-left:490.282pt;margin-top:71.2915pt;mso-position-vertical-relative:page;mso-position-horizontal-relative:page;width:35.45pt;height:6.5pt;z-index:-251560960;" o:allowincell="f" fillcolor="#212529" filled="true" stroked="false" type="#_x0000_t136">
          <v:textpath style="font-family:&quot;SimSun&quot;;font-size:6;v-text-kern:t;mso-text-shadow:auto" string="预算公开表5"/>
        </v:shape>
      </w:pict>
    </w:r>
    <w:r>
      <w:pict>
        <v:shape id="PowerPlusWaterMarkObject168" style="position:absolute;margin-left:491.92pt;margin-top:44.1055pt;mso-position-vertical-relative:page;mso-position-horizontal-relative:page;width:119.4pt;height:18.85pt;z-index:-251561984;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73.8887pt;margin-top:267.372pt;mso-position-vertical-relative:page;mso-position-horizontal-relative:page;width:15.8pt;height:7.9pt;z-index:-251574272;" o:allowincell="f" fillcolor="#212529" filled="true" stroked="false" type="#_x0000_t136">
          <v:textpath style="font-family:&quot;SimSun&quot;;font-size:7.5;v-text-kern:t;mso-text-shadow:auto" string="0899"/>
        </v:shape>
      </w:pict>
    </w:r>
    <w:r>
      <w:pict>
        <v:shape id="PowerPlusWaterMarkObject172" style="position:absolute;margin-left:69.8661pt;margin-top:282.508pt;mso-position-vertical-relative:page;mso-position-horizontal-relative:page;width:11.7pt;height:7.9pt;z-index:-251573248;" o:allowincell="f" fillcolor="#212529" filled="true" stroked="false" type="#_x0000_t136">
          <v:textpath style="font-family:&quot;SimSun&quot;;font-size:7.5;v-text-kern:t;mso-text-shadow:auto" string="208"/>
        </v:shape>
      </w:pict>
    </w:r>
    <w:r>
      <w:pict>
        <v:shape id="PowerPlusWaterMarkObject174" style="position:absolute;margin-left:-13.08pt;margin-top:288.105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505.903pt;margin-top:267.372pt;mso-position-vertical-relative:page;mso-position-horizontal-relative:page;width:3.5pt;height:7.9pt;z-index:-251571200;" o:allowincell="f" fillcolor="#212529" filled="true" stroked="false" type="#_x0000_t136">
          <v:textpath style="font-family:&quot;SimSun&quot;;font-size:7.5;v-text-kern:t;mso-text-shadow:auto" string="5"/>
        </v:shape>
      </w:pict>
    </w:r>
    <w:r>
      <w:pict>
        <v:shape id="PowerPlusWaterMarkObject178" style="position:absolute;margin-left:449.717pt;margin-top:282.508pt;mso-position-vertical-relative:page;mso-position-horizontal-relative:page;width:3.65pt;height:7.9pt;z-index:-251570176;" o:allowincell="f" fillcolor="#212529" filled="true" stroked="false" type="#_x0000_t136">
          <v:textpath style="font-family:&quot;SimSun&quot;;font-size:7.5;v-text-kern:t;mso-text-shadow:auto" string="9"/>
        </v:shape>
      </w:pict>
    </w:r>
    <w:r>
      <w:pict>
        <v:shape id="PowerPlusWaterMarkObject180" style="position:absolute;margin-left:437.554pt;margin-top:297.644pt;mso-position-vertical-relative:page;mso-position-horizontal-relative:page;width:15.8pt;height:7.9pt;z-index:-251568128;" o:allowincell="f" fillcolor="#212529" filled="true" stroked="false" type="#_x0000_t136">
          <v:textpath style="font-family:&quot;SimSun&quot;;font-size:7.5;v-text-kern:t;mso-text-shadow:auto" string="9 97"/>
        </v:shape>
      </w:pict>
    </w:r>
    <w:r>
      <w:pict>
        <v:shape id="PowerPlusWaterMarkObject182" style="position:absolute;margin-left:437.554pt;margin-top:312.78pt;mso-position-vertical-relative:page;mso-position-horizontal-relative:page;width:3.65pt;height:7.9pt;z-index:-251569152;" o:allowincell="f" fillcolor="#212529" filled="true" stroked="false" type="#_x0000_t136">
          <v:textpath style="font-family:&quot;SimSun&quot;;font-size:7.5;v-text-kern:t;mso-text-shadow:auto" string="9"/>
        </v:shape>
      </w:pict>
    </w:r>
    <w:r>
      <w:pict>
        <v:shape id="PowerPlusWaterMarkObject184" style="position:absolute;margin-left:391.92pt;margin-top:288.10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86.92pt;margin-top:532.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491.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90" style="position:absolute;margin-left:-13.08pt;margin-top:776.106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391.92pt;margin-top:776.106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_x0000_s194" style="position:absolute;margin-left:30pt;margin-top:29.5pt;mso-position-vertical-relative:page;mso-position-horizontal-relative:page;width:535pt;height:1pt;z-index:-25156300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长治高新区社会保险中心2025年单位预算公开报告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96" style="position:absolute;margin-left:86.2339pt;margin-top:267.372pt;mso-position-vertical-relative:page;mso-position-horizontal-relative:page;width:15.5pt;height:7.9pt;z-index:-251552768;" o:allowincell="f" fillcolor="#212529" filled="true" stroked="false" type="#_x0000_t136">
          <v:textpath style="font-family:&quot;SimSun&quot;;font-size:7.5;v-text-kern:t;mso-text-shadow:auto" string="公务"/>
        </v:shape>
      </w:pict>
    </w:r>
    <w:r>
      <w:pict>
        <v:shape id="PowerPlusWaterMarkObject198" style="position:absolute;margin-left:86.92pt;margin-top:27.7633pt;mso-position-vertical-relative:text;mso-position-horizontal-relative:text;width:119.4pt;height:18.85pt;z-index:-251544576;rotation:330;" fillcolor="#404040" filled="true" stroked="false" type="#_x0000_t136">
          <v:fill opacity="0.400000"/>
          <v:textpath style="font-family:&quot;SimSun&quot;;font-size:20;v-text-kern:t;mso-text-shadow:auto" string="仅供内部审核"/>
        </v:shape>
      </w:pict>
    </w:r>
    <w:r>
      <w:pict>
        <v:shape id="PowerPlusWaterMarkObject200" style="position:absolute;margin-left:-13.08pt;margin-top:288.105pt;mso-position-vertical-relative:page;mso-position-horizontal-relative:page;width:119.4pt;height:18.85pt;z-index:-251553792;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86.92pt;margin-top:532.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13.08pt;margin-top:776.106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06" style="position:absolute;margin-left:486.557pt;margin-top:71.2915pt;mso-position-vertical-relative:page;mso-position-horizontal-relative:page;width:35.45pt;height:6.5pt;z-index:-251545600;" o:allowincell="f" fillcolor="#212529" filled="true" stroked="false" type="#_x0000_t136">
          <v:textpath style="font-family:&quot;SimSun&quot;;font-size:6;v-text-kern:t;mso-text-shadow:auto" string="预算公开表6"/>
        </v:shape>
      </w:pict>
    </w:r>
    <w:r>
      <w:pict>
        <v:shape id="PowerPlusWaterMarkObject208" style="position:absolute;margin-left:454.098pt;margin-top:282.508pt;mso-position-vertical-relative:page;mso-position-horizontal-relative:page;width:15.8pt;height:7.9pt;z-index:-251555840;" o:allowincell="f" fillcolor="#212529" filled="true" stroked="false" type="#_x0000_t136">
          <v:textpath style="font-family:&quot;SimSun&quot;;font-size:7.5;v-text-kern:t;mso-text-shadow:auto" string="0 39"/>
        </v:shape>
      </w:pict>
    </w:r>
    <w:r>
      <w:pict>
        <v:shape id="PowerPlusWaterMarkObject210" style="position:absolute;margin-left:450.567pt;margin-top:297.644pt;mso-position-vertical-relative:page;mso-position-horizontal-relative:page;width:19.3pt;height:7.9pt;z-index:-251557888;" o:allowincell="f" fillcolor="#212529" filled="true" stroked="false" type="#_x0000_t136">
          <v:textpath style="font-family:&quot;SimSun&quot;;font-size:7.5;v-text-kern:t;mso-text-shadow:auto" string="10 00"/>
        </v:shape>
      </w:pict>
    </w:r>
    <w:r>
      <w:pict>
        <v:shape id="PowerPlusWaterMarkObject212" style="position:absolute;margin-left:402.246pt;margin-top:312.78pt;mso-position-vertical-relative:page;mso-position-horizontal-relative:page;width:7.65pt;height:7.9pt;z-index:-251556864;" o:allowincell="f" fillcolor="#212529" filled="true" stroked="false" type="#_x0000_t136">
          <v:textpath style="font-family:&quot;SimSun&quot;;font-size:7.5;v-text-kern:t;mso-text-shadow:auto" string="67"/>
        </v:shape>
      </w:pict>
    </w:r>
    <w:r>
      <w:pict>
        <v:shape id="PowerPlusWaterMarkObject214" style="position:absolute;margin-left:402.246pt;margin-top:327.916pt;mso-position-vertical-relative:page;mso-position-horizontal-relative:page;width:7.65pt;height:7.9pt;z-index:-251554816;" o:allowincell="f" fillcolor="#212529" filled="true" stroked="false" type="#_x0000_t136">
          <v:textpath style="font-family:&quot;SimSun&quot;;font-size:7.5;v-text-kern:t;mso-text-shadow:auto" string="09"/>
        </v:shape>
      </w:pict>
    </w:r>
    <w:r>
      <w:pict>
        <v:shape id="PowerPlusWaterMarkObject216" style="position:absolute;margin-left:491.92pt;margin-top:44.1055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391.92pt;margin-top:288.105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491.92pt;margin-top:532.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391.92pt;margin-top:776.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_x0000_s224" style="position:absolute;margin-left:30pt;margin-top:29.5pt;mso-position-vertical-relative:page;mso-position-horizontal-relative:page;width:535pt;height:1pt;z-index:-2515476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长治高新区社会保险中心2025年单位预算公开报告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26" style="position:absolute;margin-left:86.92pt;margin-top:27.7633pt;mso-position-vertical-relative:text;mso-position-horizontal-relative:text;width:119.4pt;height:18.85pt;z-index:-251534336;rotation:330;" fillcolor="#404040" filled="true" stroked="false" type="#_x0000_t136">
          <v:fill opacity="0.400000"/>
          <v:textpath style="font-family:&quot;SimSun&quot;;font-size:20;v-text-kern:t;mso-text-shadow:auto" string="仅供内部审核"/>
        </v:shape>
      </w:pict>
    </w:r>
    <w:r>
      <w:pict>
        <v:shape id="PowerPlusWaterMarkObject228" style="position:absolute;margin-left:490.334pt;margin-top:73.4279pt;mso-position-vertical-relative:page;mso-position-horizontal-relative:page;width:35.4pt;height:6.5pt;z-index:-251535360;" o:allowincell="f" fillcolor="#212529" filled="true" stroked="false" type="#_x0000_t136">
          <v:textpath style="font-family:&quot;SimSun&quot;;font-size:6;v-text-kern:t;mso-text-shadow:auto" string="预算公开表7"/>
        </v:shape>
      </w:pict>
    </w:r>
    <w:r>
      <w:pict>
        <v:shape id="PowerPlusWaterMarkObject230" style="position:absolute;margin-left:491.92pt;margin-top:44.1055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13.08pt;margin-top:288.105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391.92pt;margin-top:288.105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86.92pt;margin-top:532.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13.08pt;margin-top:776.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491.92pt;margin-top:532.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42" style="position:absolute;margin-left:391.92pt;margin-top:776.106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_x0000_s244" style="position:absolute;margin-left:30pt;margin-top:29.5pt;mso-position-vertical-relative:page;mso-position-horizontal-relative:page;width:535pt;height:1pt;z-index:-25153740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长治高新区社会保险中心2025年单位预算公开报告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46" style="position:absolute;margin-left:86.92pt;margin-top:27.7633pt;mso-position-vertical-relative:text;mso-position-horizontal-relative:text;width:119.4pt;height:18.85pt;z-index:-251524096;rotation:330;" fillcolor="#404040" filled="true" stroked="false" type="#_x0000_t136">
          <v:fill opacity="0.400000"/>
          <v:textpath style="font-family:&quot;SimSun&quot;;font-size:20;v-text-kern:t;mso-text-shadow:auto" string="仅供内部审核"/>
        </v:shape>
      </w:pict>
    </w:r>
    <w:r>
      <w:pict>
        <v:shape id="PowerPlusWaterMarkObject248" style="position:absolute;margin-left:490.282pt;margin-top:73.4538pt;mso-position-vertical-relative:page;mso-position-horizontal-relative:page;width:35.45pt;height:6.5pt;z-index:-251525120;" o:allowincell="f" fillcolor="#212529" filled="true" stroked="false" type="#_x0000_t136">
          <v:textpath style="font-family:&quot;SimSun&quot;;font-size:6;v-text-kern:t;mso-text-shadow:auto" string="预算公开表8"/>
        </v:shape>
      </w:pict>
    </w:r>
    <w:r>
      <w:pict>
        <v:shape id="PowerPlusWaterMarkObject250" style="position:absolute;margin-left:491.92pt;margin-top:44.1055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13.08pt;margin-top:288.105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pict>
        <v:shape id="PowerPlusWaterMarkObject254" style="position:absolute;margin-left:391.92pt;margin-top:288.105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PowerPlusWaterMarkObject256" style="position:absolute;margin-left:86.92pt;margin-top:532.106pt;mso-position-vertical-relative:page;mso-position-horizontal-relative:page;width:119.4pt;height:18.85pt;z-index:-251532288;rotation:330;" o:allowincell="f" fillcolor="#404040" filled="true" stroked="false" type="#_x0000_t136">
          <v:fill opacity="0.400000"/>
          <v:textpath style="font-family:&quot;SimSun&quot;;font-size:20;v-text-kern:t;mso-text-shadow:auto" string="仅供内部审核"/>
        </v:shape>
      </w:pict>
    </w:r>
    <w:r>
      <w:pict>
        <v:shape id="PowerPlusWaterMarkObject258" style="position:absolute;margin-left:-13.08pt;margin-top:776.106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260" style="position:absolute;margin-left:491.92pt;margin-top:532.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62" style="position:absolute;margin-left:391.92pt;margin-top:776.106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_x0000_s264" style="position:absolute;margin-left:30pt;margin-top:29.5pt;mso-position-vertical-relative:page;mso-position-horizontal-relative:page;width:535pt;height:1pt;z-index:-25152716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长治高新区社会保险中心2025年单位预算公开报告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66" style="position:absolute;margin-left:86.92pt;margin-top:27.7633pt;mso-position-vertical-relative:text;mso-position-horizontal-relative:text;width:119.4pt;height:18.85pt;z-index:-251513856;rotation:330;" fillcolor="#404040" filled="true" stroked="false" type="#_x0000_t136">
          <v:fill opacity="0.400000"/>
          <v:textpath style="font-family:&quot;SimSun&quot;;font-size:20;v-text-kern:t;mso-text-shadow:auto" string="仅供内部审核"/>
        </v:shape>
      </w:pict>
    </w:r>
    <w:r>
      <w:pict>
        <v:shape id="PowerPlusWaterMarkObject268" style="position:absolute;margin-left:490.36pt;margin-top:78.8596pt;mso-position-vertical-relative:page;mso-position-horizontal-relative:page;width:35.35pt;height:6.5pt;z-index:-251514880;" o:allowincell="f" fillcolor="#212529" filled="true" stroked="false" type="#_x0000_t136">
          <v:textpath style="font-family:&quot;SimSun&quot;;font-size:6;v-text-kern:t;mso-text-shadow:auto" string="部门公开表9"/>
        </v:shape>
      </w:pict>
    </w:r>
    <w:r>
      <w:pict>
        <v:shape id="PowerPlusWaterMarkObject270" style="position:absolute;margin-left:491.92pt;margin-top:44.1055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13.08pt;margin-top:288.105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74" style="position:absolute;margin-left:391.92pt;margin-top:288.105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PowerPlusWaterMarkObject276" style="position:absolute;margin-left:86.92pt;margin-top:532.106pt;mso-position-vertical-relative:page;mso-position-horizontal-relative:page;width:119.4pt;height:18.85pt;z-index:-251520000;rotation:330;" o:allowincell="f" fillcolor="#404040" filled="true" stroked="false" type="#_x0000_t136">
          <v:fill opacity="0.400000"/>
          <v:textpath style="font-family:&quot;SimSun&quot;;font-size:20;v-text-kern:t;mso-text-shadow:auto" string="仅供内部审核"/>
        </v:shape>
      </w:pict>
    </w:r>
    <w:r>
      <w:pict>
        <v:shape id="PowerPlusWaterMarkObject278" style="position:absolute;margin-left:-13.08pt;margin-top:776.106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PowerPlusWaterMarkObject280" style="position:absolute;margin-left:491.92pt;margin-top:532.106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PowerPlusWaterMarkObject282" style="position:absolute;margin-left:391.92pt;margin-top:776.106pt;mso-position-vertical-relative:page;mso-position-horizontal-relative:page;width:119.4pt;height:18.85pt;z-index:-251518976;rotation:330;" o:allowincell="f" fillcolor="#404040" filled="true" stroked="false" type="#_x0000_t136">
          <v:fill opacity="0.400000"/>
          <v:textpath style="font-family:&quot;SimSun&quot;;font-size:20;v-text-kern:t;mso-text-shadow:auto" string="仅供内部审核"/>
        </v:shape>
      </w:pict>
    </w:r>
    <w:r>
      <w:pict>
        <v:shape id="_x0000_s284" style="position:absolute;margin-left:30pt;margin-top:29.5pt;mso-position-vertical-relative:page;mso-position-horizontal-relative:page;width:535pt;height:1pt;z-index:-25151692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长治高新区社会保险中心2025年单位预算公开报告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286" style="position:absolute;margin-left:86.92pt;margin-top:27.7633pt;mso-position-vertical-relative:text;mso-position-horizontal-relative:text;width:119.4pt;height:18.85pt;z-index:-251503616;rotation:330;" fillcolor="#404040" filled="true" stroked="false" type="#_x0000_t136">
          <v:fill opacity="0.400000"/>
          <v:textpath style="font-family:&quot;SimSun&quot;;font-size:20;v-text-kern:t;mso-text-shadow:auto" string="仅供内部审核"/>
        </v:shape>
      </w:pict>
    </w:r>
    <w:r>
      <w:pict>
        <v:shape id="PowerPlusWaterMarkObject288" style="position:absolute;margin-left:-13.08pt;margin-top:288.105pt;mso-position-vertical-relative:page;mso-position-horizontal-relative:page;width:119.4pt;height:18.85pt;z-index:-251507712;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86.92pt;margin-top:532.106pt;mso-position-vertical-relative:page;mso-position-horizontal-relative:page;width:119.4pt;height:18.85pt;z-index:-251511808;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13.08pt;margin-top:776.106pt;mso-position-vertical-relative:page;mso-position-horizontal-relative:page;width:119.4pt;height:18.85pt;z-index:-251509760;rotation:330;" o:allowincell="f" fillcolor="#404040" filled="true" stroked="false" type="#_x0000_t136">
          <v:fill opacity="0.400000"/>
          <v:textpath style="font-family:&quot;SimSun&quot;;font-size:20;v-text-kern:t;mso-text-shadow:auto" string="仅供内部审核"/>
        </v:shape>
      </w:pict>
    </w:r>
    <w:r>
      <w:pict>
        <v:shape id="PowerPlusWaterMarkObject294" style="position:absolute;margin-left:487.09pt;margin-top:67.4816pt;mso-position-vertical-relative:page;mso-position-horizontal-relative:page;width:38.65pt;height:6.5pt;z-index:-251504640;" o:allowincell="f" fillcolor="#212529" filled="true" stroked="false" type="#_x0000_t136">
          <v:textpath style="font-family:&quot;SimSun&quot;;font-size:6;v-text-kern:t;mso-text-shadow:auto" string="预算公开表11"/>
        </v:shape>
      </w:pict>
    </w:r>
    <w:r>
      <w:pict>
        <v:shape id="PowerPlusWaterMarkObject296" style="position:absolute;margin-left:491.92pt;margin-top:44.1055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PowerPlusWaterMarkObject298" style="position:absolute;margin-left:391.92pt;margin-top:288.105pt;mso-position-vertical-relative:page;mso-position-horizontal-relative:page;width:119.4pt;height:18.85pt;z-index:-251508736;rotation:330;" o:allowincell="f" fillcolor="#404040" filled="true" stroked="false" type="#_x0000_t136">
          <v:fill opacity="0.400000"/>
          <v:textpath style="font-family:&quot;SimSun&quot;;font-size:20;v-text-kern:t;mso-text-shadow:auto" string="仅供内部审核"/>
        </v:shape>
      </w:pict>
    </w:r>
    <w:r>
      <w:pict>
        <v:shape id="PowerPlusWaterMarkObject300" style="position:absolute;margin-left:491.92pt;margin-top:532.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PowerPlusWaterMarkObject302" style="position:absolute;margin-left:391.92pt;margin-top:776.106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_x0000_s304" style="position:absolute;margin-left:30pt;margin-top:29.5pt;mso-position-vertical-relative:page;mso-position-horizontal-relative:page;width:535pt;height:1pt;z-index:-2515066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长治高新区社会保险中心2025年单位预算公开报告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306" style="position:absolute;margin-left:77.9747pt;margin-top:267.372pt;mso-position-vertical-relative:page;mso-position-horizontal-relative:page;width:23.75pt;height:7.9pt;z-index:-251500544;" o:allowincell="f" fillcolor="#212529" filled="true" stroked="false" type="#_x0000_t136">
          <v:textpath style="font-family:&quot;SimSun&quot;;font-size:7.5;v-text-kern:t;mso-text-shadow:auto" string="2025年"/>
        </v:shape>
      </w:pict>
    </w:r>
    <w:r>
      <w:pict>
        <v:shape id="PowerPlusWaterMarkObject308" style="position:absolute;margin-left:86.92pt;margin-top:27.7633pt;mso-position-vertical-relative:text;mso-position-horizontal-relative:text;width:119.4pt;height:18.85pt;z-index:-251492352;rotation:330;" fillcolor="#404040" filled="true" stroked="false" type="#_x0000_t136">
          <v:fill opacity="0.400000"/>
          <v:textpath style="font-family:&quot;SimSun&quot;;font-size:20;v-text-kern:t;mso-text-shadow:auto" string="仅供内部审核"/>
        </v:shape>
      </w:pict>
    </w:r>
    <w:r>
      <w:pict>
        <v:shape id="PowerPlusWaterMarkObject310" style="position:absolute;margin-left:-13.08pt;margin-top:288.105pt;mso-position-vertical-relative:page;mso-position-horizontal-relative:page;width:119.4pt;height:18.85pt;z-index:-251501568;rotation:330;" o:allowincell="f" fillcolor="#404040" filled="true" stroked="false" type="#_x0000_t136">
          <v:fill opacity="0.400000"/>
          <v:textpath style="font-family:&quot;SimSun&quot;;font-size:20;v-text-kern:t;mso-text-shadow:auto" string="仅供内部审核"/>
        </v:shape>
      </w:pict>
    </w:r>
    <w:r>
      <w:pict>
        <v:shape id="PowerPlusWaterMarkObject312" style="position:absolute;margin-left:86.92pt;margin-top:532.106pt;mso-position-vertical-relative:page;mso-position-horizontal-relative:page;width:119.4pt;height:18.85pt;z-index:-251498496;rotation:330;" o:allowincell="f" fillcolor="#404040" filled="true" stroked="false" type="#_x0000_t136">
          <v:fill opacity="0.400000"/>
          <v:textpath style="font-family:&quot;SimSun&quot;;font-size:20;v-text-kern:t;mso-text-shadow:auto" string="仅供内部审核"/>
        </v:shape>
      </w:pict>
    </w:r>
    <w:r>
      <w:pict>
        <v:shape id="PowerPlusWaterMarkObject314" style="position:absolute;margin-left:-13.08pt;margin-top:776.106pt;mso-position-vertical-relative:page;mso-position-horizontal-relative:page;width:119.4pt;height:18.85pt;z-index:-251496448;rotation:330;" o:allowincell="f" fillcolor="#404040" filled="true" stroked="false" type="#_x0000_t136">
          <v:fill opacity="0.400000"/>
          <v:textpath style="font-family:&quot;SimSun&quot;;font-size:20;v-text-kern:t;mso-text-shadow:auto" string="仅供内部审核"/>
        </v:shape>
      </w:pict>
    </w:r>
    <w:r>
      <w:pict>
        <v:shape id="PowerPlusWaterMarkObject316" style="position:absolute;margin-left:487.09pt;margin-top:73.4279pt;mso-position-vertical-relative:page;mso-position-horizontal-relative:page;width:38.65pt;height:6.5pt;z-index:-251493376;" o:allowincell="f" fillcolor="#212529" filled="true" stroked="false" type="#_x0000_t136">
          <v:textpath style="font-family:&quot;SimSun&quot;;font-size:6;v-text-kern:t;mso-text-shadow:auto" string="预算公开表12"/>
        </v:shape>
      </w:pict>
    </w:r>
    <w:r>
      <w:pict>
        <v:shape id="PowerPlusWaterMarkObject318" style="position:absolute;margin-left:491.92pt;margin-top:44.1055pt;mso-position-vertical-relative:page;mso-position-horizontal-relative:page;width:119.4pt;height:18.85pt;z-index:-251494400;rotation:330;" o:allowincell="f" fillcolor="#404040" filled="true" stroked="false" type="#_x0000_t136">
          <v:fill opacity="0.400000"/>
          <v:textpath style="font-family:&quot;SimSun&quot;;font-size:20;v-text-kern:t;mso-text-shadow:auto" string="仅供内部审核"/>
        </v:shape>
      </w:pict>
    </w:r>
    <w:r>
      <w:pict>
        <v:shape id="PowerPlusWaterMarkObject320" style="position:absolute;margin-left:391.92pt;margin-top:288.105pt;mso-position-vertical-relative:page;mso-position-horizontal-relative:page;width:119.4pt;height:18.85pt;z-index:-251502592;rotation:330;" o:allowincell="f" fillcolor="#404040" filled="true" stroked="false" type="#_x0000_t136">
          <v:fill opacity="0.400000"/>
          <v:textpath style="font-family:&quot;SimSun&quot;;font-size:20;v-text-kern:t;mso-text-shadow:auto" string="仅供内部审核"/>
        </v:shape>
      </w:pict>
    </w:r>
    <w:r>
      <w:pict>
        <v:shape id="PowerPlusWaterMarkObject322" style="position:absolute;margin-left:491.92pt;margin-top:532.106pt;mso-position-vertical-relative:page;mso-position-horizontal-relative:page;width:119.4pt;height:18.85pt;z-index:-251499520;rotation:330;" o:allowincell="f" fillcolor="#404040" filled="true" stroked="false" type="#_x0000_t136">
          <v:fill opacity="0.400000"/>
          <v:textpath style="font-family:&quot;SimSun&quot;;font-size:20;v-text-kern:t;mso-text-shadow:auto" string="仅供内部审核"/>
        </v:shape>
      </w:pict>
    </w:r>
    <w:r>
      <w:pict>
        <v:shape id="PowerPlusWaterMarkObject324" style="position:absolute;margin-left:391.92pt;margin-top:776.106pt;mso-position-vertical-relative:page;mso-position-horizontal-relative:page;width:119.4pt;height:18.85pt;z-index:-251497472;rotation:330;" o:allowincell="f" fillcolor="#404040" filled="true" stroked="false" type="#_x0000_t136">
          <v:fill opacity="0.400000"/>
          <v:textpath style="font-family:&quot;SimSun&quot;;font-size:20;v-text-kern:t;mso-text-shadow:auto" string="仅供内部审核"/>
        </v:shape>
      </w:pict>
    </w:r>
    <w:r>
      <w:pict>
        <v:shape id="_x0000_s326" style="position:absolute;margin-left:30pt;margin-top:29.5pt;mso-position-vertical-relative:page;mso-position-horizontal-relative:page;width:535pt;height:1pt;z-index:-25149542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长治高新区社会保险中心2025年单位预算公开报告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328" style="position:absolute;margin-left:86.92pt;margin-top:27.7633pt;mso-position-vertical-relative:text;mso-position-horizontal-relative:text;width:119.4pt;height:18.85pt;z-index:-251482112;rotation:330;" fillcolor="#404040" filled="true" stroked="false" type="#_x0000_t136">
          <v:fill opacity="0.400000"/>
          <v:textpath style="font-family:&quot;SimSun&quot;;font-size:20;v-text-kern:t;mso-text-shadow:auto" string="仅供内部审核"/>
        </v:shape>
      </w:pict>
    </w:r>
    <w:r>
      <w:pict>
        <v:shape id="PowerPlusWaterMarkObject330" style="position:absolute;margin-left:-13.08pt;margin-top:288.105pt;mso-position-vertical-relative:page;mso-position-horizontal-relative:page;width:119.4pt;height:18.85pt;z-index:-251486208;rotation:330;" o:allowincell="f" fillcolor="#404040" filled="true" stroked="false" type="#_x0000_t136">
          <v:fill opacity="0.400000"/>
          <v:textpath style="font-family:&quot;SimSun&quot;;font-size:20;v-text-kern:t;mso-text-shadow:auto" string="仅供内部审核"/>
        </v:shape>
      </w:pict>
    </w:r>
    <w:r>
      <w:pict>
        <v:shape id="PowerPlusWaterMarkObject332" style="position:absolute;margin-left:86.92pt;margin-top:532.106pt;mso-position-vertical-relative:page;mso-position-horizontal-relative:page;width:119.4pt;height:18.85pt;z-index:-251490304;rotation:330;" o:allowincell="f" fillcolor="#404040" filled="true" stroked="false" type="#_x0000_t136">
          <v:fill opacity="0.400000"/>
          <v:textpath style="font-family:&quot;SimSun&quot;;font-size:20;v-text-kern:t;mso-text-shadow:auto" string="仅供内部审核"/>
        </v:shape>
      </w:pict>
    </w:r>
    <w:r>
      <w:pict>
        <v:shape id="PowerPlusWaterMarkObject334" style="position:absolute;margin-left:-13.08pt;margin-top:776.106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PowerPlusWaterMarkObject336" style="position:absolute;margin-left:487.09pt;margin-top:73.4279pt;mso-position-vertical-relative:page;mso-position-horizontal-relative:page;width:38.65pt;height:6.5pt;z-index:-251483136;" o:allowincell="f" fillcolor="#212529" filled="true" stroked="false" type="#_x0000_t136">
          <v:textpath style="font-family:&quot;SimSun&quot;;font-size:6;v-text-kern:t;mso-text-shadow:auto" string="预算公开表13"/>
        </v:shape>
      </w:pict>
    </w:r>
    <w:r>
      <w:pict>
        <v:shape id="PowerPlusWaterMarkObject338" style="position:absolute;margin-left:491.92pt;margin-top:44.1055pt;mso-position-vertical-relative:page;mso-position-horizontal-relative:page;width:119.4pt;height:18.85pt;z-index:-251484160;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391.92pt;margin-top:288.105pt;mso-position-vertical-relative:page;mso-position-horizontal-relative:page;width:119.4pt;height:18.85pt;z-index:-251487232;rotation:330;" o:allowincell="f" fillcolor="#404040" filled="true" stroked="false" type="#_x0000_t136">
          <v:fill opacity="0.400000"/>
          <v:textpath style="font-family:&quot;SimSun&quot;;font-size:20;v-text-kern:t;mso-text-shadow:auto" string="仅供内部审核"/>
        </v:shape>
      </w:pict>
    </w:r>
    <w:r>
      <w:pict>
        <v:shape id="PowerPlusWaterMarkObject342" style="position:absolute;margin-left:491.92pt;margin-top:532.106pt;mso-position-vertical-relative:page;mso-position-horizontal-relative:page;width:119.4pt;height:18.85pt;z-index:-251491328;rotation:330;" o:allowincell="f" fillcolor="#404040" filled="true" stroked="false" type="#_x0000_t136">
          <v:fill opacity="0.400000"/>
          <v:textpath style="font-family:&quot;SimSun&quot;;font-size:20;v-text-kern:t;mso-text-shadow:auto" string="仅供内部审核"/>
        </v:shape>
      </w:pict>
    </w:r>
    <w:r>
      <w:pict>
        <v:shape id="PowerPlusWaterMarkObject344" style="position:absolute;margin-left:391.92pt;margin-top:776.106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_x0000_s346" style="position:absolute;margin-left:30pt;margin-top:29.5pt;mso-position-vertical-relative:page;mso-position-horizontal-relative:page;width:535pt;height:1pt;z-index:-25148518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长治高新区社会保险中心2025年单位预算公开报告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348" style="position:absolute;margin-left:86.92pt;margin-top:27.7633pt;mso-position-vertical-relative:text;mso-position-horizontal-relative:text;width:119.4pt;height:18.85pt;z-index:-251462656;rotation:330;" fillcolor="#404040" filled="true" stroked="false" type="#_x0000_t136">
          <v:fill opacity="0.400000"/>
          <v:textpath style="font-family:&quot;SimSun&quot;;font-size:20;v-text-kern:t;mso-text-shadow:auto" string="仅供内部审核"/>
        </v:shape>
      </w:pict>
    </w:r>
    <w:r>
      <w:pict>
        <v:shape id="PowerPlusWaterMarkObject350" style="position:absolute;margin-left:491.92pt;margin-top:44.1055pt;mso-position-vertical-relative:page;mso-position-horizontal-relative:page;width:119.4pt;height:18.85pt;z-index:-251463680;rotation:330;" o:allowincell="f" fillcolor="#404040" filled="true" stroked="false" type="#_x0000_t136">
          <v:fill opacity="0.400000"/>
          <v:textpath style="font-family:&quot;SimSun&quot;;font-size:20;v-text-kern:t;mso-text-shadow:auto" string="仅供内部审核"/>
        </v:shape>
      </w:pict>
    </w:r>
    <w:r>
      <w:pict>
        <v:shape id="PowerPlusWaterMarkObject352" style="position:absolute;margin-left:80.7179pt;margin-top:258.837pt;mso-position-vertical-relative:page;mso-position-horizontal-relative:page;width:10.85pt;height:11.8pt;z-index:-251480064;" o:allowincell="f" fillcolor="#000000" filled="true" stroked="false" type="#_x0000_t136">
          <v:textpath style="font-family:&quot;FangSong&quot;;font-size:11.5;v-text-kern:t;mso-text-shadow:auto" string="78"/>
        </v:shape>
      </w:pict>
    </w:r>
    <w:r>
      <w:pict>
        <v:shape id="PowerPlusWaterMarkObject354" style="position:absolute;margin-left:63.8297pt;margin-top:278.838pt;mso-position-vertical-relative:page;mso-position-horizontal-relative:page;width:21.95pt;height:11.8pt;z-index:-251479040;" o:allowincell="f" fillcolor="#000000" filled="true" stroked="false" type="#_x0000_t136">
          <v:textpath style="font-family:&quot;FangSong&quot;;font-size:11.5;v-text-kern:t;mso-text-shadow:auto" string="收入"/>
        </v:shape>
      </w:pict>
    </w:r>
    <w:r>
      <w:pict>
        <v:shape id="PowerPlusWaterMarkObject356" style="position:absolute;margin-left:-13.08pt;margin-top:288.105pt;mso-position-vertical-relative:page;mso-position-horizontal-relative:page;width:119.4pt;height:18.85pt;z-index:-251481088;rotation:330;" o:allowincell="f" fillcolor="#404040" filled="true" stroked="false" type="#_x0000_t136">
          <v:fill opacity="0.400000"/>
          <v:textpath style="font-family:&quot;SimSun&quot;;font-size:20;v-text-kern:t;mso-text-shadow:auto" string="仅供内部审核"/>
        </v:shape>
      </w:pict>
    </w:r>
    <w:r>
      <w:pict>
        <v:shape id="PowerPlusWaterMarkObject358" style="position:absolute;margin-left:152.361pt;margin-top:284.408pt;mso-position-vertical-relative:page;mso-position-horizontal-relative:page;width:196.2pt;height:5.6pt;z-index:-251465728;" o:allowincell="f" fillcolor="#000000" filled="true" stroked="false" type="#_x0000_t136">
          <v:textpath style="font-family:&quot;FangSong&quot;;font-size:11.5;v-text-kern:t;mso-text-shadow:auto" string=";                                 ;"/>
        </v:shape>
      </w:pict>
    </w:r>
    <w:r>
      <w:pict>
        <v:shape id="PowerPlusWaterMarkObject360" style="position:absolute;margin-left:487.622pt;margin-top:258.837pt;mso-position-vertical-relative:page;mso-position-horizontal-relative:page;width:22.55pt;height:11.8pt;z-index:-251476992;" o:allowincell="f" fillcolor="#000000" filled="true" stroked="false" type="#_x0000_t136">
          <v:textpath style="font-family:&quot;FangSong&quot;;font-size:11.5;v-text-kern:t;mso-text-shadow:auto" string="预算"/>
        </v:shape>
      </w:pict>
    </w:r>
    <w:r>
      <w:pict>
        <v:shape id="PowerPlusWaterMarkObject362" style="position:absolute;margin-left:448.473pt;margin-top:278.838pt;mso-position-vertical-relative:page;mso-position-horizontal-relative:page;width:43.95pt;height:11.8pt;z-index:-251475968;" o:allowincell="f" fillcolor="#000000" filled="true" stroked="false" type="#_x0000_t136">
          <v:textpath style="font-family:&quot;FangSong&quot;;font-size:11.5;v-text-kern:t;mso-text-shadow:auto" string="占0%； 上"/>
        </v:shape>
      </w:pict>
    </w:r>
    <w:r>
      <w:pict>
        <v:shape id="PowerPlusWaterMarkObject364" style="position:absolute;margin-left:391.92pt;margin-top:288.105pt;mso-position-vertical-relative:page;mso-position-horizontal-relative:page;width:119.4pt;height:18.85pt;z-index:-251478016;rotation:330;" o:allowincell="f" fillcolor="#404040" filled="true" stroked="false" type="#_x0000_t136">
          <v:fill opacity="0.400000"/>
          <v:textpath style="font-family:&quot;SimSun&quot;;font-size:20;v-text-kern:t;mso-text-shadow:auto" string="仅供内部审核"/>
        </v:shape>
      </w:pict>
    </w:r>
    <w:r>
      <w:pict>
        <v:shape id="PowerPlusWaterMarkObject366" style="position:absolute;margin-left:133.329pt;margin-top:533.99pt;mso-position-vertical-relative:page;mso-position-horizontal-relative:page;width:46.35pt;height:11.8pt;z-index:-251473920;" o:allowincell="f" fillcolor="#000000" filled="true" stroked="false" type="#_x0000_t136">
          <v:textpath style="font-family:&quot;FangSong&quot;;font-size:11.5;v-text-kern:t;mso-text-shadow:auto" string="长治高新"/>
        </v:shape>
      </w:pict>
    </w:r>
    <w:r>
      <w:pict>
        <v:shape id="PowerPlusWaterMarkObject368" style="position:absolute;margin-left:91.7539pt;margin-top:554.532pt;mso-position-vertical-relative:page;mso-position-horizontal-relative:page;width:51.4pt;height:11.8pt;z-index:-251472896;" o:allowincell="f" fillcolor="#000000" filled="true" stroked="false" type="#_x0000_t136">
          <v:textpath style="font-family:&quot;FangSong&quot;;font-size:11.5;v-text-kern:t;mso-text-shadow:auto" string="04%； 项目"/>
        </v:shape>
      </w:pict>
    </w:r>
    <w:r>
      <w:pict>
        <v:shape id="PowerPlusWaterMarkObject370" style="position:absolute;margin-left:86.92pt;margin-top:532.106pt;mso-position-vertical-relative:page;mso-position-horizontal-relative:page;width:119.4pt;height:18.85pt;z-index:-251474944;rotation:330;" o:allowincell="f" fillcolor="#404040" filled="true" stroked="false" type="#_x0000_t136">
          <v:fill opacity="0.400000"/>
          <v:textpath style="font-family:&quot;SimSun&quot;;font-size:20;v-text-kern:t;mso-text-shadow:auto" string="仅供内部审核"/>
        </v:shape>
      </w:pict>
    </w:r>
    <w:r>
      <w:pict>
        <v:shape id="PowerPlusWaterMarkObject372" style="position:absolute;margin-left:491.92pt;margin-top:532.106pt;mso-position-vertical-relative:page;mso-position-horizontal-relative:page;width:119.4pt;height:18.85pt;z-index:-251471872;rotation:330;" o:allowincell="f" fillcolor="#404040" filled="true" stroked="false" type="#_x0000_t136">
          <v:fill opacity="0.400000"/>
          <v:textpath style="font-family:&quot;SimSun&quot;;font-size:20;v-text-kern:t;mso-text-shadow:auto" string="仅供内部审核"/>
        </v:shape>
      </w:pict>
    </w:r>
    <w:r>
      <w:pict>
        <v:shape id="PowerPlusWaterMarkObject374" style="position:absolute;margin-left:86.2696pt;margin-top:756.166pt;mso-position-vertical-relative:page;mso-position-horizontal-relative:page;width:22.3pt;height:11.8pt;z-index:-251469824;" o:allowincell="f" fillcolor="#000000" filled="true" stroked="false" type="#_x0000_t136">
          <v:textpath style="font-family:&quot;FangSong&quot;;font-size:11.5;v-text-kern:t;mso-text-shadow:auto" string="（二"/>
        </v:shape>
      </w:pict>
    </w:r>
    <w:r>
      <w:pict>
        <v:shape id="PowerPlusWaterMarkObject376" style="position:absolute;margin-left:433pt;margin-top:776.167pt;mso-position-vertical-relative:page;mso-position-horizontal-relative:page;width:40.85pt;height:11.8pt;z-index:-251467776;" o:allowincell="f" fillcolor="#000000" filled="true" stroked="false" type="#_x0000_t136">
          <v:textpath style="font-family:&quot;FangSong&quot;;font-size:11.5;v-text-kern:t;mso-text-shadow:auto" string="元 主要"/>
        </v:shape>
      </w:pict>
    </w:r>
    <w:r>
      <w:pict>
        <v:shape id="PowerPlusWaterMarkObject378" style="position:absolute;margin-left:308.43pt;margin-top:796.709pt;mso-position-vertical-relative:page;mso-position-horizontal-relative:page;width:187.85pt;height:11.8pt;z-index:-251466752;" o:allowincell="f" fillcolor="#000000" filled="true" stroked="false" type="#_x0000_t136">
          <v:textpath style="font-family:&quot;FangSong&quot;;font-size:11.5;v-text-kern:t;mso-text-shadow:auto" string="；               97万元         ；"/>
        </v:shape>
      </w:pict>
    </w:r>
    <w:r>
      <w:pict>
        <v:shape id="PowerPlusWaterMarkObject380" style="position:absolute;margin-left:-13.08pt;margin-top:776.106pt;mso-position-vertical-relative:page;mso-position-horizontal-relative:page;width:119.4pt;height:18.85pt;z-index:-251470848;rotation:330;" o:allowincell="f" fillcolor="#404040" filled="true" stroked="false" type="#_x0000_t136">
          <v:fill opacity="0.400000"/>
          <v:textpath style="font-family:&quot;SimSun&quot;;font-size:20;v-text-kern:t;mso-text-shadow:auto" string="仅供内部审核"/>
        </v:shape>
      </w:pict>
    </w:r>
    <w:r>
      <w:pict>
        <v:shape id="PowerPlusWaterMarkObject382" style="position:absolute;margin-left:391.92pt;margin-top:776.106pt;mso-position-vertical-relative:page;mso-position-horizontal-relative:page;width:119.4pt;height:18.85pt;z-index:-251468800;rotation:330;" o:allowincell="f" fillcolor="#404040" filled="true" stroked="false" type="#_x0000_t136">
          <v:fill opacity="0.400000"/>
          <v:textpath style="font-family:&quot;SimSun&quot;;font-size:20;v-text-kern:t;mso-text-shadow:auto" string="仅供内部审核"/>
        </v:shape>
      </w:pict>
    </w:r>
    <w:r>
      <w:pict>
        <v:shape id="_x0000_s384" style="position:absolute;margin-left:30pt;margin-top:29.5pt;mso-position-vertical-relative:page;mso-position-horizontal-relative:page;width:535pt;height:1pt;z-index:-2514647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长治高新区社会保险中心2025年单位预算公开报告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386" style="position:absolute;margin-left:87.4305pt;margin-top:64.2303pt;mso-position-vertical-relative:page;mso-position-horizontal-relative:page;width:49.95pt;height:11.8pt;z-index:-251447296;" o:allowincell="f" fillcolor="#000000" filled="true" stroked="false" type="#_x0000_t136">
          <v:textpath style="font-family:&quot;FangSong&quot;;font-size:11.5;v-text-kern:t;mso-text-shadow:auto" string="出10 00万"/>
        </v:shape>
      </w:pict>
    </w:r>
    <w:r>
      <w:pict>
        <v:shape id="PowerPlusWaterMarkObject388" style="position:absolute;margin-left:86.92pt;margin-top:27.7633pt;mso-position-vertical-relative:text;mso-position-horizontal-relative:text;width:119.4pt;height:18.85pt;z-index:-251444224;rotation:330;" fillcolor="#404040" filled="true" stroked="false" type="#_x0000_t136">
          <v:fill opacity="0.400000"/>
          <v:textpath style="font-family:&quot;SimSun&quot;;font-size:20;v-text-kern:t;mso-text-shadow:auto" string="仅供内部审核"/>
        </v:shape>
      </w:pict>
    </w:r>
    <w:r>
      <w:pict>
        <v:shape id="PowerPlusWaterMarkObject390" style="position:absolute;margin-left:491.92pt;margin-top:44.1055pt;mso-position-vertical-relative:page;mso-position-horizontal-relative:page;width:119.4pt;height:18.85pt;z-index:-251445248;rotation:330;" o:allowincell="f" fillcolor="#404040" filled="true" stroked="false" type="#_x0000_t136">
          <v:fill opacity="0.400000"/>
          <v:textpath style="font-family:&quot;SimSun&quot;;font-size:20;v-text-kern:t;mso-text-shadow:auto" string="仅供内部审核"/>
        </v:shape>
      </w:pict>
    </w:r>
    <w:r>
      <w:pict>
        <v:shape id="PowerPlusWaterMarkObject392" style="position:absolute;margin-left:86.0353pt;margin-top:266.946pt;mso-position-vertical-relative:page;mso-position-horizontal-relative:page;width:22.55pt;height:11.8pt;z-index:-251456512;" o:allowincell="f" fillcolor="#000000" filled="true" stroked="false" type="#_x0000_t136">
          <v:textpath style="font-family:&quot;FangSong&quot;;font-size:11.5;v-text-kern:t;mso-text-shadow:auto" string="2025"/>
        </v:shape>
      </w:pict>
    </w:r>
    <w:r>
      <w:pict>
        <v:shape id="PowerPlusWaterMarkObject394" style="position:absolute;margin-left:-13.08pt;margin-top:288.105pt;mso-position-vertical-relative:page;mso-position-horizontal-relative:page;width:119.4pt;height:18.85pt;z-index:-251457536;rotation:330;" o:allowincell="f" fillcolor="#404040" filled="true" stroked="false" type="#_x0000_t136">
          <v:fill opacity="0.400000"/>
          <v:textpath style="font-family:&quot;SimSun&quot;;font-size:20;v-text-kern:t;mso-text-shadow:auto" string="仅供内部审核"/>
        </v:shape>
      </w:pict>
    </w:r>
    <w:r>
      <w:pict>
        <v:shape id="PowerPlusWaterMarkObject396" style="position:absolute;margin-left:346.911pt;margin-top:286.947pt;mso-position-vertical-relative:page;mso-position-horizontal-relative:page;width:9.6pt;height:11.8pt;z-index:-251450368;" o:allowincell="f" fillcolor="#000000" filled="true" stroked="false" type="#_x0000_t136">
          <v:textpath style="font-family:&quot;FangSong&quot;;font-size:11.5;v-text-kern:t;mso-text-shadow:auto" string="出"/>
        </v:shape>
      </w:pict>
    </w:r>
    <w:r>
      <w:pict>
        <v:shape id="PowerPlusWaterMarkObject398" style="position:absolute;margin-left:466.818pt;margin-top:266.946pt;mso-position-vertical-relative:page;mso-position-horizontal-relative:page;width:22.25pt;height:11.8pt;z-index:-251459584;" o:allowincell="f" fillcolor="#000000" filled="true" stroked="false" type="#_x0000_t136">
          <v:textpath style="font-family:&quot;FangSong&quot;;font-size:11.5;v-text-kern:t;mso-text-shadow:auto" string="其中"/>
        </v:shape>
      </w:pict>
    </w:r>
    <w:r>
      <w:pict>
        <v:shape id="PowerPlusWaterMarkObject400" style="position:absolute;margin-left:440.361pt;margin-top:286.947pt;mso-position-vertical-relative:page;mso-position-horizontal-relative:page;width:46.2pt;height:11.8pt;z-index:-251458560;" o:allowincell="f" fillcolor="#000000" filled="true" stroked="false" type="#_x0000_t136">
          <v:textpath style="font-family:&quot;FangSong&quot;;font-size:11.5;v-text-kern:t;mso-text-shadow:auto" string="缴费  公"/>
        </v:shape>
      </w:pict>
    </w:r>
    <w:r>
      <w:pict>
        <v:shape id="PowerPlusWaterMarkObject402" style="position:absolute;margin-left:405.372pt;margin-top:306.948pt;mso-position-vertical-relative:page;mso-position-horizontal-relative:page;width:45.95pt;height:11.8pt;z-index:-251460608;" o:allowincell="f" fillcolor="#000000" filled="true" stroked="false" type="#_x0000_t136">
          <v:textpath style="font-family:&quot;FangSong&quot;;font-size:11.5;v-text-kern:t;mso-text-shadow:auto" string="单位基本"/>
        </v:shape>
      </w:pict>
    </w:r>
    <w:r>
      <w:pict>
        <v:shape id="PowerPlusWaterMarkObject404" style="position:absolute;margin-left:391.92pt;margin-top:288.105pt;mso-position-vertical-relative:page;mso-position-horizontal-relative:page;width:119.4pt;height:18.85pt;z-index:-251461632;rotation:330;" o:allowincell="f" fillcolor="#404040" filled="true" stroked="false" type="#_x0000_t136">
          <v:fill opacity="0.400000"/>
          <v:textpath style="font-family:&quot;SimSun&quot;;font-size:20;v-text-kern:t;mso-text-shadow:auto" string="仅供内部审核"/>
        </v:shape>
      </w:pict>
    </w:r>
    <w:r>
      <w:pict>
        <v:shape id="PowerPlusWaterMarkObject406" style="position:absolute;margin-left:178.582pt;margin-top:509.123pt;mso-position-vertical-relative:page;mso-position-horizontal-relative:page;width:22.25pt;height:11.8pt;z-index:-251454464;" o:allowincell="f" fillcolor="#000000" filled="true" stroked="false" type="#_x0000_t136">
          <v:textpath style="font-family:&quot;FangSong&quot;;font-size:11.5;v-text-kern:t;mso-text-shadow:auto" string="程预"/>
        </v:shape>
      </w:pict>
    </w:r>
    <w:r>
      <w:pict>
        <v:shape id="PowerPlusWaterMarkObject408" style="position:absolute;margin-left:103.549pt;margin-top:549.126pt;mso-position-vertical-relative:page;mso-position-horizontal-relative:page;width:45.4pt;height:11.8pt;z-index:-251452416;" o:allowincell="f" fillcolor="#000000" filled="true" stroked="false" type="#_x0000_t136">
          <v:textpath style="font-family:&quot;FangSong&quot;;font-size:11.5;v-text-kern:t;mso-text-shadow:auto" string="整体绩效"/>
        </v:shape>
      </w:pict>
    </w:r>
    <w:r>
      <w:pict>
        <v:shape id="PowerPlusWaterMarkObject410" style="position:absolute;margin-left:98.0112pt;margin-top:569.668pt;mso-position-vertical-relative:page;mso-position-horizontal-relative:page;width:10.8pt;height:11.8pt;z-index:-251453440;" o:allowincell="f" fillcolor="#000000" filled="true" stroked="false" type="#_x0000_t136">
          <v:textpath style="font-family:&quot;FangSong&quot;;font-size:11.5;v-text-kern:t;mso-text-shadow:auto" string="长"/>
        </v:shape>
      </w:pict>
    </w:r>
    <w:r>
      <w:pict>
        <v:shape id="PowerPlusWaterMarkObject412" style="position:absolute;margin-left:86.92pt;margin-top:532.106pt;mso-position-vertical-relative:page;mso-position-horizontal-relative:page;width:119.4pt;height:18.85pt;z-index:-251455488;rotation:330;" o:allowincell="f" fillcolor="#404040" filled="true" stroked="false" type="#_x0000_t136">
          <v:fill opacity="0.400000"/>
          <v:textpath style="font-family:&quot;SimSun&quot;;font-size:20;v-text-kern:t;mso-text-shadow:auto" string="仅供内部审核"/>
        </v:shape>
      </w:pict>
    </w:r>
    <w:r>
      <w:pict>
        <v:shape id="PowerPlusWaterMarkObject414" style="position:absolute;margin-left:491.92pt;margin-top:532.106pt;mso-position-vertical-relative:page;mso-position-horizontal-relative:page;width:119.4pt;height:18.85pt;z-index:-251451392;rotation:330;" o:allowincell="f" fillcolor="#404040" filled="true" stroked="false" type="#_x0000_t136">
          <v:fill opacity="0.400000"/>
          <v:textpath style="font-family:&quot;SimSun&quot;;font-size:20;v-text-kern:t;mso-text-shadow:auto" string="仅供内部审核"/>
        </v:shape>
      </w:pict>
    </w:r>
    <w:r>
      <w:pict>
        <v:shape id="PowerPlusWaterMarkObject416" style="position:absolute;margin-left:-13.08pt;margin-top:776.106pt;mso-position-vertical-relative:page;mso-position-horizontal-relative:page;width:119.4pt;height:18.85pt;z-index:-251448320;rotation:330;" o:allowincell="f" fillcolor="#404040" filled="true" stroked="false" type="#_x0000_t136">
          <v:fill opacity="0.400000"/>
          <v:textpath style="font-family:&quot;SimSun&quot;;font-size:20;v-text-kern:t;mso-text-shadow:auto" string="仅供内部审核"/>
        </v:shape>
      </w:pict>
    </w:r>
    <w:r>
      <w:pict>
        <v:shape id="PowerPlusWaterMarkObject418" style="position:absolute;margin-left:391.92pt;margin-top:776.106pt;mso-position-vertical-relative:page;mso-position-horizontal-relative:page;width:119.4pt;height:18.85pt;z-index:-251449344;rotation:330;" o:allowincell="f" fillcolor="#404040" filled="true" stroked="false" type="#_x0000_t136">
          <v:fill opacity="0.400000"/>
          <v:textpath style="font-family:&quot;SimSun&quot;;font-size:20;v-text-kern:t;mso-text-shadow:auto" string="仅供内部审核"/>
        </v:shape>
      </w:pict>
    </w:r>
    <w:r>
      <w:pict>
        <v:shape id="_x0000_s420" style="position:absolute;margin-left:30pt;margin-top:29.5pt;mso-position-vertical-relative:page;mso-position-horizontal-relative:page;width:535pt;height:1pt;z-index:-25144627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长治高新区社会保险中心2025年单位预算公开报告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13.08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391.92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776.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491.92pt;margin-top:532.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422" style="position:absolute;margin-left:86.92pt;margin-top:27.7633pt;mso-position-vertical-relative:text;mso-position-horizontal-relative:text;width:119.4pt;height:18.85pt;z-index:-251437056;rotation:330;" fillcolor="#404040" filled="true" stroked="false" type="#_x0000_t136">
          <v:fill opacity="0.400000"/>
          <v:textpath style="font-family:&quot;SimSun&quot;;font-size:20;v-text-kern:t;mso-text-shadow:auto" string="仅供内部审核"/>
        </v:shape>
      </w:pict>
    </w:r>
    <w:r>
      <w:pict>
        <v:shape id="PowerPlusWaterMarkObject424" style="position:absolute;margin-left:-13.08pt;margin-top:288.105pt;mso-position-vertical-relative:page;mso-position-horizontal-relative:page;width:119.4pt;height:18.85pt;z-index:-251440128;rotation:330;" o:allowincell="f" fillcolor="#404040" filled="true" stroked="false" type="#_x0000_t136">
          <v:fill opacity="0.400000"/>
          <v:textpath style="font-family:&quot;SimSun&quot;;font-size:20;v-text-kern:t;mso-text-shadow:auto" string="仅供内部审核"/>
        </v:shape>
      </w:pict>
    </w:r>
    <w:r>
      <w:pict>
        <v:shape id="PowerPlusWaterMarkObject426" style="position:absolute;margin-left:491.92pt;margin-top:44.1055pt;mso-position-vertical-relative:page;mso-position-horizontal-relative:page;width:119.4pt;height:18.85pt;z-index:-251438080;rotation:330;" o:allowincell="f" fillcolor="#404040" filled="true" stroked="false" type="#_x0000_t136">
          <v:fill opacity="0.400000"/>
          <v:textpath style="font-family:&quot;SimSun&quot;;font-size:20;v-text-kern:t;mso-text-shadow:auto" string="仅供内部审核"/>
        </v:shape>
      </w:pict>
    </w:r>
    <w:r>
      <w:pict>
        <v:shape id="PowerPlusWaterMarkObject428" style="position:absolute;margin-left:-13.08pt;margin-top:776.106pt;mso-position-vertical-relative:page;mso-position-horizontal-relative:page;width:119.4pt;height:18.85pt;z-index:-251441152;rotation:330;" o:allowincell="f" fillcolor="#404040" filled="true" stroked="false" type="#_x0000_t136">
          <v:fill opacity="0.400000"/>
          <v:textpath style="font-family:&quot;SimSun&quot;;font-size:20;v-text-kern:t;mso-text-shadow:auto" string="仅供内部审核"/>
        </v:shape>
      </w:pict>
    </w:r>
    <w:r>
      <w:pict>
        <v:shape id="PowerPlusWaterMarkObject430" style="position:absolute;margin-left:491.92pt;margin-top:532.106pt;mso-position-vertical-relative:page;mso-position-horizontal-relative:page;width:119.4pt;height:18.85pt;z-index:-251443200;rotation:330;" o:allowincell="f" fillcolor="#404040" filled="true" stroked="false" type="#_x0000_t136">
          <v:fill opacity="0.400000"/>
          <v:textpath style="font-family:&quot;SimSun&quot;;font-size:20;v-text-kern:t;mso-text-shadow:auto" string="仅供内部审核"/>
        </v:shape>
      </w:pict>
    </w:r>
    <w:r>
      <w:pict>
        <v:shape id="PowerPlusWaterMarkObject432" style="position:absolute;margin-left:391.92pt;margin-top:776.106pt;mso-position-vertical-relative:page;mso-position-horizontal-relative:page;width:119.4pt;height:18.85pt;z-index:-251442176;rotation:330;" o:allowincell="f" fillcolor="#404040" filled="true" stroked="false" type="#_x0000_t136">
          <v:fill opacity="0.400000"/>
          <v:textpath style="font-family:&quot;SimSun&quot;;font-size:20;v-text-kern:t;mso-text-shadow:auto" string="仅供内部审核"/>
        </v:shape>
      </w:pict>
    </w:r>
    <w:r>
      <w:pict>
        <v:shape id="_x0000_s434" style="position:absolute;margin-left:30pt;margin-top:29.5pt;mso-position-vertical-relative:page;mso-position-horizontal-relative:page;width:535pt;height:1pt;z-index:-2514391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长治高新区社会保险中心2025年单位预算公开报告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448" style="position:absolute;margin-left:86.92pt;margin-top:27.7633pt;mso-position-vertical-relative:text;mso-position-horizontal-relative:text;width:119.4pt;height:18.85pt;z-index:-251432960;rotation:330;" fillcolor="#404040" filled="true" stroked="false" type="#_x0000_t136">
          <v:fill opacity="0.400000"/>
          <v:textpath style="font-family:&quot;SimSun&quot;;font-size:20;v-text-kern:t;mso-text-shadow:auto" string="仅供内部审核"/>
        </v:shape>
      </w:pict>
    </w:r>
    <w:r>
      <w:pict>
        <v:shape id="PowerPlusWaterMarkObject450" style="position:absolute;margin-left:-13.08pt;margin-top:776.106pt;mso-position-vertical-relative:page;mso-position-horizontal-relative:page;width:119.4pt;height:18.85pt;z-index:-251435008;rotation:330;" o:allowincell="f" fillcolor="#404040" filled="true" stroked="false" type="#_x0000_t136">
          <v:fill opacity="0.400000"/>
          <v:textpath style="font-family:&quot;SimSun&quot;;font-size:20;v-text-kern:t;mso-text-shadow:auto" string="仅供内部审核"/>
        </v:shape>
      </w:pict>
    </w:r>
    <w:r>
      <w:pict>
        <v:shape id="PowerPlusWaterMarkObject452" style="position:absolute;margin-left:391.92pt;margin-top:776.106pt;mso-position-vertical-relative:page;mso-position-horizontal-relative:page;width:119.4pt;height:18.85pt;z-index:-251436032;rotation:330;" o:allowincell="f" fillcolor="#404040" filled="true" stroked="false" type="#_x0000_t136">
          <v:fill opacity="0.400000"/>
          <v:textpath style="font-family:&quot;SimSun&quot;;font-size:20;v-text-kern:t;mso-text-shadow:auto" string="仅供内部审核"/>
        </v:shape>
      </w:pict>
    </w:r>
    <w:r>
      <w:pict>
        <v:shape id="_x0000_s454" style="position:absolute;margin-left:30pt;margin-top:29.5pt;mso-position-vertical-relative:page;mso-position-horizontal-relative:page;width:535pt;height:1pt;z-index:-25143398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长治高新区社会保险中心2025年单位预算公开报告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480" style="position:absolute;margin-left:86.92pt;margin-top:27.7633pt;mso-position-vertical-relative:text;mso-position-horizontal-relative:text;width:119.4pt;height:18.85pt;z-index:-251423744;rotation:330;" fillcolor="#404040" filled="true" stroked="false" type="#_x0000_t136">
          <v:fill opacity="0.400000"/>
          <v:textpath style="font-family:&quot;SimSun&quot;;font-size:20;v-text-kern:t;mso-text-shadow:auto" string="仅供内部审核"/>
        </v:shape>
      </w:pict>
    </w:r>
    <w:r>
      <w:pict>
        <v:shape id="PowerPlusWaterMarkObject482" style="position:absolute;margin-left:-13.08pt;margin-top:288.105pt;mso-position-vertical-relative:page;mso-position-horizontal-relative:page;width:119.4pt;height:18.85pt;z-index:-251431936;rotation:330;" o:allowincell="f" fillcolor="#404040" filled="true" stroked="false" type="#_x0000_t136">
          <v:fill opacity="0.400000"/>
          <v:textpath style="font-family:&quot;SimSun&quot;;font-size:20;v-text-kern:t;mso-text-shadow:auto" string="仅供内部审核"/>
        </v:shape>
      </w:pict>
    </w:r>
    <w:r>
      <w:pict>
        <v:shape id="PowerPlusWaterMarkObject484" style="position:absolute;margin-left:491.92pt;margin-top:44.1055pt;mso-position-vertical-relative:page;mso-position-horizontal-relative:page;width:119.4pt;height:18.85pt;z-index:-251424768;rotation:330;" o:allowincell="f" fillcolor="#404040" filled="true" stroked="false" type="#_x0000_t136">
          <v:fill opacity="0.400000"/>
          <v:textpath style="font-family:&quot;SimSun&quot;;font-size:20;v-text-kern:t;mso-text-shadow:auto" string="仅供内部审核"/>
        </v:shape>
      </w:pict>
    </w:r>
    <w:r>
      <w:pict>
        <v:shape id="PowerPlusWaterMarkObject486" style="position:absolute;margin-left:391.92pt;margin-top:288.105pt;mso-position-vertical-relative:page;mso-position-horizontal-relative:page;width:119.4pt;height:18.85pt;z-index:-251426816;rotation:330;" o:allowincell="f" fillcolor="#404040" filled="true" stroked="false" type="#_x0000_t136">
          <v:fill opacity="0.400000"/>
          <v:textpath style="font-family:&quot;SimSun&quot;;font-size:20;v-text-kern:t;mso-text-shadow:auto" string="仅供内部审核"/>
        </v:shape>
      </w:pict>
    </w:r>
    <w:r>
      <w:pict>
        <v:shape id="PowerPlusWaterMarkObject488" style="position:absolute;margin-left:86.92pt;margin-top:532.106pt;mso-position-vertical-relative:page;mso-position-horizontal-relative:page;width:119.4pt;height:18.85pt;z-index:-251429888;rotation:330;" o:allowincell="f" fillcolor="#404040" filled="true" stroked="false" type="#_x0000_t136">
          <v:fill opacity="0.400000"/>
          <v:textpath style="font-family:&quot;SimSun&quot;;font-size:20;v-text-kern:t;mso-text-shadow:auto" string="仅供内部审核"/>
        </v:shape>
      </w:pict>
    </w:r>
    <w:r>
      <w:pict>
        <v:shape id="PowerPlusWaterMarkObject490" style="position:absolute;margin-left:-13.08pt;margin-top:776.106pt;mso-position-vertical-relative:page;mso-position-horizontal-relative:page;width:119.4pt;height:18.85pt;z-index:-251427840;rotation:330;" o:allowincell="f" fillcolor="#404040" filled="true" stroked="false" type="#_x0000_t136">
          <v:fill opacity="0.400000"/>
          <v:textpath style="font-family:&quot;SimSun&quot;;font-size:20;v-text-kern:t;mso-text-shadow:auto" string="仅供内部审核"/>
        </v:shape>
      </w:pict>
    </w:r>
    <w:r>
      <w:pict>
        <v:shape id="PowerPlusWaterMarkObject492" style="position:absolute;margin-left:491.92pt;margin-top:532.106pt;mso-position-vertical-relative:page;mso-position-horizontal-relative:page;width:119.4pt;height:18.85pt;z-index:-251430912;rotation:330;" o:allowincell="f" fillcolor="#404040" filled="true" stroked="false" type="#_x0000_t136">
          <v:fill opacity="0.400000"/>
          <v:textpath style="font-family:&quot;SimSun&quot;;font-size:20;v-text-kern:t;mso-text-shadow:auto" string="仅供内部审核"/>
        </v:shape>
      </w:pict>
    </w:r>
    <w:r>
      <w:pict>
        <v:shape id="PowerPlusWaterMarkObject494" style="position:absolute;margin-left:391.92pt;margin-top:776.106pt;mso-position-vertical-relative:page;mso-position-horizontal-relative:page;width:119.4pt;height:18.85pt;z-index:-251428864;rotation:330;" o:allowincell="f" fillcolor="#404040" filled="true" stroked="false" type="#_x0000_t136">
          <v:fill opacity="0.400000"/>
          <v:textpath style="font-family:&quot;SimSun&quot;;font-size:20;v-text-kern:t;mso-text-shadow:auto" string="仅供内部审核"/>
        </v:shape>
      </w:pict>
    </w:r>
    <w:r>
      <w:pict>
        <v:shape id="_x0000_s496" style="position:absolute;margin-left:30pt;margin-top:29.5pt;mso-position-vertical-relative:page;mso-position-horizontal-relative:page;width:535pt;height:1pt;z-index:-2514257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长治高新区社会保险中心2025年单位预算公开报告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86.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491.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长治高新区社会保险中心2025年单位预算公开报告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长治高新区社会保险中心2025年单位预算公开报告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86" style="position:absolute;margin-left:-13.08pt;margin-top:28.7633pt;mso-position-vertical-relative:text;mso-position-horizontal-relative:text;width:119.4pt;height:18.85pt;z-index:-251608064;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312.92pt;margin-top:45.1055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86.92pt;margin-top:287.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638.92pt;margin-top:45.1055pt;mso-position-vertical-relative:page;mso-position-horizontal-relative:page;width:119.4pt;height:18.85pt;z-index:-251609088;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45.0434pt;margin-top:406.395pt;mso-position-vertical-relative:page;mso-position-horizontal-relative:page;width:609.35pt;height:22.25pt;z-index:-251613184;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96" style="position:absolute;margin-left:280.957pt;margin-top:406.395pt;mso-position-vertical-relative:page;mso-position-horizontal-relative:page;width:609.35pt;height:22.25pt;z-index:-25161523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98" style="position:absolute;margin-left:638.92pt;margin-top:529.106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_x0000_s100" style="position:absolute;margin-left:30pt;margin-top:29.5pt;mso-position-vertical-relative:page;mso-position-horizontal-relative:page;width:782pt;height:1pt;z-index:-251611136;"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长治高新区社会保险中心2025年单位预算公开报告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02" style="position:absolute;margin-left:86.92pt;margin-top:27.7633pt;mso-position-vertical-relative:text;mso-position-horizontal-relative:text;width:119.4pt;height:18.85pt;z-index:-251597824;rotation:330;" fillcolor="#404040" filled="true" stroked="false" type="#_x0000_t136">
          <v:fill opacity="0.400000"/>
          <v:textpath style="font-family:&quot;SimSun&quot;;font-size:20;v-text-kern:t;mso-text-shadow:auto" string="仅供内部审核"/>
        </v:shape>
      </w:pict>
    </w:r>
    <w:r>
      <w:pict>
        <v:shape id="PowerPlusWaterMarkObject104" style="position:absolute;margin-left:491.92pt;margin-top:44.1055pt;mso-position-vertical-relative:page;mso-position-horizontal-relative:page;width:119.4pt;height:18.85pt;z-index:-251598848;rotation:330;" o:allowincell="f" fillcolor="#404040" filled="true" stroked="false" type="#_x0000_t136">
          <v:fill opacity="0.400000"/>
          <v:textpath style="font-family:&quot;SimSun&quot;;font-size:20;v-text-kern:t;mso-text-shadow:auto" string="仅供内部审核"/>
        </v:shape>
      </w:pict>
    </w:r>
    <w:r>
      <w:pict>
        <v:shape id="PowerPlusWaterMarkObject106" style="position:absolute;margin-left:-13.08pt;margin-top:288.105pt;mso-position-vertical-relative:page;mso-position-horizontal-relative:page;width:119.4pt;height:18.85pt;z-index:-251604992;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391.92pt;margin-top:288.105pt;mso-position-vertical-relative:page;mso-position-horizontal-relative:page;width:119.4pt;height:18.85pt;z-index:-251607040;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442.062pt;margin-top:282.935pt;mso-position-vertical-relative:page;mso-position-horizontal-relative:page;width:16.45pt;height:5.8pt;z-index:-251606016;rotation:330;" o:allowincell="f" fillcolor="#212529" filled="true" stroked="false" type="#_x0000_t136">
          <v:textpath style="font-family:&quot;Arial&quot;;font-size:5.5;v-text-kern:t;mso-text-shadow:auto" string="0. 29"/>
        </v:shape>
      </w:pict>
    </w:r>
    <w:r>
      <w:pict>
        <v:shape id="PowerPlusWaterMarkObject112" style="position:absolute;margin-left:86.92pt;margin-top:532.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PowerPlusWaterMarkObject114" style="position:absolute;margin-left:491.92pt;margin-top:532.106pt;mso-position-vertical-relative:page;mso-position-horizontal-relative:page;width:119.4pt;height:18.85pt;z-index:-251603968;rotation:330;" o:allowincell="f" fillcolor="#404040" filled="true" stroked="false" type="#_x0000_t136">
          <v:fill opacity="0.400000"/>
          <v:textpath style="font-family:&quot;SimSun&quot;;font-size:20;v-text-kern:t;mso-text-shadow:auto" string="仅供内部审核"/>
        </v:shape>
      </w:pict>
    </w:r>
    <w:r>
      <w:pict>
        <v:shape id="PowerPlusWaterMarkObject116" style="position:absolute;margin-left:-13.08pt;margin-top:776.106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18" style="position:absolute;margin-left:391.92pt;margin-top:776.106pt;mso-position-vertical-relative:page;mso-position-horizontal-relative:page;width:119.4pt;height:18.85pt;z-index:-251601920;rotation:330;" o:allowincell="f" fillcolor="#404040" filled="true" stroked="false" type="#_x0000_t136">
          <v:fill opacity="0.400000"/>
          <v:textpath style="font-family:&quot;SimSun&quot;;font-size:20;v-text-kern:t;mso-text-shadow:auto" string="仅供内部审核"/>
        </v:shape>
      </w:pict>
    </w:r>
    <w:r>
      <w:pict>
        <v:shape id="_x0000_s120" style="position:absolute;margin-left:30pt;margin-top:29.5pt;mso-position-vertical-relative:page;mso-position-horizontal-relative:page;width:535pt;height:1pt;z-index:-25159987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长治高新区社会保险中心2025年单位预算公开报告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22" style="position:absolute;margin-left:86.92pt;margin-top:27.7633pt;mso-position-vertical-relative:text;mso-position-horizontal-relative:text;width:119.4pt;height:18.85pt;z-index:-251586560;rotation:330;" fillcolor="#404040" filled="true" stroked="false" type="#_x0000_t136">
          <v:fill opacity="0.400000"/>
          <v:textpath style="font-family:&quot;SimSun&quot;;font-size:20;v-text-kern:t;mso-text-shadow:auto" string="仅供内部审核"/>
        </v:shape>
      </w:pict>
    </w:r>
    <w:r>
      <w:pict>
        <v:shape id="PowerPlusWaterMarkObject124" style="position:absolute;margin-left:493.62pt;margin-top:72.8103pt;mso-position-vertical-relative:page;mso-position-horizontal-relative:page;width:32.1pt;height:7.2pt;z-index:-251587584;" o:allowincell="f" fillcolor="#212529" filled="true" stroked="false" type="#_x0000_t136">
          <v:textpath style="font-family:&quot;SimSun&quot;;font-size:7;v-text-kern:t;mso-text-shadow:auto" string="算公开表4"/>
        </v:shape>
      </w:pict>
    </w:r>
    <w:r>
      <w:pict>
        <v:shape id="PowerPlusWaterMarkObject126" style="position:absolute;margin-left:491.92pt;margin-top:44.105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401.365pt;margin-top:325.754pt;mso-position-vertical-relative:page;mso-position-horizontal-relative:page;width:11.7pt;height:7.9pt;z-index:-251590656;" o:allowincell="f" fillcolor="#212529" filled="true" stroked="false" type="#_x0000_t136">
          <v:textpath style="font-family:&quot;SimSun&quot;;font-size:7.5;v-text-kern:t;mso-text-shadow:auto" string="258"/>
        </v:shape>
      </w:pict>
    </w:r>
    <w:r>
      <w:pict>
        <v:shape id="PowerPlusWaterMarkObject130" style="position:absolute;margin-left:-13.08pt;margin-top:288.105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391.92pt;margin-top:288.105pt;mso-position-vertical-relative:page;mso-position-horizontal-relative:page;width:119.4pt;height:18.85pt;z-index:-251591680;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86.92pt;margin-top:532.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6" style="position:absolute;margin-left:491.92pt;margin-top:532.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38" style="position:absolute;margin-left:-13.08pt;margin-top:776.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40" style="position:absolute;margin-left:391.92pt;margin-top:776.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_x0000_s142" style="position:absolute;margin-left:30pt;margin-top:29.5pt;mso-position-vertical-relative:page;mso-position-horizontal-relative:page;width:535pt;height:1pt;z-index:-2515896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长治高新区社会保险中心2025年单位预算公开报告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6"/>
      <w:spacing w:before="32" w:line="210" w:lineRule="exact"/>
      <w:rPr>
        <w:rFonts w:ascii="SimSun" w:hAnsi="SimSun" w:eastAsia="SimSun" w:cs="SimSun"/>
        <w:sz w:val="16"/>
        <w:szCs w:val="16"/>
      </w:rPr>
    </w:pPr>
    <w:r>
      <w:pict>
        <v:shape id="PowerPlusWaterMarkObject144" style="position:absolute;margin-left:94.1286pt;margin-top:66.2782pt;mso-position-vertical-relative:page;mso-position-horizontal-relative:page;width:40.05pt;height:7.9pt;z-index:-251579392;" o:allowincell="f" fillcolor="#212529" filled="true" stroked="false" type="#_x0000_t136">
          <v:textpath style="font-family:&quot;SimSun&quot;;font-size:7.5;v-text-kern:t;mso-text-shadow:auto" string="政拨款结转"/>
        </v:shape>
      </w:pict>
    </w:r>
    <w:r>
      <w:pict>
        <v:shape id="PowerPlusWaterMarkObject146" style="position:absolute;margin-left:86.92pt;margin-top:27.7633pt;mso-position-vertical-relative:text;mso-position-horizontal-relative:text;width:119.4pt;height:18.85pt;z-index:-251576320;rotation:330;" fillcolor="#404040" filled="true" stroked="false" type="#_x0000_t136">
          <v:fill opacity="0.400000"/>
          <v:textpath style="font-family:&quot;SimSun&quot;;font-size:20;v-text-kern:t;mso-text-shadow:auto" string="仅供内部审核"/>
        </v:shape>
      </w:pict>
    </w:r>
    <w:r>
      <w:pict>
        <v:shape id="PowerPlusWaterMarkObject148" style="position:absolute;margin-left:-13.08pt;margin-top:288.10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491.92pt;margin-top:44.1055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391.92pt;margin-top:288.10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86.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13.08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PowerPlusWaterMarkObject158" style="position:absolute;margin-left:491.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391.92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_x0000_s162" style="position:absolute;margin-left:30pt;margin-top:29.5pt;mso-position-vertical-relative:page;mso-position-horizontal-relative:page;width:535pt;height:1pt;z-index:-25157836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长治高新区社会保险中心2025年单位预算公开报告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5.xml"/><Relationship Id="rId6" Type="http://schemas.openxmlformats.org/officeDocument/2006/relationships/footer" Target="footer1.xml"/><Relationship Id="rId59" Type="http://schemas.openxmlformats.org/officeDocument/2006/relationships/fontTable" Target="fontTable.xml"/><Relationship Id="rId58" Type="http://schemas.openxmlformats.org/officeDocument/2006/relationships/styles" Target="styles.xml"/><Relationship Id="rId57" Type="http://schemas.openxmlformats.org/officeDocument/2006/relationships/settings" Target="settings.xml"/><Relationship Id="rId56" Type="http://schemas.openxmlformats.org/officeDocument/2006/relationships/footer" Target="footer25.xml"/><Relationship Id="rId55" Type="http://schemas.openxmlformats.org/officeDocument/2006/relationships/footer" Target="footer24.xml"/><Relationship Id="rId54" Type="http://schemas.openxmlformats.org/officeDocument/2006/relationships/header" Target="header22.xml"/><Relationship Id="rId53" Type="http://schemas.openxmlformats.org/officeDocument/2006/relationships/image" Target="media/image9.png"/><Relationship Id="rId52" Type="http://schemas.openxmlformats.org/officeDocument/2006/relationships/footer" Target="footer23.xml"/><Relationship Id="rId51" Type="http://schemas.openxmlformats.org/officeDocument/2006/relationships/image" Target="media/image8.png"/><Relationship Id="rId50" Type="http://schemas.openxmlformats.org/officeDocument/2006/relationships/footer" Target="footer22.xml"/><Relationship Id="rId5" Type="http://schemas.openxmlformats.org/officeDocument/2006/relationships/header" Target="header4.xml"/><Relationship Id="rId49" Type="http://schemas.openxmlformats.org/officeDocument/2006/relationships/image" Target="media/image7.png"/><Relationship Id="rId48" Type="http://schemas.openxmlformats.org/officeDocument/2006/relationships/footer" Target="footer21.xml"/><Relationship Id="rId47" Type="http://schemas.openxmlformats.org/officeDocument/2006/relationships/header" Target="header21.xml"/><Relationship Id="rId46" Type="http://schemas.openxmlformats.org/officeDocument/2006/relationships/image" Target="media/image6.png"/><Relationship Id="rId45" Type="http://schemas.openxmlformats.org/officeDocument/2006/relationships/footer" Target="footer20.xml"/><Relationship Id="rId44" Type="http://schemas.openxmlformats.org/officeDocument/2006/relationships/image" Target="media/image5.png"/><Relationship Id="rId43" Type="http://schemas.openxmlformats.org/officeDocument/2006/relationships/footer" Target="footer19.xml"/><Relationship Id="rId42" Type="http://schemas.openxmlformats.org/officeDocument/2006/relationships/image" Target="media/image4.png"/><Relationship Id="rId41" Type="http://schemas.openxmlformats.org/officeDocument/2006/relationships/footer" Target="footer18.xml"/><Relationship Id="rId40" Type="http://schemas.openxmlformats.org/officeDocument/2006/relationships/header" Target="header20.xml"/><Relationship Id="rId4" Type="http://schemas.openxmlformats.org/officeDocument/2006/relationships/header" Target="header3.xml"/><Relationship Id="rId39" Type="http://schemas.openxmlformats.org/officeDocument/2006/relationships/image" Target="media/image3.png"/><Relationship Id="rId38" Type="http://schemas.openxmlformats.org/officeDocument/2006/relationships/footer" Target="footer17.xml"/><Relationship Id="rId37" Type="http://schemas.openxmlformats.org/officeDocument/2006/relationships/header" Target="header19.xml"/><Relationship Id="rId36" Type="http://schemas.openxmlformats.org/officeDocument/2006/relationships/image" Target="media/image2.png"/><Relationship Id="rId35" Type="http://schemas.openxmlformats.org/officeDocument/2006/relationships/footer" Target="footer16.xml"/><Relationship Id="rId34" Type="http://schemas.openxmlformats.org/officeDocument/2006/relationships/header" Target="header18.xml"/><Relationship Id="rId33" Type="http://schemas.openxmlformats.org/officeDocument/2006/relationships/footer" Target="footer15.xml"/><Relationship Id="rId32" Type="http://schemas.openxmlformats.org/officeDocument/2006/relationships/header" Target="header17.xml"/><Relationship Id="rId31" Type="http://schemas.openxmlformats.org/officeDocument/2006/relationships/footer" Target="footer14.xml"/><Relationship Id="rId30" Type="http://schemas.openxmlformats.org/officeDocument/2006/relationships/header" Target="header16.xml"/><Relationship Id="rId3" Type="http://schemas.openxmlformats.org/officeDocument/2006/relationships/image" Target="media/image1.png"/><Relationship Id="rId29" Type="http://schemas.openxmlformats.org/officeDocument/2006/relationships/footer" Target="footer13.xml"/><Relationship Id="rId28" Type="http://schemas.openxmlformats.org/officeDocument/2006/relationships/header" Target="header15.xml"/><Relationship Id="rId27" Type="http://schemas.openxmlformats.org/officeDocument/2006/relationships/footer" Target="footer12.xml"/><Relationship Id="rId26" Type="http://schemas.openxmlformats.org/officeDocument/2006/relationships/header" Target="header14.xml"/><Relationship Id="rId25" Type="http://schemas.openxmlformats.org/officeDocument/2006/relationships/footer" Target="footer11.xml"/><Relationship Id="rId24" Type="http://schemas.openxmlformats.org/officeDocument/2006/relationships/header" Target="header13.xml"/><Relationship Id="rId23" Type="http://schemas.openxmlformats.org/officeDocument/2006/relationships/footer" Target="footer10.xml"/><Relationship Id="rId22" Type="http://schemas.openxmlformats.org/officeDocument/2006/relationships/header" Target="header12.xml"/><Relationship Id="rId21" Type="http://schemas.openxmlformats.org/officeDocument/2006/relationships/footer" Target="footer9.xml"/><Relationship Id="rId20" Type="http://schemas.openxmlformats.org/officeDocument/2006/relationships/header" Target="header11.xml"/><Relationship Id="rId2" Type="http://schemas.openxmlformats.org/officeDocument/2006/relationships/header" Target="header2.xml"/><Relationship Id="rId19" Type="http://schemas.openxmlformats.org/officeDocument/2006/relationships/footer" Target="footer8.xml"/><Relationship Id="rId18" Type="http://schemas.openxmlformats.org/officeDocument/2006/relationships/header" Target="header10.xml"/><Relationship Id="rId17" Type="http://schemas.openxmlformats.org/officeDocument/2006/relationships/footer" Target="footer7.xml"/><Relationship Id="rId16" Type="http://schemas.openxmlformats.org/officeDocument/2006/relationships/header" Target="header9.xml"/><Relationship Id="rId15" Type="http://schemas.openxmlformats.org/officeDocument/2006/relationships/footer" Target="footer6.xml"/><Relationship Id="rId14" Type="http://schemas.openxmlformats.org/officeDocument/2006/relationships/header" Target="header8.xml"/><Relationship Id="rId13" Type="http://schemas.openxmlformats.org/officeDocument/2006/relationships/footer" Target="footer5.xml"/><Relationship Id="rId12" Type="http://schemas.openxmlformats.org/officeDocument/2006/relationships/header" Target="header7.xml"/><Relationship Id="rId11" Type="http://schemas.openxmlformats.org/officeDocument/2006/relationships/footer" Target="footer4.xml"/><Relationship Id="rId10" Type="http://schemas.openxmlformats.org/officeDocument/2006/relationships/header" Target="header6.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2025-04-02T09:45:22Z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2025-04-02T10:06:13</vt:filetime>
  </property>
</Properties>
</file>