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79" w:right="3068" w:hanging="70"/>
        <w:spacing w:before="140" w:line="350" w:lineRule="auto"/>
        <w:outlineLvl w:val="0"/>
        <w:rPr>
          <w:rFonts w:ascii="SimSun" w:hAnsi="SimSun" w:eastAsia="SimSun" w:cs="SimSun"/>
          <w:sz w:val="43"/>
          <w:szCs w:val="43"/>
        </w:rPr>
      </w:pPr>
      <w:r>
        <w:rPr>
          <w:rFonts w:ascii="SimSun" w:hAnsi="SimSun" w:eastAsia="SimSun" w:cs="SimSun"/>
          <w:sz w:val="43"/>
          <w:szCs w:val="43"/>
          <w:spacing w:val="99"/>
        </w:rPr>
        <w:t>长治高新区综合服务中心</w:t>
      </w:r>
      <w:r>
        <w:rPr>
          <w:rFonts w:ascii="SimSun" w:hAnsi="SimSun" w:eastAsia="SimSun" w:cs="SimSun"/>
          <w:sz w:val="43"/>
          <w:szCs w:val="43"/>
          <w:spacing w:val="2"/>
        </w:rPr>
        <w:t xml:space="preserve"> </w:t>
      </w:r>
      <w:r>
        <w:rPr>
          <w:rFonts w:ascii="SimSun" w:hAnsi="SimSun" w:eastAsia="SimSun" w:cs="SimSun"/>
          <w:sz w:val="43"/>
          <w:szCs w:val="43"/>
          <w:spacing w:val="4"/>
        </w:rPr>
        <w:t>2</w:t>
      </w:r>
      <w:r>
        <w:rPr>
          <w:rFonts w:ascii="SimSun" w:hAnsi="SimSun" w:eastAsia="SimSun" w:cs="SimSun"/>
          <w:sz w:val="43"/>
          <w:szCs w:val="43"/>
          <w:spacing w:val="-89"/>
        </w:rPr>
        <w:t xml:space="preserve"> </w:t>
      </w:r>
      <w:r>
        <w:rPr>
          <w:rFonts w:ascii="SimSun" w:hAnsi="SimSun" w:eastAsia="SimSun" w:cs="SimSun"/>
          <w:sz w:val="43"/>
          <w:szCs w:val="43"/>
          <w:spacing w:val="4"/>
        </w:rPr>
        <w:t>0</w:t>
      </w:r>
      <w:r>
        <w:rPr>
          <w:rFonts w:ascii="SimSun" w:hAnsi="SimSun" w:eastAsia="SimSun" w:cs="SimSun"/>
          <w:sz w:val="43"/>
          <w:szCs w:val="43"/>
          <w:spacing w:val="-94"/>
        </w:rPr>
        <w:t xml:space="preserve"> </w:t>
      </w:r>
      <w:r>
        <w:rPr>
          <w:rFonts w:ascii="SimSun" w:hAnsi="SimSun" w:eastAsia="SimSun" w:cs="SimSun"/>
          <w:sz w:val="43"/>
          <w:szCs w:val="43"/>
          <w:spacing w:val="4"/>
        </w:rPr>
        <w:t>2</w:t>
      </w:r>
      <w:r>
        <w:rPr>
          <w:rFonts w:ascii="SimSun" w:hAnsi="SimSun" w:eastAsia="SimSun" w:cs="SimSun"/>
          <w:sz w:val="43"/>
          <w:szCs w:val="43"/>
          <w:spacing w:val="-77"/>
        </w:rPr>
        <w:t xml:space="preserve"> </w:t>
      </w:r>
      <w:r>
        <w:rPr>
          <w:rFonts w:ascii="SimSun" w:hAnsi="SimSun" w:eastAsia="SimSun" w:cs="SimSun"/>
          <w:sz w:val="43"/>
          <w:szCs w:val="43"/>
          <w:spacing w:val="4"/>
        </w:rPr>
        <w:t>5</w:t>
      </w:r>
      <w:r>
        <w:rPr>
          <w:rFonts w:ascii="SimSun" w:hAnsi="SimSun" w:eastAsia="SimSun" w:cs="SimSun"/>
          <w:sz w:val="43"/>
          <w:szCs w:val="43"/>
          <w:spacing w:val="-98"/>
        </w:rPr>
        <w:t xml:space="preserve"> </w:t>
      </w:r>
      <w:r>
        <w:rPr>
          <w:rFonts w:ascii="SimSun" w:hAnsi="SimSun" w:eastAsia="SimSun" w:cs="SimSun"/>
          <w:sz w:val="43"/>
          <w:szCs w:val="43"/>
          <w:spacing w:val="4"/>
        </w:rPr>
        <w:t>年</w:t>
      </w:r>
      <w:r>
        <w:rPr>
          <w:rFonts w:ascii="SimSun" w:hAnsi="SimSun" w:eastAsia="SimSun" w:cs="SimSun"/>
          <w:sz w:val="43"/>
          <w:szCs w:val="43"/>
          <w:spacing w:val="-96"/>
        </w:rPr>
        <w:t xml:space="preserve"> </w:t>
      </w:r>
      <w:r>
        <w:rPr>
          <w:rFonts w:ascii="SimSun" w:hAnsi="SimSun" w:eastAsia="SimSun" w:cs="SimSun"/>
          <w:sz w:val="43"/>
          <w:szCs w:val="43"/>
          <w:spacing w:val="4"/>
        </w:rPr>
        <w:t>度</w:t>
      </w:r>
      <w:r>
        <w:rPr>
          <w:rFonts w:ascii="SimSun" w:hAnsi="SimSun" w:eastAsia="SimSun" w:cs="SimSun"/>
          <w:sz w:val="43"/>
          <w:szCs w:val="43"/>
          <w:spacing w:val="-97"/>
        </w:rPr>
        <w:t xml:space="preserve"> </w:t>
      </w:r>
      <w:r>
        <w:rPr>
          <w:rFonts w:ascii="SimSun" w:hAnsi="SimSun" w:eastAsia="SimSun" w:cs="SimSun"/>
          <w:sz w:val="43"/>
          <w:szCs w:val="43"/>
          <w:spacing w:val="4"/>
        </w:rPr>
        <w:t>部</w:t>
      </w:r>
      <w:r>
        <w:rPr>
          <w:rFonts w:ascii="SimSun" w:hAnsi="SimSun" w:eastAsia="SimSun" w:cs="SimSun"/>
          <w:sz w:val="43"/>
          <w:szCs w:val="43"/>
          <w:spacing w:val="-64"/>
        </w:rPr>
        <w:t xml:space="preserve"> </w:t>
      </w:r>
      <w:r>
        <w:rPr>
          <w:rFonts w:ascii="SimSun" w:hAnsi="SimSun" w:eastAsia="SimSun" w:cs="SimSun"/>
          <w:sz w:val="43"/>
          <w:szCs w:val="43"/>
          <w:spacing w:val="4"/>
        </w:rPr>
        <w:t>门</w:t>
      </w:r>
      <w:r>
        <w:rPr>
          <w:rFonts w:ascii="SimSun" w:hAnsi="SimSun" w:eastAsia="SimSun" w:cs="SimSun"/>
          <w:sz w:val="43"/>
          <w:szCs w:val="43"/>
          <w:spacing w:val="-108"/>
        </w:rPr>
        <w:t xml:space="preserve"> </w:t>
      </w:r>
      <w:r>
        <w:rPr>
          <w:rFonts w:ascii="SimSun" w:hAnsi="SimSun" w:eastAsia="SimSun" w:cs="SimSun"/>
          <w:sz w:val="43"/>
          <w:szCs w:val="43"/>
          <w:spacing w:val="4"/>
        </w:rPr>
        <w:t>预</w:t>
      </w:r>
      <w:r>
        <w:rPr>
          <w:rFonts w:ascii="SimSun" w:hAnsi="SimSun" w:eastAsia="SimSun" w:cs="SimSun"/>
          <w:sz w:val="43"/>
          <w:szCs w:val="43"/>
          <w:spacing w:val="-94"/>
        </w:rPr>
        <w:t xml:space="preserve"> </w:t>
      </w:r>
      <w:r>
        <w:rPr>
          <w:rFonts w:ascii="SimSun" w:hAnsi="SimSun" w:eastAsia="SimSun" w:cs="SimSun"/>
          <w:sz w:val="43"/>
          <w:szCs w:val="43"/>
          <w:spacing w:val="4"/>
        </w:rPr>
        <w:t>算</w:t>
      </w:r>
      <w:r>
        <w:rPr>
          <w:rFonts w:ascii="SimSun" w:hAnsi="SimSun" w:eastAsia="SimSun" w:cs="SimSun"/>
          <w:sz w:val="43"/>
          <w:szCs w:val="43"/>
          <w:spacing w:val="-104"/>
        </w:rPr>
        <w:t xml:space="preserve"> </w:t>
      </w:r>
      <w:r>
        <w:rPr>
          <w:rFonts w:ascii="SimSun" w:hAnsi="SimSun" w:eastAsia="SimSun" w:cs="SimSun"/>
          <w:sz w:val="43"/>
          <w:szCs w:val="43"/>
          <w:spacing w:val="4"/>
        </w:rPr>
        <w:t>公</w:t>
      </w:r>
      <w:r>
        <w:rPr>
          <w:rFonts w:ascii="SimSun" w:hAnsi="SimSun" w:eastAsia="SimSun" w:cs="SimSun"/>
          <w:sz w:val="43"/>
          <w:szCs w:val="43"/>
          <w:spacing w:val="-98"/>
        </w:rPr>
        <w:t xml:space="preserve"> </w:t>
      </w:r>
      <w:r>
        <w:rPr>
          <w:rFonts w:ascii="SimSun" w:hAnsi="SimSun" w:eastAsia="SimSun" w:cs="SimSun"/>
          <w:sz w:val="43"/>
          <w:szCs w:val="43"/>
          <w:spacing w:val="4"/>
        </w:rPr>
        <w:t>开</w:t>
      </w:r>
    </w:p>
    <w:p>
      <w:pPr>
        <w:spacing w:line="350" w:lineRule="auto"/>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40"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0"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43</w:t>
            </w:r>
          </w:hyperlink>
        </w:p>
        <w:p>
          <w:pPr>
            <w:ind w:left="1990"/>
            <w:spacing w:before="113" w:line="222" w:lineRule="auto"/>
            <w:tabs>
              <w:tab w:val="right" w:leader="dot" w:pos="10580"/>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43</w:t>
            </w:r>
          </w:hyperlink>
        </w:p>
        <w:p>
          <w:pPr>
            <w:ind w:left="2621"/>
            <w:spacing w:before="116" w:line="220" w:lineRule="auto"/>
            <w:tabs>
              <w:tab w:val="right" w:leader="dot" w:pos="10580"/>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1"/>
              </w:rPr>
              <w:t xml:space="preserve"> </w:t>
            </w:r>
            <w:r>
              <w:rPr>
                <w:rFonts w:ascii="FangSong" w:hAnsi="FangSong" w:eastAsia="FangSong" w:cs="FangSong"/>
                <w:sz w:val="32"/>
                <w:szCs w:val="32"/>
                <w:spacing w:val="-3"/>
              </w:rPr>
              <w:t>43</w:t>
            </w:r>
          </w:hyperlink>
        </w:p>
        <w:p>
          <w:pPr>
            <w:ind w:left="2621"/>
            <w:spacing w:before="118" w:line="222" w:lineRule="auto"/>
            <w:tabs>
              <w:tab w:val="right" w:leader="dot" w:pos="10580"/>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43</w:t>
            </w:r>
          </w:hyperlink>
        </w:p>
        <w:p>
          <w:pPr>
            <w:ind w:left="1354"/>
            <w:spacing w:before="116" w:line="222" w:lineRule="auto"/>
            <w:tabs>
              <w:tab w:val="right" w:leader="dot" w:pos="10580"/>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81" w:lineRule="auto"/>
        <w:rPr/>
      </w:pPr>
      <w:r/>
    </w:p>
    <w:p>
      <w:pPr>
        <w:pStyle w:val="BodyText"/>
        <w:spacing w:line="282" w:lineRule="auto"/>
        <w:rPr/>
      </w:pPr>
      <w:r/>
    </w:p>
    <w:p>
      <w:pPr>
        <w:ind w:left="5187"/>
        <w:spacing w:before="98"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一、本部门职责</w:t>
      </w:r>
    </w:p>
    <w:p>
      <w:pPr>
        <w:ind w:left="1515" w:right="1475"/>
        <w:spacing w:before="282" w:line="296" w:lineRule="auto"/>
        <w:rPr>
          <w:rFonts w:ascii="FangSong" w:hAnsi="FangSong" w:eastAsia="FangSong" w:cs="FangSong"/>
          <w:sz w:val="24"/>
          <w:szCs w:val="24"/>
        </w:rPr>
      </w:pPr>
      <w:r>
        <w:rPr>
          <w:rFonts w:ascii="FangSong" w:hAnsi="FangSong" w:eastAsia="FangSong" w:cs="FangSong"/>
          <w:sz w:val="24"/>
          <w:szCs w:val="24"/>
          <w:spacing w:val="7"/>
        </w:rPr>
        <w:t>承担城建、人防、市容、市政、园林、劳动保障等方面的事务性工作；配合做好环</w:t>
      </w:r>
      <w:r>
        <w:rPr>
          <w:rFonts w:ascii="FangSong" w:hAnsi="FangSong" w:eastAsia="FangSong" w:cs="FangSong"/>
          <w:sz w:val="24"/>
          <w:szCs w:val="24"/>
          <w:spacing w:val="16"/>
        </w:rPr>
        <w:t xml:space="preserve"> </w:t>
      </w:r>
      <w:r>
        <w:rPr>
          <w:rFonts w:ascii="FangSong" w:hAnsi="FangSong" w:eastAsia="FangSong" w:cs="FangSong"/>
          <w:sz w:val="24"/>
          <w:szCs w:val="24"/>
          <w:spacing w:val="-1"/>
        </w:rPr>
        <w:t>保、市场监管、规划和自然资源等有关执法部门对外服务的相关业务工作</w:t>
      </w:r>
    </w:p>
    <w:p>
      <w:pPr>
        <w:ind w:left="1513"/>
        <w:spacing w:before="220"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1514" w:right="1474" w:firstLine="1"/>
        <w:spacing w:before="103" w:line="302" w:lineRule="auto"/>
        <w:jc w:val="both"/>
        <w:rPr>
          <w:rFonts w:ascii="FangSong" w:hAnsi="FangSong" w:eastAsia="FangSong" w:cs="FangSong"/>
          <w:sz w:val="24"/>
          <w:szCs w:val="24"/>
        </w:rPr>
      </w:pPr>
      <w:r>
        <w:rPr>
          <w:rFonts w:ascii="FangSong" w:hAnsi="FangSong" w:eastAsia="FangSong" w:cs="FangSong"/>
          <w:sz w:val="24"/>
          <w:szCs w:val="24"/>
          <w:spacing w:val="1"/>
        </w:rPr>
        <w:t>长治高新区综合服务中心为财政拨款事业单位，正科级建制，核</w:t>
      </w:r>
      <w:r>
        <w:rPr>
          <w:rFonts w:ascii="FangSong" w:hAnsi="FangSong" w:eastAsia="FangSong" w:cs="FangSong"/>
          <w:sz w:val="24"/>
          <w:szCs w:val="24"/>
        </w:rPr>
        <w:t>定编制10名、科级领</w:t>
      </w:r>
      <w:r>
        <w:rPr>
          <w:rFonts w:ascii="FangSong" w:hAnsi="FangSong" w:eastAsia="FangSong" w:cs="FangSong"/>
          <w:sz w:val="24"/>
          <w:szCs w:val="24"/>
        </w:rPr>
        <w:t xml:space="preserve"> </w:t>
      </w:r>
      <w:r>
        <w:rPr>
          <w:rFonts w:ascii="FangSong" w:hAnsi="FangSong" w:eastAsia="FangSong" w:cs="FangSong"/>
          <w:sz w:val="24"/>
          <w:szCs w:val="24"/>
          <w:spacing w:val="1"/>
        </w:rPr>
        <w:t>导职数1正1副。我单位现有人员82名，其中编内人员9名，公</w:t>
      </w:r>
      <w:r>
        <w:rPr>
          <w:rFonts w:ascii="FangSong" w:hAnsi="FangSong" w:eastAsia="FangSong" w:cs="FangSong"/>
          <w:sz w:val="24"/>
          <w:szCs w:val="24"/>
        </w:rPr>
        <w:t>益岗位3名，执法协管员</w:t>
      </w:r>
      <w:r>
        <w:rPr>
          <w:rFonts w:ascii="FangSong" w:hAnsi="FangSong" w:eastAsia="FangSong" w:cs="FangSong"/>
          <w:sz w:val="24"/>
          <w:szCs w:val="24"/>
        </w:rPr>
        <w:t xml:space="preserve"> </w:t>
      </w:r>
      <w:r>
        <w:rPr>
          <w:rFonts w:ascii="FangSong" w:hAnsi="FangSong" w:eastAsia="FangSong" w:cs="FangSong"/>
          <w:sz w:val="24"/>
          <w:szCs w:val="24"/>
          <w:spacing w:val="-8"/>
        </w:rPr>
        <w:t>70名。</w:t>
      </w:r>
    </w:p>
    <w:p>
      <w:pPr>
        <w:ind w:left="1545"/>
        <w:spacing w:before="20" w:line="221" w:lineRule="auto"/>
        <w:rPr>
          <w:rFonts w:ascii="FangSong" w:hAnsi="FangSong" w:eastAsia="FangSong" w:cs="FangSong"/>
          <w:sz w:val="24"/>
          <w:szCs w:val="24"/>
        </w:rPr>
      </w:pPr>
      <w:r>
        <w:rPr>
          <w:rFonts w:ascii="FangSong" w:hAnsi="FangSong" w:eastAsia="FangSong" w:cs="FangSong"/>
          <w:sz w:val="24"/>
          <w:szCs w:val="24"/>
          <w:spacing w:val="-2"/>
        </w:rPr>
        <w:t>内设机构包含综合办公室、劳动保障监察中队、巡查中队、特勤中队、信</w:t>
      </w:r>
      <w:r>
        <w:rPr>
          <w:rFonts w:ascii="FangSong" w:hAnsi="FangSong" w:eastAsia="FangSong" w:cs="FangSong"/>
          <w:sz w:val="24"/>
          <w:szCs w:val="24"/>
          <w:spacing w:val="-3"/>
        </w:rPr>
        <w:t>息平台。</w:t>
      </w:r>
    </w:p>
    <w:p>
      <w:pPr>
        <w:ind w:left="1529" w:right="1474" w:hanging="14"/>
        <w:spacing w:before="119" w:line="296" w:lineRule="auto"/>
        <w:rPr>
          <w:rFonts w:ascii="FangSong" w:hAnsi="FangSong" w:eastAsia="FangSong" w:cs="FangSong"/>
          <w:sz w:val="24"/>
          <w:szCs w:val="24"/>
        </w:rPr>
      </w:pPr>
      <w:r>
        <w:rPr>
          <w:rFonts w:ascii="FangSong" w:hAnsi="FangSong" w:eastAsia="FangSong" w:cs="FangSong"/>
          <w:sz w:val="24"/>
          <w:szCs w:val="24"/>
          <w:spacing w:val="1"/>
        </w:rPr>
        <w:t>从部门预算构成看，长治高新区综合服务中心预算主要包括长治</w:t>
      </w:r>
      <w:r>
        <w:rPr>
          <w:rFonts w:ascii="FangSong" w:hAnsi="FangSong" w:eastAsia="FangSong" w:cs="FangSong"/>
          <w:sz w:val="24"/>
          <w:szCs w:val="24"/>
        </w:rPr>
        <w:t>高新区综合服务中心</w:t>
      </w:r>
      <w:r>
        <w:rPr>
          <w:rFonts w:ascii="FangSong" w:hAnsi="FangSong" w:eastAsia="FangSong" w:cs="FangSong"/>
          <w:sz w:val="24"/>
          <w:szCs w:val="24"/>
        </w:rPr>
        <w:t xml:space="preserve"> </w:t>
      </w:r>
      <w:r>
        <w:rPr>
          <w:rFonts w:ascii="FangSong" w:hAnsi="FangSong" w:eastAsia="FangSong" w:cs="FangSong"/>
          <w:sz w:val="24"/>
          <w:szCs w:val="24"/>
          <w:spacing w:val="-12"/>
        </w:rPr>
        <w:t>的预算。</w:t>
      </w:r>
    </w:p>
    <w:p>
      <w:pPr>
        <w:ind w:left="1518"/>
        <w:spacing w:before="24" w:line="221" w:lineRule="auto"/>
        <w:rPr>
          <w:rFonts w:ascii="FangSong" w:hAnsi="FangSong" w:eastAsia="FangSong" w:cs="FangSong"/>
          <w:sz w:val="24"/>
          <w:szCs w:val="24"/>
        </w:rPr>
      </w:pPr>
      <w:r>
        <w:rPr>
          <w:rFonts w:ascii="FangSong" w:hAnsi="FangSong" w:eastAsia="FangSong" w:cs="FangSong"/>
          <w:sz w:val="24"/>
          <w:szCs w:val="24"/>
          <w:spacing w:val="-2"/>
        </w:rPr>
        <w:t>纳入长治高新区综合服务中心预算单位包括：长治高新区综合服务中心。</w:t>
      </w:r>
    </w:p>
    <w:p>
      <w:pPr>
        <w:spacing w:line="221" w:lineRule="auto"/>
        <w:sectPr>
          <w:headerReference w:type="default" r:id="rId5"/>
          <w:footerReference w:type="default" r:id="rId6"/>
          <w:pgSz w:w="11900" w:h="16840"/>
          <w:pgMar w:top="611" w:right="0" w:bottom="312" w:left="0" w:header="357" w:footer="153" w:gutter="0"/>
        </w:sectPr>
        <w:rPr>
          <w:rFonts w:ascii="FangSong" w:hAnsi="FangSong" w:eastAsia="FangSong" w:cs="FangSong"/>
          <w:sz w:val="24"/>
          <w:szCs w:val="24"/>
        </w:rPr>
      </w:pPr>
    </w:p>
    <w:p>
      <w:pPr>
        <w:pStyle w:val="BodyText"/>
        <w:spacing w:line="318" w:lineRule="auto"/>
        <w:rPr/>
      </w:pPr>
      <w:r/>
    </w:p>
    <w:p>
      <w:pPr>
        <w:pStyle w:val="BodyText"/>
        <w:spacing w:line="318" w:lineRule="auto"/>
        <w:rPr/>
      </w:pPr>
      <w:r/>
    </w:p>
    <w:p>
      <w:pPr>
        <w:ind w:left="4347"/>
        <w:spacing w:before="99" w:line="237" w:lineRule="exact"/>
        <w:outlineLvl w:val="0"/>
        <w:rPr>
          <w:rFonts w:ascii="Microsoft YaHei" w:hAnsi="Microsoft YaHei" w:eastAsia="Microsoft YaHei" w:cs="Microsoft YaHei"/>
          <w:sz w:val="23"/>
          <w:szCs w:val="23"/>
        </w:rPr>
      </w:pPr>
      <w:bookmarkStart w:name="bookmark5" w:id="39"/>
      <w:bookmarkEnd w:id="39"/>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40"/>
            <w:bookmarkEnd w:id="40"/>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部门名称：长治高新区综合服务中心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6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56"/>
              <w:spacing w:before="200" w:line="183" w:lineRule="auto"/>
              <w:rPr>
                <w:rFonts w:ascii="SimSun" w:hAnsi="SimSun" w:eastAsia="SimSun" w:cs="SimSun"/>
                <w:sz w:val="18"/>
                <w:szCs w:val="18"/>
              </w:rPr>
            </w:pPr>
            <w:r>
              <w:rPr>
                <w:rFonts w:ascii="SimSun" w:hAnsi="SimSun" w:eastAsia="SimSun" w:cs="SimSun"/>
                <w:sz w:val="18"/>
                <w:szCs w:val="18"/>
                <w:color w:val="212529"/>
                <w:spacing w:val="-2"/>
              </w:rPr>
              <w:t>869.55</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1"/>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153" w:type="dxa"/>
            <w:vAlign w:val="top"/>
          </w:tcPr>
          <w:p>
            <w:pPr>
              <w:ind w:left="666"/>
              <w:spacing w:before="200" w:line="183" w:lineRule="auto"/>
              <w:rPr>
                <w:rFonts w:ascii="SimSun" w:hAnsi="SimSun" w:eastAsia="SimSun" w:cs="SimSun"/>
                <w:sz w:val="18"/>
                <w:szCs w:val="18"/>
              </w:rPr>
            </w:pPr>
            <w:r>
              <w:rPr>
                <w:rFonts w:ascii="SimSun" w:hAnsi="SimSun" w:eastAsia="SimSun" w:cs="SimSun"/>
                <w:sz w:val="18"/>
                <w:szCs w:val="18"/>
                <w:color w:val="212529"/>
                <w:spacing w:val="-2"/>
              </w:rPr>
              <w:t>67.59</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4"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206" w:line="184" w:lineRule="auto"/>
              <w:jc w:val="right"/>
              <w:rPr>
                <w:rFonts w:ascii="SimSun" w:hAnsi="SimSun" w:eastAsia="SimSun" w:cs="SimSun"/>
                <w:sz w:val="18"/>
                <w:szCs w:val="18"/>
              </w:rPr>
            </w:pPr>
            <w:r>
              <w:rPr>
                <w:rFonts w:ascii="SimSun" w:hAnsi="SimSun" w:eastAsia="SimSun" w:cs="SimSun"/>
                <w:sz w:val="18"/>
                <w:szCs w:val="18"/>
                <w:color w:val="212529"/>
                <w:spacing w:val="-4"/>
              </w:rPr>
              <w:t>18.20</w:t>
            </w:r>
          </w:p>
        </w:tc>
        <w:tc>
          <w:tcPr>
            <w:tcW w:w="1153" w:type="dxa"/>
            <w:vAlign w:val="top"/>
          </w:tcPr>
          <w:p>
            <w:pPr>
              <w:ind w:right="25"/>
              <w:spacing w:before="206" w:line="184" w:lineRule="auto"/>
              <w:jc w:val="right"/>
              <w:rPr>
                <w:rFonts w:ascii="SimSun" w:hAnsi="SimSun" w:eastAsia="SimSun" w:cs="SimSun"/>
                <w:sz w:val="18"/>
                <w:szCs w:val="18"/>
              </w:rPr>
            </w:pPr>
            <w:r>
              <w:rPr>
                <w:rFonts w:ascii="SimSun" w:hAnsi="SimSun" w:eastAsia="SimSun" w:cs="SimSun"/>
                <w:sz w:val="18"/>
                <w:szCs w:val="18"/>
                <w:color w:val="212529"/>
                <w:spacing w:val="-4"/>
              </w:rPr>
              <w:t>18.20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1"/>
              <w:spacing w:before="209" w:line="183"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153" w:type="dxa"/>
            <w:vAlign w:val="top"/>
          </w:tcPr>
          <w:p>
            <w:pPr>
              <w:ind w:left="756"/>
              <w:spacing w:before="209" w:line="183" w:lineRule="auto"/>
              <w:rPr>
                <w:rFonts w:ascii="SimSun" w:hAnsi="SimSun" w:eastAsia="SimSun" w:cs="SimSun"/>
                <w:sz w:val="18"/>
                <w:szCs w:val="18"/>
              </w:rPr>
            </w:pPr>
            <w:r>
              <w:rPr>
                <w:rFonts w:ascii="SimSun" w:hAnsi="SimSun" w:eastAsia="SimSun" w:cs="SimSun"/>
                <w:sz w:val="18"/>
                <w:szCs w:val="18"/>
                <w:color w:val="212529"/>
                <w:spacing w:val="-2"/>
              </w:rPr>
              <w:t>9.03</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ind w:right="21"/>
              <w:spacing w:before="210"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153" w:type="dxa"/>
            <w:vAlign w:val="top"/>
          </w:tcPr>
          <w:p>
            <w:pPr>
              <w:ind w:left="579"/>
              <w:spacing w:before="210" w:line="184" w:lineRule="auto"/>
              <w:rPr>
                <w:rFonts w:ascii="SimSun" w:hAnsi="SimSun" w:eastAsia="SimSun" w:cs="SimSun"/>
                <w:sz w:val="18"/>
                <w:szCs w:val="18"/>
              </w:rPr>
            </w:pPr>
            <w:r>
              <w:rPr>
                <w:rFonts w:ascii="SimSun" w:hAnsi="SimSun" w:eastAsia="SimSun" w:cs="SimSun"/>
                <w:sz w:val="18"/>
                <w:szCs w:val="18"/>
                <w:color w:val="212529"/>
                <w:spacing w:val="-2"/>
              </w:rPr>
              <w:t>765.51</w:t>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9"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9"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211"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153" w:type="dxa"/>
            <w:vAlign w:val="top"/>
          </w:tcPr>
          <w:p>
            <w:pPr>
              <w:ind w:left="756"/>
              <w:spacing w:before="211" w:line="183" w:lineRule="auto"/>
              <w:rPr>
                <w:rFonts w:ascii="SimSun" w:hAnsi="SimSun" w:eastAsia="SimSun" w:cs="SimSun"/>
                <w:sz w:val="18"/>
                <w:szCs w:val="18"/>
              </w:rPr>
            </w:pPr>
            <w:r>
              <w:rPr>
                <w:rFonts w:ascii="SimSun" w:hAnsi="SimSun" w:eastAsia="SimSun" w:cs="SimSun"/>
                <w:sz w:val="18"/>
                <w:szCs w:val="18"/>
                <w:color w:val="212529"/>
                <w:spacing w:val="-2"/>
              </w:rPr>
              <w:t>9.23</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11" w:right="0" w:bottom="312" w:left="0" w:header="357" w:footer="153" w:gutter="0"/>
        </w:sectPr>
        <w:rPr/>
      </w:pPr>
    </w:p>
    <w:p>
      <w:pPr>
        <w:spacing w:before="54"/>
        <w:rPr/>
      </w:pPr>
      <w:r/>
    </w:p>
    <w:p>
      <w:pPr>
        <w:spacing w:before="53"/>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6" w:id="41"/>
            <w:bookmarkEnd w:id="41"/>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6"/>
              <w:spacing w:before="186"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2"/>
              <w:spacing w:before="186"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1153" w:type="dxa"/>
            <w:vAlign w:val="top"/>
          </w:tcPr>
          <w:p>
            <w:pPr>
              <w:pStyle w:val="TableText"/>
              <w:ind w:left="576"/>
              <w:spacing w:before="186"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6"/>
              <w:spacing w:before="188"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2"/>
              <w:spacing w:before="188"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1153" w:type="dxa"/>
            <w:vAlign w:val="top"/>
          </w:tcPr>
          <w:p>
            <w:pPr>
              <w:pStyle w:val="TableText"/>
              <w:ind w:left="576"/>
              <w:spacing w:before="188"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11" w:right="0" w:bottom="312" w:left="0" w:header="357" w:footer="153" w:gutter="0"/>
        </w:sectPr>
        <w:rPr/>
      </w:pPr>
    </w:p>
    <w:p>
      <w:pPr>
        <w:spacing w:before="9"/>
        <w:rPr/>
      </w:pPr>
      <w:r/>
    </w:p>
    <w:p>
      <w:pPr>
        <w:spacing w:before="8"/>
        <w:rPr/>
      </w:pPr>
      <w:r/>
    </w:p>
    <w:p>
      <w:pPr>
        <w:spacing w:before="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42"/>
            <w:bookmarkEnd w:id="42"/>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部门名称：长治高新区综合服务中心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4"/>
              <w:spacing w:before="149"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1274" w:type="dxa"/>
            <w:vAlign w:val="top"/>
          </w:tcPr>
          <w:p>
            <w:pPr>
              <w:pStyle w:val="TableText"/>
              <w:ind w:left="701"/>
              <w:spacing w:before="149" w:line="183" w:lineRule="auto"/>
              <w:rPr>
                <w:sz w:val="15"/>
                <w:szCs w:val="15"/>
              </w:rPr>
            </w:pPr>
            <w:r>
              <w:rPr>
                <w:sz w:val="15"/>
                <w:szCs w:val="15"/>
                <w:color w:val="212529"/>
                <w:spacing w:val="3"/>
              </w:rPr>
              <w:t>869.</w:t>
            </w:r>
            <w:r>
              <w:rPr>
                <w:sz w:val="15"/>
                <w:szCs w:val="15"/>
                <w:color w:val="212529"/>
                <w:spacing w:val="9"/>
              </w:rPr>
              <w:t xml:space="preserve"> </w:t>
            </w:r>
            <w:r>
              <w:rPr>
                <w:sz w:val="15"/>
                <w:szCs w:val="15"/>
                <w:color w:val="212529"/>
                <w:spacing w:val="3"/>
              </w:rPr>
              <w:t>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5" w:line="184"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274" w:type="dxa"/>
            <w:vAlign w:val="top"/>
          </w:tcPr>
          <w:p>
            <w:pPr>
              <w:ind w:right="23"/>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4"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38"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274" w:type="dxa"/>
            <w:vAlign w:val="top"/>
          </w:tcPr>
          <w:p>
            <w:pPr>
              <w:ind w:right="23"/>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4"/>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274" w:type="dxa"/>
            <w:vAlign w:val="top"/>
          </w:tcPr>
          <w:p>
            <w:pPr>
              <w:ind w:right="23"/>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67.59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4"/>
              </w:rPr>
              <w:t>18.20</w:t>
            </w:r>
          </w:p>
        </w:tc>
        <w:tc>
          <w:tcPr>
            <w:tcW w:w="1274" w:type="dxa"/>
            <w:vAlign w:val="top"/>
          </w:tcPr>
          <w:p>
            <w:pPr>
              <w:ind w:right="21"/>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4"/>
              </w:rPr>
              <w:t>18.20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59" w:line="184" w:lineRule="auto"/>
              <w:jc w:val="right"/>
              <w:rPr>
                <w:rFonts w:ascii="SimSun" w:hAnsi="SimSun" w:eastAsia="SimSun" w:cs="SimSun"/>
                <w:sz w:val="18"/>
                <w:szCs w:val="18"/>
              </w:rPr>
            </w:pPr>
            <w:r>
              <w:rPr>
                <w:rFonts w:ascii="SimSun" w:hAnsi="SimSun" w:eastAsia="SimSun" w:cs="SimSun"/>
                <w:sz w:val="18"/>
                <w:szCs w:val="18"/>
                <w:color w:val="212529"/>
                <w:spacing w:val="-4"/>
              </w:rPr>
              <w:t>17.94</w:t>
            </w:r>
          </w:p>
        </w:tc>
        <w:tc>
          <w:tcPr>
            <w:tcW w:w="1274" w:type="dxa"/>
            <w:vAlign w:val="top"/>
          </w:tcPr>
          <w:p>
            <w:pPr>
              <w:ind w:right="21"/>
              <w:spacing w:before="159" w:line="184" w:lineRule="auto"/>
              <w:jc w:val="right"/>
              <w:rPr>
                <w:rFonts w:ascii="SimSun" w:hAnsi="SimSun" w:eastAsia="SimSun" w:cs="SimSun"/>
                <w:sz w:val="18"/>
                <w:szCs w:val="18"/>
              </w:rPr>
            </w:pPr>
            <w:r>
              <w:rPr>
                <w:rFonts w:ascii="SimSun" w:hAnsi="SimSun" w:eastAsia="SimSun" w:cs="SimSun"/>
                <w:sz w:val="18"/>
                <w:szCs w:val="18"/>
                <w:color w:val="212529"/>
                <w:spacing w:val="-4"/>
              </w:rPr>
              <w:t>17.94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1"/>
              <w:spacing w:before="160" w:line="184" w:lineRule="auto"/>
              <w:jc w:val="right"/>
              <w:rPr>
                <w:rFonts w:ascii="SimSun" w:hAnsi="SimSun" w:eastAsia="SimSun" w:cs="SimSun"/>
                <w:sz w:val="18"/>
                <w:szCs w:val="18"/>
              </w:rPr>
            </w:pPr>
            <w:r>
              <w:rPr>
                <w:rFonts w:ascii="SimSun" w:hAnsi="SimSun" w:eastAsia="SimSun" w:cs="SimSun"/>
                <w:sz w:val="18"/>
                <w:szCs w:val="18"/>
                <w:color w:val="212529"/>
                <w:spacing w:val="-4"/>
              </w:rPr>
              <w:t>1.80</w:t>
            </w:r>
          </w:p>
        </w:tc>
        <w:tc>
          <w:tcPr>
            <w:tcW w:w="1274" w:type="dxa"/>
            <w:vAlign w:val="top"/>
          </w:tcPr>
          <w:p>
            <w:pPr>
              <w:ind w:right="20"/>
              <w:spacing w:before="160" w:line="184" w:lineRule="auto"/>
              <w:jc w:val="right"/>
              <w:rPr>
                <w:rFonts w:ascii="SimSun" w:hAnsi="SimSun" w:eastAsia="SimSun" w:cs="SimSun"/>
                <w:sz w:val="18"/>
                <w:szCs w:val="18"/>
              </w:rPr>
            </w:pPr>
            <w:r>
              <w:rPr>
                <w:rFonts w:ascii="SimSun" w:hAnsi="SimSun" w:eastAsia="SimSun" w:cs="SimSun"/>
                <w:sz w:val="18"/>
                <w:szCs w:val="18"/>
                <w:color w:val="212529"/>
                <w:spacing w:val="-4"/>
              </w:rPr>
              <w:t>1.80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11.81</w:t>
            </w:r>
          </w:p>
        </w:tc>
        <w:tc>
          <w:tcPr>
            <w:tcW w:w="1274" w:type="dxa"/>
            <w:vAlign w:val="top"/>
          </w:tcPr>
          <w:p>
            <w:pPr>
              <w:ind w:right="21"/>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11.81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3"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4"/>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4.33</w:t>
            </w:r>
          </w:p>
        </w:tc>
        <w:tc>
          <w:tcPr>
            <w:tcW w:w="1274" w:type="dxa"/>
            <w:vAlign w:val="top"/>
          </w:tcPr>
          <w:p>
            <w:pPr>
              <w:ind w:right="23"/>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4.33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3"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3"/>
              <w:spacing w:before="136"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274" w:type="dxa"/>
            <w:vAlign w:val="top"/>
          </w:tcPr>
          <w:p>
            <w:pPr>
              <w:ind w:right="23"/>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5" w:line="183"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3"/>
              <w:spacing w:before="137"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274" w:type="dxa"/>
            <w:vAlign w:val="top"/>
          </w:tcPr>
          <w:p>
            <w:pPr>
              <w:ind w:right="23"/>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21007</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计划生育事务</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2100799</w:t>
            </w:r>
          </w:p>
        </w:tc>
        <w:tc>
          <w:tcPr>
            <w:tcW w:w="2997"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其他计划生育事务支出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8.97</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8.97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6.18</w:t>
            </w:r>
          </w:p>
        </w:tc>
        <w:tc>
          <w:tcPr>
            <w:tcW w:w="1274"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6.18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11" w:right="0" w:bottom="312" w:left="0" w:header="357" w:footer="153" w:gutter="0"/>
        </w:sectPr>
        <w:rPr/>
      </w:pPr>
    </w:p>
    <w:p>
      <w:pPr>
        <w:spacing w:before="44"/>
        <w:rPr/>
      </w:pPr>
      <w:r/>
    </w:p>
    <w:p>
      <w:pPr>
        <w:spacing w:before="43"/>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0" w:hRule="atLeast"/>
        </w:trPr>
        <w:tc>
          <w:tcPr>
            <w:tcW w:w="1431" w:type="dxa"/>
            <w:vAlign w:val="top"/>
          </w:tcPr>
          <w:p>
            <w:pPr>
              <w:ind w:left="9"/>
              <w:spacing w:before="142" w:line="184" w:lineRule="auto"/>
              <w:rPr>
                <w:rFonts w:ascii="SimSun" w:hAnsi="SimSun" w:eastAsia="SimSun" w:cs="SimSun"/>
                <w:sz w:val="18"/>
                <w:szCs w:val="18"/>
              </w:rPr>
            </w:pPr>
            <w:r>
              <w:rPr>
                <w:rFonts w:ascii="SimSun" w:hAnsi="SimSun" w:eastAsia="SimSun" w:cs="SimSun"/>
                <w:sz w:val="18"/>
                <w:szCs w:val="18"/>
                <w:color w:val="212529"/>
                <w:spacing w:val="-3"/>
              </w:rPr>
              <w:t>212</w:t>
            </w:r>
          </w:p>
        </w:tc>
        <w:tc>
          <w:tcPr>
            <w:tcW w:w="2997"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1"/>
              </w:rPr>
              <w:t>城乡社区支出</w:t>
            </w:r>
          </w:p>
        </w:tc>
        <w:tc>
          <w:tcPr>
            <w:tcW w:w="1438" w:type="dxa"/>
            <w:vAlign w:val="top"/>
          </w:tcPr>
          <w:p>
            <w:pPr>
              <w:ind w:right="24"/>
              <w:spacing w:before="142"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274" w:type="dxa"/>
            <w:vAlign w:val="top"/>
          </w:tcPr>
          <w:p>
            <w:pPr>
              <w:ind w:right="23"/>
              <w:spacing w:before="142"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37" w:line="184" w:lineRule="auto"/>
              <w:rPr>
                <w:rFonts w:ascii="SimSun" w:hAnsi="SimSun" w:eastAsia="SimSun" w:cs="SimSun"/>
                <w:sz w:val="18"/>
                <w:szCs w:val="18"/>
              </w:rPr>
            </w:pPr>
            <w:r>
              <w:rPr>
                <w:rFonts w:ascii="SimSun" w:hAnsi="SimSun" w:eastAsia="SimSun" w:cs="SimSun"/>
                <w:sz w:val="18"/>
                <w:szCs w:val="18"/>
                <w:color w:val="212529"/>
                <w:spacing w:val="-2"/>
              </w:rPr>
              <w:t>21201</w:t>
            </w:r>
          </w:p>
        </w:tc>
        <w:tc>
          <w:tcPr>
            <w:tcW w:w="2997" w:type="dxa"/>
            <w:vAlign w:val="top"/>
          </w:tcPr>
          <w:p>
            <w:pPr>
              <w:ind w:left="4"/>
              <w:spacing w:before="110" w:line="219" w:lineRule="auto"/>
              <w:rPr>
                <w:rFonts w:ascii="SimSun" w:hAnsi="SimSun" w:eastAsia="SimSun" w:cs="SimSun"/>
                <w:sz w:val="18"/>
                <w:szCs w:val="18"/>
              </w:rPr>
            </w:pPr>
            <w:r>
              <w:rPr>
                <w:rFonts w:ascii="SimSun" w:hAnsi="SimSun" w:eastAsia="SimSun" w:cs="SimSun"/>
                <w:sz w:val="18"/>
                <w:szCs w:val="18"/>
                <w:color w:val="212529"/>
                <w:spacing w:val="-1"/>
              </w:rPr>
              <w:t>城乡社区管理事务</w:t>
            </w:r>
          </w:p>
        </w:tc>
        <w:tc>
          <w:tcPr>
            <w:tcW w:w="1438" w:type="dxa"/>
            <w:vAlign w:val="top"/>
          </w:tcPr>
          <w:p>
            <w:pPr>
              <w:ind w:right="24"/>
              <w:spacing w:before="137"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274" w:type="dxa"/>
            <w:vAlign w:val="top"/>
          </w:tcPr>
          <w:p>
            <w:pPr>
              <w:ind w:right="23"/>
              <w:spacing w:before="137"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40" w:line="184" w:lineRule="auto"/>
              <w:rPr>
                <w:rFonts w:ascii="SimSun" w:hAnsi="SimSun" w:eastAsia="SimSun" w:cs="SimSun"/>
                <w:sz w:val="18"/>
                <w:szCs w:val="18"/>
              </w:rPr>
            </w:pPr>
            <w:r>
              <w:rPr>
                <w:rFonts w:ascii="SimSun" w:hAnsi="SimSun" w:eastAsia="SimSun" w:cs="SimSun"/>
                <w:sz w:val="18"/>
                <w:szCs w:val="18"/>
                <w:color w:val="212529"/>
                <w:spacing w:val="-2"/>
              </w:rPr>
              <w:t>2120104</w:t>
            </w:r>
          </w:p>
        </w:tc>
        <w:tc>
          <w:tcPr>
            <w:tcW w:w="2997" w:type="dxa"/>
            <w:vAlign w:val="top"/>
          </w:tcPr>
          <w:p>
            <w:pPr>
              <w:ind w:left="4"/>
              <w:spacing w:before="113" w:line="219" w:lineRule="auto"/>
              <w:rPr>
                <w:rFonts w:ascii="SimSun" w:hAnsi="SimSun" w:eastAsia="SimSun" w:cs="SimSun"/>
                <w:sz w:val="18"/>
                <w:szCs w:val="18"/>
              </w:rPr>
            </w:pPr>
            <w:r>
              <w:rPr>
                <w:rFonts w:ascii="SimSun" w:hAnsi="SimSun" w:eastAsia="SimSun" w:cs="SimSun"/>
                <w:sz w:val="18"/>
                <w:szCs w:val="18"/>
                <w:color w:val="212529"/>
                <w:spacing w:val="-2"/>
              </w:rPr>
              <w:t>城管执法</w:t>
            </w:r>
          </w:p>
        </w:tc>
        <w:tc>
          <w:tcPr>
            <w:tcW w:w="1438" w:type="dxa"/>
            <w:vAlign w:val="top"/>
          </w:tcPr>
          <w:p>
            <w:pPr>
              <w:ind w:right="24"/>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274" w:type="dxa"/>
            <w:vAlign w:val="top"/>
          </w:tcPr>
          <w:p>
            <w:pPr>
              <w:ind w:right="23"/>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2"/>
              </w:rPr>
              <w:t>765.51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2" w:hRule="atLeast"/>
        </w:trPr>
        <w:tc>
          <w:tcPr>
            <w:tcW w:w="1431" w:type="dxa"/>
            <w:vAlign w:val="top"/>
          </w:tcPr>
          <w:p>
            <w:pPr>
              <w:ind w:left="9"/>
              <w:spacing w:before="143"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44"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274" w:type="dxa"/>
            <w:vAlign w:val="top"/>
          </w:tcPr>
          <w:p>
            <w:pPr>
              <w:ind w:right="23"/>
              <w:spacing w:before="144"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46"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47"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274" w:type="dxa"/>
            <w:vAlign w:val="top"/>
          </w:tcPr>
          <w:p>
            <w:pPr>
              <w:ind w:right="23"/>
              <w:spacing w:before="147"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0" w:hRule="atLeast"/>
        </w:trPr>
        <w:tc>
          <w:tcPr>
            <w:tcW w:w="1431" w:type="dxa"/>
            <w:vAlign w:val="top"/>
          </w:tcPr>
          <w:p>
            <w:pPr>
              <w:ind w:left="9"/>
              <w:spacing w:before="148"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49"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274" w:type="dxa"/>
            <w:vAlign w:val="top"/>
          </w:tcPr>
          <w:p>
            <w:pPr>
              <w:ind w:right="23"/>
              <w:spacing w:before="149" w:line="183" w:lineRule="auto"/>
              <w:jc w:val="right"/>
              <w:rPr>
                <w:rFonts w:ascii="SimSun" w:hAnsi="SimSun" w:eastAsia="SimSun" w:cs="SimSun"/>
                <w:sz w:val="18"/>
                <w:szCs w:val="18"/>
              </w:rPr>
            </w:pPr>
            <w:r>
              <w:rPr>
                <w:rFonts w:ascii="SimSun" w:hAnsi="SimSun" w:eastAsia="SimSun" w:cs="SimSun"/>
                <w:sz w:val="18"/>
                <w:szCs w:val="18"/>
                <w:color w:val="212529"/>
                <w:spacing w:val="-2"/>
              </w:rPr>
              <w:t>9.23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footerReference w:type="default" r:id="rId13"/>
          <w:pgSz w:w="16840" w:h="11900"/>
          <w:pgMar w:top="611" w:right="0" w:bottom="311"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19"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44"/>
            <w:bookmarkEnd w:id="44"/>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2"/>
              <w:spacing w:before="97"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1339" w:type="dxa"/>
            <w:vAlign w:val="top"/>
          </w:tcPr>
          <w:p>
            <w:pPr>
              <w:pStyle w:val="TableText"/>
              <w:ind w:left="841"/>
              <w:spacing w:before="96" w:line="162" w:lineRule="auto"/>
              <w:rPr>
                <w:sz w:val="15"/>
                <w:szCs w:val="15"/>
              </w:rPr>
            </w:pPr>
            <w:r>
              <w:rPr>
                <w:sz w:val="15"/>
                <w:szCs w:val="15"/>
                <w:color w:val="212529"/>
                <w:spacing w:val="1"/>
              </w:rPr>
              <w:t>104.04</w:t>
            </w:r>
          </w:p>
        </w:tc>
        <w:tc>
          <w:tcPr>
            <w:tcW w:w="1345" w:type="dxa"/>
            <w:vAlign w:val="top"/>
          </w:tcPr>
          <w:p>
            <w:pPr>
              <w:pStyle w:val="TableText"/>
              <w:ind w:left="835"/>
              <w:spacing w:before="97" w:line="186" w:lineRule="auto"/>
              <w:rPr>
                <w:sz w:val="13"/>
                <w:szCs w:val="13"/>
              </w:rPr>
            </w:pPr>
            <w:r>
              <w:rPr>
                <w:sz w:val="13"/>
                <w:szCs w:val="13"/>
                <w:color w:val="212529"/>
                <w:spacing w:val="3"/>
              </w:rPr>
              <w:t>765.</w:t>
            </w:r>
            <w:r>
              <w:rPr>
                <w:sz w:val="13"/>
                <w:szCs w:val="13"/>
                <w:color w:val="212529"/>
                <w:spacing w:val="13"/>
              </w:rPr>
              <w:t xml:space="preserve"> </w:t>
            </w:r>
            <w:r>
              <w:rPr>
                <w:sz w:val="13"/>
                <w:szCs w:val="13"/>
                <w:color w:val="212529"/>
                <w:spacing w:val="3"/>
              </w:rPr>
              <w:t>51</w:t>
            </w:r>
          </w:p>
        </w:tc>
      </w:tr>
      <w:tr>
        <w:trPr>
          <w:trHeight w:val="314" w:hRule="atLeast"/>
        </w:trPr>
        <w:tc>
          <w:tcPr>
            <w:tcW w:w="1755"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39" w:type="dxa"/>
            <w:vAlign w:val="top"/>
          </w:tcPr>
          <w:p>
            <w:pPr>
              <w:pStyle w:val="TableText"/>
              <w:ind w:left="912"/>
              <w:spacing w:before="97" w:line="186" w:lineRule="auto"/>
              <w:rPr>
                <w:sz w:val="13"/>
                <w:szCs w:val="13"/>
              </w:rPr>
            </w:pPr>
            <w:r>
              <w:rPr>
                <w:sz w:val="13"/>
                <w:szCs w:val="13"/>
                <w:color w:val="212529"/>
                <w:spacing w:val="4"/>
              </w:rPr>
              <w:t>67.</w:t>
            </w:r>
            <w:r>
              <w:rPr>
                <w:sz w:val="13"/>
                <w:szCs w:val="13"/>
                <w:color w:val="212529"/>
                <w:spacing w:val="11"/>
                <w:w w:val="101"/>
              </w:rPr>
              <w:t xml:space="preserve"> </w:t>
            </w:r>
            <w:r>
              <w:rPr>
                <w:sz w:val="13"/>
                <w:szCs w:val="13"/>
                <w:color w:val="212529"/>
                <w:spacing w:val="4"/>
              </w:rPr>
              <w:t>59</w:t>
            </w:r>
          </w:p>
        </w:tc>
        <w:tc>
          <w:tcPr>
            <w:tcW w:w="1345" w:type="dxa"/>
            <w:vAlign w:val="top"/>
          </w:tcPr>
          <w:p>
            <w:pPr>
              <w:pStyle w:val="TableText"/>
              <w:rPr/>
            </w:pPr>
            <w:r/>
          </w:p>
        </w:tc>
      </w:tr>
      <w:tr>
        <w:trPr>
          <w:trHeight w:val="314" w:hRule="atLeast"/>
        </w:trPr>
        <w:tc>
          <w:tcPr>
            <w:tcW w:w="1755"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326" w:type="dxa"/>
            <w:vAlign w:val="top"/>
          </w:tcPr>
          <w:p>
            <w:pPr>
              <w:ind w:left="1"/>
              <w:spacing w:before="7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39" w:type="dxa"/>
            <w:vAlign w:val="top"/>
          </w:tcPr>
          <w:p>
            <w:pPr>
              <w:pStyle w:val="TableText"/>
              <w:ind w:left="912"/>
              <w:spacing w:before="97" w:line="186" w:lineRule="auto"/>
              <w:rPr>
                <w:sz w:val="13"/>
                <w:szCs w:val="13"/>
              </w:rPr>
            </w:pPr>
            <w:r>
              <w:rPr>
                <w:sz w:val="13"/>
                <w:szCs w:val="13"/>
                <w:color w:val="212529"/>
                <w:spacing w:val="4"/>
              </w:rPr>
              <w:t>67.</w:t>
            </w:r>
            <w:r>
              <w:rPr>
                <w:sz w:val="13"/>
                <w:szCs w:val="13"/>
                <w:color w:val="212529"/>
                <w:spacing w:val="11"/>
                <w:w w:val="101"/>
              </w:rPr>
              <w:t xml:space="preserve"> </w:t>
            </w:r>
            <w:r>
              <w:rPr>
                <w:sz w:val="13"/>
                <w:szCs w:val="13"/>
                <w:color w:val="212529"/>
                <w:spacing w:val="4"/>
              </w:rPr>
              <w:t>59</w:t>
            </w:r>
          </w:p>
        </w:tc>
        <w:tc>
          <w:tcPr>
            <w:tcW w:w="1345" w:type="dxa"/>
            <w:vAlign w:val="top"/>
          </w:tcPr>
          <w:p>
            <w:pPr>
              <w:pStyle w:val="TableText"/>
              <w:rPr/>
            </w:pPr>
            <w:r/>
          </w:p>
        </w:tc>
      </w:tr>
      <w:tr>
        <w:trPr>
          <w:trHeight w:val="314" w:hRule="atLeast"/>
        </w:trPr>
        <w:tc>
          <w:tcPr>
            <w:tcW w:w="1755"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326"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39" w:type="dxa"/>
            <w:vAlign w:val="top"/>
          </w:tcPr>
          <w:p>
            <w:pPr>
              <w:ind w:right="20"/>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45" w:type="dxa"/>
            <w:vAlign w:val="top"/>
          </w:tcPr>
          <w:p>
            <w:pPr>
              <w:pStyle w:val="TableText"/>
              <w:rPr/>
            </w:pPr>
            <w:r/>
          </w:p>
        </w:tc>
      </w:tr>
      <w:tr>
        <w:trPr>
          <w:trHeight w:val="314" w:hRule="atLeast"/>
        </w:trPr>
        <w:tc>
          <w:tcPr>
            <w:tcW w:w="1755"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26" w:type="dxa"/>
            <w:vAlign w:val="top"/>
          </w:tcPr>
          <w:p>
            <w:pPr>
              <w:ind w:left="2"/>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18.20</w:t>
            </w:r>
          </w:p>
        </w:tc>
        <w:tc>
          <w:tcPr>
            <w:tcW w:w="1339" w:type="dxa"/>
            <w:vAlign w:val="top"/>
          </w:tcPr>
          <w:p>
            <w:pPr>
              <w:pStyle w:val="TableText"/>
              <w:ind w:left="922"/>
              <w:spacing w:before="98" w:line="162" w:lineRule="auto"/>
              <w:rPr>
                <w:sz w:val="15"/>
                <w:szCs w:val="15"/>
              </w:rPr>
            </w:pPr>
            <w:r>
              <w:rPr>
                <w:sz w:val="15"/>
                <w:szCs w:val="15"/>
                <w:color w:val="212529"/>
                <w:spacing w:val="1"/>
              </w:rPr>
              <w:t>18.20</w:t>
            </w:r>
          </w:p>
        </w:tc>
        <w:tc>
          <w:tcPr>
            <w:tcW w:w="1345" w:type="dxa"/>
            <w:vAlign w:val="top"/>
          </w:tcPr>
          <w:p>
            <w:pPr>
              <w:pStyle w:val="TableText"/>
              <w:rPr/>
            </w:pPr>
            <w:r/>
          </w:p>
        </w:tc>
      </w:tr>
      <w:tr>
        <w:trPr>
          <w:trHeight w:val="314" w:hRule="atLeast"/>
        </w:trPr>
        <w:tc>
          <w:tcPr>
            <w:tcW w:w="1755"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17.94</w:t>
            </w:r>
          </w:p>
        </w:tc>
        <w:tc>
          <w:tcPr>
            <w:tcW w:w="1339" w:type="dxa"/>
            <w:vAlign w:val="top"/>
          </w:tcPr>
          <w:p>
            <w:pPr>
              <w:pStyle w:val="TableText"/>
              <w:ind w:left="922"/>
              <w:spacing w:before="98" w:line="162" w:lineRule="auto"/>
              <w:rPr>
                <w:sz w:val="15"/>
                <w:szCs w:val="15"/>
              </w:rPr>
            </w:pPr>
            <w:r>
              <w:rPr>
                <w:sz w:val="15"/>
                <w:szCs w:val="15"/>
                <w:color w:val="212529"/>
                <w:spacing w:val="2"/>
              </w:rPr>
              <w:t>17.94</w:t>
            </w:r>
          </w:p>
        </w:tc>
        <w:tc>
          <w:tcPr>
            <w:tcW w:w="1345" w:type="dxa"/>
            <w:vAlign w:val="top"/>
          </w:tcPr>
          <w:p>
            <w:pPr>
              <w:pStyle w:val="TableText"/>
              <w:rPr/>
            </w:pPr>
            <w:r/>
          </w:p>
        </w:tc>
      </w:tr>
      <w:tr>
        <w:trPr>
          <w:trHeight w:val="314" w:hRule="atLeast"/>
        </w:trPr>
        <w:tc>
          <w:tcPr>
            <w:tcW w:w="1755"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326"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1"/>
              </w:rPr>
              <w:t>1.80</w:t>
            </w:r>
          </w:p>
        </w:tc>
        <w:tc>
          <w:tcPr>
            <w:tcW w:w="1339" w:type="dxa"/>
            <w:vAlign w:val="top"/>
          </w:tcPr>
          <w:p>
            <w:pPr>
              <w:ind w:right="20"/>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1"/>
              </w:rPr>
              <w:t>1.80</w:t>
            </w:r>
          </w:p>
        </w:tc>
        <w:tc>
          <w:tcPr>
            <w:tcW w:w="1345" w:type="dxa"/>
            <w:vAlign w:val="top"/>
          </w:tcPr>
          <w:p>
            <w:pPr>
              <w:pStyle w:val="TableText"/>
              <w:rPr/>
            </w:pPr>
            <w:r/>
          </w:p>
        </w:tc>
      </w:tr>
      <w:tr>
        <w:trPr>
          <w:trHeight w:val="314" w:hRule="atLeast"/>
        </w:trPr>
        <w:tc>
          <w:tcPr>
            <w:tcW w:w="1755"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26"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11.81</w:t>
            </w:r>
          </w:p>
        </w:tc>
        <w:tc>
          <w:tcPr>
            <w:tcW w:w="1339" w:type="dxa"/>
            <w:vAlign w:val="top"/>
          </w:tcPr>
          <w:p>
            <w:pPr>
              <w:ind w:right="20"/>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11.81</w:t>
            </w:r>
          </w:p>
        </w:tc>
        <w:tc>
          <w:tcPr>
            <w:tcW w:w="1345" w:type="dxa"/>
            <w:vAlign w:val="top"/>
          </w:tcPr>
          <w:p>
            <w:pPr>
              <w:pStyle w:val="TableText"/>
              <w:rPr/>
            </w:pPr>
            <w:r/>
          </w:p>
        </w:tc>
      </w:tr>
      <w:tr>
        <w:trPr>
          <w:trHeight w:val="314" w:hRule="atLeast"/>
        </w:trPr>
        <w:tc>
          <w:tcPr>
            <w:tcW w:w="1755"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4.33</w:t>
            </w:r>
          </w:p>
        </w:tc>
        <w:tc>
          <w:tcPr>
            <w:tcW w:w="1339" w:type="dxa"/>
            <w:vAlign w:val="top"/>
          </w:tcPr>
          <w:p>
            <w:pPr>
              <w:ind w:right="20"/>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4.33</w:t>
            </w:r>
          </w:p>
        </w:tc>
        <w:tc>
          <w:tcPr>
            <w:tcW w:w="1345" w:type="dxa"/>
            <w:vAlign w:val="top"/>
          </w:tcPr>
          <w:p>
            <w:pPr>
              <w:pStyle w:val="TableText"/>
              <w:rPr/>
            </w:pPr>
            <w:r/>
          </w:p>
        </w:tc>
      </w:tr>
      <w:tr>
        <w:trPr>
          <w:trHeight w:val="314" w:hRule="atLeast"/>
        </w:trPr>
        <w:tc>
          <w:tcPr>
            <w:tcW w:w="1755"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339" w:type="dxa"/>
            <w:vAlign w:val="top"/>
          </w:tcPr>
          <w:p>
            <w:pPr>
              <w:pStyle w:val="TableText"/>
              <w:ind w:left="993"/>
              <w:spacing w:before="100"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26</w:t>
            </w:r>
          </w:p>
        </w:tc>
        <w:tc>
          <w:tcPr>
            <w:tcW w:w="1345" w:type="dxa"/>
            <w:vAlign w:val="top"/>
          </w:tcPr>
          <w:p>
            <w:pPr>
              <w:pStyle w:val="TableText"/>
              <w:rPr/>
            </w:pPr>
            <w:r/>
          </w:p>
        </w:tc>
      </w:tr>
      <w:tr>
        <w:trPr>
          <w:trHeight w:val="314" w:hRule="atLeast"/>
        </w:trPr>
        <w:tc>
          <w:tcPr>
            <w:tcW w:w="1755"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339" w:type="dxa"/>
            <w:vAlign w:val="top"/>
          </w:tcPr>
          <w:p>
            <w:pPr>
              <w:ind w:right="20"/>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345" w:type="dxa"/>
            <w:vAlign w:val="top"/>
          </w:tcPr>
          <w:p>
            <w:pPr>
              <w:pStyle w:val="TableText"/>
              <w:rPr/>
            </w:pPr>
            <w:r/>
          </w:p>
        </w:tc>
      </w:tr>
      <w:tr>
        <w:trPr>
          <w:trHeight w:val="314" w:hRule="atLeast"/>
        </w:trPr>
        <w:tc>
          <w:tcPr>
            <w:tcW w:w="1755"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26"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3"/>
              </w:rPr>
              <w:t>9.03</w:t>
            </w:r>
          </w:p>
        </w:tc>
        <w:tc>
          <w:tcPr>
            <w:tcW w:w="1339" w:type="dxa"/>
            <w:vAlign w:val="top"/>
          </w:tcPr>
          <w:p>
            <w:pPr>
              <w:pStyle w:val="TableText"/>
              <w:ind w:left="992"/>
              <w:spacing w:before="101"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03</w:t>
            </w:r>
          </w:p>
        </w:tc>
        <w:tc>
          <w:tcPr>
            <w:tcW w:w="1345" w:type="dxa"/>
            <w:vAlign w:val="top"/>
          </w:tcPr>
          <w:p>
            <w:pPr>
              <w:pStyle w:val="TableText"/>
              <w:rPr/>
            </w:pPr>
            <w:r/>
          </w:p>
        </w:tc>
      </w:tr>
      <w:tr>
        <w:trPr>
          <w:trHeight w:val="314" w:hRule="atLeast"/>
        </w:trPr>
        <w:tc>
          <w:tcPr>
            <w:tcW w:w="1755"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21007</w:t>
            </w:r>
          </w:p>
        </w:tc>
        <w:tc>
          <w:tcPr>
            <w:tcW w:w="3326"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393"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339" w:type="dxa"/>
            <w:vAlign w:val="top"/>
          </w:tcPr>
          <w:p>
            <w:pPr>
              <w:pStyle w:val="TableText"/>
              <w:ind w:left="993"/>
              <w:spacing w:before="101"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06</w:t>
            </w:r>
          </w:p>
        </w:tc>
        <w:tc>
          <w:tcPr>
            <w:tcW w:w="1345" w:type="dxa"/>
            <w:vAlign w:val="top"/>
          </w:tcPr>
          <w:p>
            <w:pPr>
              <w:pStyle w:val="TableText"/>
              <w:rPr/>
            </w:pPr>
            <w:r/>
          </w:p>
        </w:tc>
      </w:tr>
      <w:tr>
        <w:trPr>
          <w:trHeight w:val="314" w:hRule="atLeast"/>
        </w:trPr>
        <w:tc>
          <w:tcPr>
            <w:tcW w:w="1755"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2100799</w:t>
            </w:r>
          </w:p>
        </w:tc>
        <w:tc>
          <w:tcPr>
            <w:tcW w:w="3326"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393"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339" w:type="dxa"/>
            <w:vAlign w:val="top"/>
          </w:tcPr>
          <w:p>
            <w:pPr>
              <w:ind w:right="20"/>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345" w:type="dxa"/>
            <w:vAlign w:val="top"/>
          </w:tcPr>
          <w:p>
            <w:pPr>
              <w:pStyle w:val="TableText"/>
              <w:rPr/>
            </w:pPr>
            <w:r/>
          </w:p>
        </w:tc>
      </w:tr>
      <w:tr>
        <w:trPr>
          <w:trHeight w:val="314" w:hRule="atLeast"/>
        </w:trPr>
        <w:tc>
          <w:tcPr>
            <w:tcW w:w="1755"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8.97</w:t>
            </w:r>
          </w:p>
        </w:tc>
        <w:tc>
          <w:tcPr>
            <w:tcW w:w="1339" w:type="dxa"/>
            <w:vAlign w:val="top"/>
          </w:tcPr>
          <w:p>
            <w:pPr>
              <w:pStyle w:val="TableText"/>
              <w:ind w:left="992"/>
              <w:spacing w:before="102" w:line="186" w:lineRule="auto"/>
              <w:rPr>
                <w:sz w:val="13"/>
                <w:szCs w:val="13"/>
              </w:rPr>
            </w:pPr>
            <w:r>
              <w:rPr>
                <w:sz w:val="13"/>
                <w:szCs w:val="13"/>
                <w:color w:val="212529"/>
                <w:spacing w:val="3"/>
              </w:rPr>
              <w:t>8.</w:t>
            </w:r>
            <w:r>
              <w:rPr>
                <w:sz w:val="13"/>
                <w:szCs w:val="13"/>
                <w:color w:val="212529"/>
                <w:spacing w:val="10"/>
                <w:w w:val="102"/>
              </w:rPr>
              <w:t xml:space="preserve"> </w:t>
            </w:r>
            <w:r>
              <w:rPr>
                <w:sz w:val="13"/>
                <w:szCs w:val="13"/>
                <w:color w:val="212529"/>
                <w:spacing w:val="3"/>
              </w:rPr>
              <w:t>97</w:t>
            </w:r>
          </w:p>
        </w:tc>
        <w:tc>
          <w:tcPr>
            <w:tcW w:w="1345" w:type="dxa"/>
            <w:vAlign w:val="top"/>
          </w:tcPr>
          <w:p>
            <w:pPr>
              <w:pStyle w:val="TableText"/>
              <w:rPr/>
            </w:pPr>
            <w:r/>
          </w:p>
        </w:tc>
      </w:tr>
      <w:tr>
        <w:trPr>
          <w:trHeight w:val="314" w:hRule="atLeast"/>
        </w:trPr>
        <w:tc>
          <w:tcPr>
            <w:tcW w:w="1755"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26"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c>
          <w:tcPr>
            <w:tcW w:w="1339" w:type="dxa"/>
            <w:vAlign w:val="top"/>
          </w:tcPr>
          <w:p>
            <w:pPr>
              <w:ind w:right="20"/>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c>
          <w:tcPr>
            <w:tcW w:w="1345" w:type="dxa"/>
            <w:vAlign w:val="top"/>
          </w:tcPr>
          <w:p>
            <w:pPr>
              <w:pStyle w:val="TableText"/>
              <w:rPr/>
            </w:pPr>
            <w:r/>
          </w:p>
        </w:tc>
      </w:tr>
      <w:tr>
        <w:trPr>
          <w:trHeight w:val="314" w:hRule="atLeast"/>
        </w:trPr>
        <w:tc>
          <w:tcPr>
            <w:tcW w:w="1755"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326"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2.79</w:t>
            </w:r>
          </w:p>
        </w:tc>
        <w:tc>
          <w:tcPr>
            <w:tcW w:w="1339" w:type="dxa"/>
            <w:vAlign w:val="top"/>
          </w:tcPr>
          <w:p>
            <w:pPr>
              <w:ind w:right="20"/>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2.79</w:t>
            </w:r>
          </w:p>
        </w:tc>
        <w:tc>
          <w:tcPr>
            <w:tcW w:w="1345" w:type="dxa"/>
            <w:vAlign w:val="top"/>
          </w:tcPr>
          <w:p>
            <w:pPr>
              <w:pStyle w:val="TableText"/>
              <w:rPr/>
            </w:pPr>
            <w:r/>
          </w:p>
        </w:tc>
      </w:tr>
      <w:tr>
        <w:trPr>
          <w:trHeight w:val="314" w:hRule="atLeast"/>
        </w:trPr>
        <w:tc>
          <w:tcPr>
            <w:tcW w:w="1755"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212</w:t>
            </w:r>
          </w:p>
        </w:tc>
        <w:tc>
          <w:tcPr>
            <w:tcW w:w="3326"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93"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39" w:type="dxa"/>
            <w:vAlign w:val="top"/>
          </w:tcPr>
          <w:p>
            <w:pPr>
              <w:pStyle w:val="TableText"/>
              <w:rPr/>
            </w:pPr>
            <w:r/>
          </w:p>
        </w:tc>
        <w:tc>
          <w:tcPr>
            <w:tcW w:w="1345" w:type="dxa"/>
            <w:vAlign w:val="top"/>
          </w:tcPr>
          <w:p>
            <w:pPr>
              <w:pStyle w:val="TableText"/>
              <w:ind w:left="835"/>
              <w:spacing w:before="103" w:line="186" w:lineRule="auto"/>
              <w:rPr>
                <w:sz w:val="13"/>
                <w:szCs w:val="13"/>
              </w:rPr>
            </w:pPr>
            <w:r>
              <w:rPr>
                <w:sz w:val="13"/>
                <w:szCs w:val="13"/>
                <w:color w:val="212529"/>
                <w:spacing w:val="3"/>
              </w:rPr>
              <w:t>765.</w:t>
            </w:r>
            <w:r>
              <w:rPr>
                <w:sz w:val="13"/>
                <w:szCs w:val="13"/>
                <w:color w:val="212529"/>
                <w:spacing w:val="13"/>
              </w:rPr>
              <w:t xml:space="preserve"> </w:t>
            </w:r>
            <w:r>
              <w:rPr>
                <w:sz w:val="13"/>
                <w:szCs w:val="13"/>
                <w:color w:val="212529"/>
                <w:spacing w:val="3"/>
              </w:rPr>
              <w:t>51</w:t>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21201</w:t>
            </w:r>
          </w:p>
        </w:tc>
        <w:tc>
          <w:tcPr>
            <w:tcW w:w="3326"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城乡社区管理事务</w:t>
            </w:r>
          </w:p>
        </w:tc>
        <w:tc>
          <w:tcPr>
            <w:tcW w:w="1393"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39" w:type="dxa"/>
            <w:vAlign w:val="top"/>
          </w:tcPr>
          <w:p>
            <w:pPr>
              <w:pStyle w:val="TableText"/>
              <w:rPr/>
            </w:pPr>
            <w:r/>
          </w:p>
        </w:tc>
        <w:tc>
          <w:tcPr>
            <w:tcW w:w="1345" w:type="dxa"/>
            <w:vAlign w:val="top"/>
          </w:tcPr>
          <w:p>
            <w:pPr>
              <w:pStyle w:val="TableText"/>
              <w:ind w:left="835"/>
              <w:spacing w:before="102" w:line="187" w:lineRule="auto"/>
              <w:rPr>
                <w:sz w:val="13"/>
                <w:szCs w:val="13"/>
              </w:rPr>
            </w:pPr>
            <w:r>
              <w:rPr>
                <w:sz w:val="13"/>
                <w:szCs w:val="13"/>
                <w:color w:val="212529"/>
                <w:spacing w:val="3"/>
              </w:rPr>
              <w:t>765.</w:t>
            </w:r>
            <w:r>
              <w:rPr>
                <w:sz w:val="13"/>
                <w:szCs w:val="13"/>
                <w:color w:val="212529"/>
                <w:spacing w:val="13"/>
              </w:rPr>
              <w:t xml:space="preserve"> </w:t>
            </w:r>
            <w:r>
              <w:rPr>
                <w:sz w:val="13"/>
                <w:szCs w:val="13"/>
                <w:color w:val="212529"/>
                <w:spacing w:val="3"/>
              </w:rPr>
              <w:t>51</w:t>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2120104</w:t>
            </w:r>
          </w:p>
        </w:tc>
        <w:tc>
          <w:tcPr>
            <w:tcW w:w="3326"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9"/>
              </w:rPr>
              <w:t>城管执法</w:t>
            </w:r>
          </w:p>
        </w:tc>
        <w:tc>
          <w:tcPr>
            <w:tcW w:w="1393"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39" w:type="dxa"/>
            <w:vAlign w:val="top"/>
          </w:tcPr>
          <w:p>
            <w:pPr>
              <w:pStyle w:val="TableText"/>
              <w:rPr/>
            </w:pPr>
            <w:r/>
          </w:p>
        </w:tc>
        <w:tc>
          <w:tcPr>
            <w:tcW w:w="1345" w:type="dxa"/>
            <w:vAlign w:val="top"/>
          </w:tcPr>
          <w:p>
            <w:pPr>
              <w:ind w:left="836"/>
              <w:spacing w:before="108" w:line="191" w:lineRule="auto"/>
              <w:rPr>
                <w:rFonts w:ascii="SimSun" w:hAnsi="SimSun" w:eastAsia="SimSun" w:cs="SimSun"/>
                <w:sz w:val="15"/>
                <w:szCs w:val="15"/>
              </w:rPr>
            </w:pPr>
            <w:r>
              <w:rPr>
                <w:rFonts w:ascii="SimSun" w:hAnsi="SimSun" w:eastAsia="SimSun" w:cs="SimSun"/>
                <w:sz w:val="15"/>
                <w:szCs w:val="15"/>
                <w:color w:val="212529"/>
                <w:spacing w:val="4"/>
              </w:rPr>
              <w:t>765.51</w:t>
            </w:r>
          </w:p>
        </w:tc>
      </w:tr>
      <w:tr>
        <w:trPr>
          <w:trHeight w:val="314" w:hRule="atLeast"/>
        </w:trPr>
        <w:tc>
          <w:tcPr>
            <w:tcW w:w="1755"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39" w:type="dxa"/>
            <w:vAlign w:val="top"/>
          </w:tcPr>
          <w:p>
            <w:pPr>
              <w:pStyle w:val="TableText"/>
              <w:ind w:left="992"/>
              <w:spacing w:before="104"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23</w:t>
            </w:r>
          </w:p>
        </w:tc>
        <w:tc>
          <w:tcPr>
            <w:tcW w:w="1345" w:type="dxa"/>
            <w:vAlign w:val="top"/>
          </w:tcPr>
          <w:p>
            <w:pPr>
              <w:pStyle w:val="TableText"/>
              <w:rPr/>
            </w:pPr>
            <w:r/>
          </w:p>
        </w:tc>
      </w:tr>
      <w:tr>
        <w:trPr>
          <w:trHeight w:val="314" w:hRule="atLeast"/>
        </w:trPr>
        <w:tc>
          <w:tcPr>
            <w:tcW w:w="1755"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39" w:type="dxa"/>
            <w:vAlign w:val="top"/>
          </w:tcPr>
          <w:p>
            <w:pPr>
              <w:pStyle w:val="TableText"/>
              <w:ind w:left="992"/>
              <w:spacing w:before="104"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23</w:t>
            </w:r>
          </w:p>
        </w:tc>
        <w:tc>
          <w:tcPr>
            <w:tcW w:w="1345" w:type="dxa"/>
            <w:vAlign w:val="top"/>
          </w:tcPr>
          <w:p>
            <w:pPr>
              <w:pStyle w:val="TableText"/>
              <w:rPr/>
            </w:pPr>
            <w:r/>
          </w:p>
        </w:tc>
      </w:tr>
      <w:tr>
        <w:trPr>
          <w:trHeight w:val="319" w:hRule="atLeast"/>
        </w:trPr>
        <w:tc>
          <w:tcPr>
            <w:tcW w:w="1755"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39" w:type="dxa"/>
            <w:vAlign w:val="top"/>
          </w:tcPr>
          <w:p>
            <w:pPr>
              <w:ind w:right="20"/>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45" w:type="dxa"/>
            <w:vAlign w:val="top"/>
          </w:tcPr>
          <w:p>
            <w:pPr>
              <w:pStyle w:val="TableText"/>
              <w:rPr/>
            </w:pPr>
            <w:r/>
          </w:p>
        </w:tc>
      </w:tr>
    </w:tbl>
    <w:p>
      <w:pPr>
        <w:pStyle w:val="BodyText"/>
        <w:rPr/>
      </w:pPr>
      <w:r/>
    </w:p>
    <w:p>
      <w:pPr>
        <w:sectPr>
          <w:headerReference w:type="default" r:id="rId14"/>
          <w:footerReference w:type="default" r:id="rId15"/>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46"/>
            <w:bookmarkEnd w:id="46"/>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869.55</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left="617"/>
              <w:spacing w:before="134" w:line="190" w:lineRule="auto"/>
              <w:rPr>
                <w:rFonts w:ascii="SimSun" w:hAnsi="SimSun" w:eastAsia="SimSun" w:cs="SimSun"/>
                <w:sz w:val="15"/>
                <w:szCs w:val="15"/>
              </w:rPr>
            </w:pPr>
            <w:r>
              <w:rPr>
                <w:rFonts w:ascii="SimSun" w:hAnsi="SimSun" w:eastAsia="SimSun" w:cs="SimSun"/>
                <w:sz w:val="15"/>
                <w:szCs w:val="15"/>
                <w:color w:val="212529"/>
                <w:spacing w:val="4"/>
              </w:rPr>
              <w:t>67.59</w:t>
            </w:r>
          </w:p>
        </w:tc>
        <w:tc>
          <w:tcPr>
            <w:tcW w:w="1069" w:type="dxa"/>
            <w:vAlign w:val="top"/>
          </w:tcPr>
          <w:p>
            <w:pPr>
              <w:ind w:right="18"/>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28"/>
              <w:spacing w:before="136" w:line="191" w:lineRule="auto"/>
              <w:rPr>
                <w:rFonts w:ascii="SimSun" w:hAnsi="SimSun" w:eastAsia="SimSun" w:cs="SimSun"/>
                <w:sz w:val="15"/>
                <w:szCs w:val="15"/>
              </w:rPr>
            </w:pPr>
            <w:r>
              <w:rPr>
                <w:rFonts w:ascii="SimSun" w:hAnsi="SimSun" w:eastAsia="SimSun" w:cs="SimSun"/>
                <w:sz w:val="15"/>
                <w:szCs w:val="15"/>
                <w:color w:val="212529"/>
                <w:spacing w:val="2"/>
              </w:rPr>
              <w:t>18.20</w:t>
            </w:r>
          </w:p>
        </w:tc>
        <w:tc>
          <w:tcPr>
            <w:tcW w:w="1069" w:type="dxa"/>
            <w:vAlign w:val="top"/>
          </w:tcPr>
          <w:p>
            <w:pPr>
              <w:ind w:right="18"/>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2"/>
              </w:rPr>
              <w:t>18.20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698"/>
              <w:spacing w:before="137" w:line="190" w:lineRule="auto"/>
              <w:rPr>
                <w:rFonts w:ascii="SimSun" w:hAnsi="SimSun" w:eastAsia="SimSun" w:cs="SimSun"/>
                <w:sz w:val="15"/>
                <w:szCs w:val="15"/>
              </w:rPr>
            </w:pPr>
            <w:r>
              <w:rPr>
                <w:rFonts w:ascii="SimSun" w:hAnsi="SimSun" w:eastAsia="SimSun" w:cs="SimSun"/>
                <w:sz w:val="15"/>
                <w:szCs w:val="15"/>
                <w:color w:val="212529"/>
                <w:spacing w:val="3"/>
              </w:rPr>
              <w:t>9.03</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9.03</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ind w:left="539"/>
              <w:spacing w:before="138" w:line="191" w:lineRule="auto"/>
              <w:rPr>
                <w:rFonts w:ascii="SimSun" w:hAnsi="SimSun" w:eastAsia="SimSun" w:cs="SimSun"/>
                <w:sz w:val="15"/>
                <w:szCs w:val="15"/>
              </w:rPr>
            </w:pPr>
            <w:r>
              <w:rPr>
                <w:rFonts w:ascii="SimSun" w:hAnsi="SimSun" w:eastAsia="SimSun" w:cs="SimSun"/>
                <w:sz w:val="15"/>
                <w:szCs w:val="15"/>
                <w:color w:val="212529"/>
                <w:spacing w:val="4"/>
              </w:rPr>
              <w:t>765.51</w:t>
            </w:r>
          </w:p>
        </w:tc>
        <w:tc>
          <w:tcPr>
            <w:tcW w:w="1069" w:type="dxa"/>
            <w:vAlign w:val="top"/>
          </w:tcPr>
          <w:p>
            <w:pPr>
              <w:ind w:right="18"/>
              <w:spacing w:before="138"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98"/>
              <w:spacing w:before="140" w:line="190" w:lineRule="auto"/>
              <w:rPr>
                <w:rFonts w:ascii="SimSun" w:hAnsi="SimSun" w:eastAsia="SimSun" w:cs="SimSun"/>
                <w:sz w:val="15"/>
                <w:szCs w:val="15"/>
              </w:rPr>
            </w:pPr>
            <w:r>
              <w:rPr>
                <w:rFonts w:ascii="SimSun" w:hAnsi="SimSun" w:eastAsia="SimSun" w:cs="SimSun"/>
                <w:sz w:val="15"/>
                <w:szCs w:val="15"/>
                <w:color w:val="212529"/>
                <w:spacing w:val="3"/>
              </w:rPr>
              <w:t>9.23</w:t>
            </w:r>
          </w:p>
        </w:tc>
        <w:tc>
          <w:tcPr>
            <w:tcW w:w="106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8"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8" w:line="172" w:lineRule="auto"/>
              <w:rPr>
                <w:sz w:val="14"/>
                <w:szCs w:val="14"/>
              </w:rPr>
            </w:pPr>
            <w:r>
              <w:rPr>
                <w:sz w:val="14"/>
                <w:szCs w:val="14"/>
                <w:color w:val="212529"/>
                <w:spacing w:val="1"/>
              </w:rPr>
              <w:t>869.</w:t>
            </w:r>
            <w:r>
              <w:rPr>
                <w:sz w:val="14"/>
                <w:szCs w:val="14"/>
                <w:color w:val="212529"/>
                <w:spacing w:val="1"/>
              </w:rPr>
              <w:t xml:space="preserve"> </w:t>
            </w:r>
            <w:r>
              <w:rPr>
                <w:sz w:val="14"/>
                <w:szCs w:val="14"/>
                <w:color w:val="212529"/>
                <w:spacing w:val="1"/>
              </w:rPr>
              <w:t>55</w:t>
            </w:r>
          </w:p>
        </w:tc>
        <w:tc>
          <w:tcPr>
            <w:tcW w:w="1069" w:type="dxa"/>
            <w:vAlign w:val="top"/>
          </w:tcPr>
          <w:p>
            <w:pPr>
              <w:pStyle w:val="TableText"/>
              <w:ind w:left="284"/>
              <w:spacing w:before="138"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11" w:right="0" w:bottom="311" w:left="0" w:header="357" w:footer="153" w:gutter="0"/>
        </w:sectPr>
        <w:rPr/>
      </w:pPr>
    </w:p>
    <w:p>
      <w:pPr>
        <w:spacing w:before="54"/>
        <w:rPr/>
      </w:pPr>
      <w:r/>
    </w:p>
    <w:p>
      <w:pPr>
        <w:spacing w:before="5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6"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6"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1069" w:type="dxa"/>
            <w:vAlign w:val="top"/>
          </w:tcPr>
          <w:p>
            <w:pPr>
              <w:pStyle w:val="TableText"/>
              <w:ind w:left="284"/>
              <w:spacing w:before="136"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8"/>
          <w:footerReference w:type="default" r:id="rId19"/>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49"/>
            <w:bookmarkEnd w:id="49"/>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72" w:lineRule="auto"/>
              <w:rPr>
                <w:sz w:val="14"/>
                <w:szCs w:val="14"/>
              </w:rPr>
            </w:pPr>
            <w:r>
              <w:rPr>
                <w:sz w:val="14"/>
                <w:szCs w:val="14"/>
                <w:color w:val="212529"/>
              </w:rPr>
              <w:t>869.</w:t>
            </w:r>
            <w:r>
              <w:rPr>
                <w:sz w:val="14"/>
                <w:szCs w:val="14"/>
                <w:color w:val="212529"/>
                <w:spacing w:val="6"/>
              </w:rPr>
              <w:t xml:space="preserve"> </w:t>
            </w:r>
            <w:r>
              <w:rPr>
                <w:sz w:val="14"/>
                <w:szCs w:val="14"/>
                <w:color w:val="212529"/>
              </w:rPr>
              <w:t>55</w:t>
            </w:r>
          </w:p>
        </w:tc>
        <w:tc>
          <w:tcPr>
            <w:tcW w:w="1361" w:type="dxa"/>
            <w:vAlign w:val="top"/>
          </w:tcPr>
          <w:p>
            <w:pPr>
              <w:pStyle w:val="TableText"/>
              <w:ind w:right="16"/>
              <w:spacing w:before="87" w:line="186" w:lineRule="auto"/>
              <w:jc w:val="right"/>
              <w:rPr>
                <w:sz w:val="13"/>
                <w:szCs w:val="13"/>
              </w:rPr>
            </w:pPr>
            <w:r>
              <w:rPr>
                <w:sz w:val="13"/>
                <w:szCs w:val="13"/>
                <w:color w:val="212529"/>
                <w:spacing w:val="4"/>
              </w:rPr>
              <w:t>104.</w:t>
            </w:r>
            <w:r>
              <w:rPr>
                <w:sz w:val="13"/>
                <w:szCs w:val="13"/>
                <w:color w:val="212529"/>
                <w:spacing w:val="4"/>
              </w:rPr>
              <w:t xml:space="preserve"> </w:t>
            </w:r>
            <w:r>
              <w:rPr>
                <w:sz w:val="13"/>
                <w:szCs w:val="13"/>
                <w:color w:val="212529"/>
                <w:spacing w:val="4"/>
              </w:rPr>
              <w:t>04</w:t>
            </w:r>
          </w:p>
        </w:tc>
        <w:tc>
          <w:tcPr>
            <w:tcW w:w="1409" w:type="dxa"/>
            <w:vAlign w:val="top"/>
          </w:tcPr>
          <w:p>
            <w:pPr>
              <w:pStyle w:val="TableText"/>
              <w:ind w:left="899"/>
              <w:spacing w:before="87" w:line="186" w:lineRule="auto"/>
              <w:rPr>
                <w:sz w:val="13"/>
                <w:szCs w:val="13"/>
              </w:rPr>
            </w:pPr>
            <w:r>
              <w:rPr>
                <w:sz w:val="13"/>
                <w:szCs w:val="13"/>
                <w:color w:val="212529"/>
                <w:spacing w:val="3"/>
              </w:rPr>
              <w:t>765.</w:t>
            </w:r>
            <w:r>
              <w:rPr>
                <w:sz w:val="13"/>
                <w:szCs w:val="13"/>
                <w:color w:val="212529"/>
                <w:spacing w:val="13"/>
              </w:rPr>
              <w:t xml:space="preserve"> </w:t>
            </w:r>
            <w:r>
              <w:rPr>
                <w:sz w:val="13"/>
                <w:szCs w:val="13"/>
                <w:color w:val="212529"/>
                <w:spacing w:val="3"/>
              </w:rPr>
              <w:t>51</w:t>
            </w:r>
          </w:p>
        </w:tc>
      </w:tr>
      <w:tr>
        <w:trPr>
          <w:trHeight w:val="292" w:hRule="atLeast"/>
        </w:trPr>
        <w:tc>
          <w:tcPr>
            <w:tcW w:w="1614"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61" w:type="dxa"/>
            <w:vAlign w:val="top"/>
          </w:tcPr>
          <w:p>
            <w:pPr>
              <w:ind w:right="17"/>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409" w:type="dxa"/>
            <w:vAlign w:val="top"/>
          </w:tcPr>
          <w:p>
            <w:pPr>
              <w:pStyle w:val="TableText"/>
              <w:rPr/>
            </w:pPr>
            <w:r/>
          </w:p>
        </w:tc>
      </w:tr>
      <w:tr>
        <w:trPr>
          <w:trHeight w:val="292" w:hRule="atLeast"/>
        </w:trPr>
        <w:tc>
          <w:tcPr>
            <w:tcW w:w="1614"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61" w:type="dxa"/>
            <w:vAlign w:val="top"/>
          </w:tcPr>
          <w:p>
            <w:pPr>
              <w:ind w:right="17"/>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409" w:type="dxa"/>
            <w:vAlign w:val="top"/>
          </w:tcPr>
          <w:p>
            <w:pPr>
              <w:pStyle w:val="TableText"/>
              <w:rPr/>
            </w:pPr>
            <w:r/>
          </w:p>
        </w:tc>
      </w:tr>
      <w:tr>
        <w:trPr>
          <w:trHeight w:val="292" w:hRule="atLeast"/>
        </w:trPr>
        <w:tc>
          <w:tcPr>
            <w:tcW w:w="1614"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361"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67.59</w:t>
            </w:r>
          </w:p>
        </w:tc>
        <w:tc>
          <w:tcPr>
            <w:tcW w:w="1409" w:type="dxa"/>
            <w:vAlign w:val="top"/>
          </w:tcPr>
          <w:p>
            <w:pPr>
              <w:pStyle w:val="TableText"/>
              <w:rPr/>
            </w:pPr>
            <w:r/>
          </w:p>
        </w:tc>
      </w:tr>
      <w:tr>
        <w:trPr>
          <w:trHeight w:val="292" w:hRule="atLeast"/>
        </w:trPr>
        <w:tc>
          <w:tcPr>
            <w:tcW w:w="1614"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294" w:type="dxa"/>
            <w:vAlign w:val="top"/>
          </w:tcPr>
          <w:p>
            <w:pPr>
              <w:ind w:left="3"/>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18.20</w:t>
            </w:r>
          </w:p>
        </w:tc>
        <w:tc>
          <w:tcPr>
            <w:tcW w:w="1361"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18.20</w:t>
            </w:r>
          </w:p>
        </w:tc>
        <w:tc>
          <w:tcPr>
            <w:tcW w:w="1409" w:type="dxa"/>
            <w:vAlign w:val="top"/>
          </w:tcPr>
          <w:p>
            <w:pPr>
              <w:pStyle w:val="TableText"/>
              <w:rPr/>
            </w:pPr>
            <w:r/>
          </w:p>
        </w:tc>
      </w:tr>
      <w:tr>
        <w:trPr>
          <w:trHeight w:val="292" w:hRule="atLeast"/>
        </w:trPr>
        <w:tc>
          <w:tcPr>
            <w:tcW w:w="1614"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294"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17.94</w:t>
            </w:r>
          </w:p>
        </w:tc>
        <w:tc>
          <w:tcPr>
            <w:tcW w:w="1361"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17.94</w:t>
            </w:r>
          </w:p>
        </w:tc>
        <w:tc>
          <w:tcPr>
            <w:tcW w:w="1409" w:type="dxa"/>
            <w:vAlign w:val="top"/>
          </w:tcPr>
          <w:p>
            <w:pPr>
              <w:pStyle w:val="TableText"/>
              <w:rPr/>
            </w:pPr>
            <w:r/>
          </w:p>
        </w:tc>
      </w:tr>
      <w:tr>
        <w:trPr>
          <w:trHeight w:val="292"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1.80</w:t>
            </w:r>
          </w:p>
        </w:tc>
        <w:tc>
          <w:tcPr>
            <w:tcW w:w="1361"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1.80</w:t>
            </w:r>
          </w:p>
        </w:tc>
        <w:tc>
          <w:tcPr>
            <w:tcW w:w="1409" w:type="dxa"/>
            <w:vAlign w:val="top"/>
          </w:tcPr>
          <w:p>
            <w:pPr>
              <w:pStyle w:val="TableText"/>
              <w:rPr/>
            </w:pPr>
            <w:r/>
          </w:p>
        </w:tc>
      </w:tr>
      <w:tr>
        <w:trPr>
          <w:trHeight w:val="293" w:hRule="atLeast"/>
        </w:trPr>
        <w:tc>
          <w:tcPr>
            <w:tcW w:w="1614" w:type="dxa"/>
            <w:vAlign w:val="top"/>
          </w:tcPr>
          <w:p>
            <w:pPr>
              <w:ind w:left="8"/>
              <w:spacing w:before="98"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11.81</w:t>
            </w:r>
          </w:p>
        </w:tc>
        <w:tc>
          <w:tcPr>
            <w:tcW w:w="1361"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11.81</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4.33</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4.33</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409" w:type="dxa"/>
            <w:vAlign w:val="top"/>
          </w:tcPr>
          <w:p>
            <w:pPr>
              <w:pStyle w:val="TableText"/>
              <w:rPr/>
            </w:pPr>
            <w:r/>
          </w:p>
        </w:tc>
      </w:tr>
      <w:tr>
        <w:trPr>
          <w:trHeight w:val="293" w:hRule="atLeast"/>
        </w:trPr>
        <w:tc>
          <w:tcPr>
            <w:tcW w:w="1614"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0.26</w:t>
            </w:r>
          </w:p>
        </w:tc>
        <w:tc>
          <w:tcPr>
            <w:tcW w:w="1409" w:type="dxa"/>
            <w:vAlign w:val="top"/>
          </w:tcPr>
          <w:p>
            <w:pPr>
              <w:pStyle w:val="TableText"/>
              <w:rPr/>
            </w:pPr>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9.03</w:t>
            </w:r>
          </w:p>
        </w:tc>
        <w:tc>
          <w:tcPr>
            <w:tcW w:w="1361"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9.03</w:t>
            </w:r>
          </w:p>
        </w:tc>
        <w:tc>
          <w:tcPr>
            <w:tcW w:w="1409" w:type="dxa"/>
            <w:vAlign w:val="top"/>
          </w:tcPr>
          <w:p>
            <w:pPr>
              <w:pStyle w:val="TableText"/>
              <w:rPr/>
            </w:pPr>
            <w:r/>
          </w:p>
        </w:tc>
      </w:tr>
      <w:tr>
        <w:trPr>
          <w:trHeight w:val="292" w:hRule="atLeast"/>
        </w:trPr>
        <w:tc>
          <w:tcPr>
            <w:tcW w:w="1614"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21007</w:t>
            </w:r>
          </w:p>
        </w:tc>
        <w:tc>
          <w:tcPr>
            <w:tcW w:w="3294"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480"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361"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409" w:type="dxa"/>
            <w:vAlign w:val="top"/>
          </w:tcPr>
          <w:p>
            <w:pPr>
              <w:pStyle w:val="TableText"/>
              <w:rPr/>
            </w:pPr>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2100799</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409" w:type="dxa"/>
            <w:vAlign w:val="top"/>
          </w:tcPr>
          <w:p>
            <w:pPr>
              <w:pStyle w:val="TableText"/>
              <w:rPr/>
            </w:pPr>
            <w:r/>
          </w:p>
        </w:tc>
      </w:tr>
      <w:tr>
        <w:trPr>
          <w:trHeight w:val="292"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294"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8.97</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8.97</w:t>
            </w:r>
          </w:p>
        </w:tc>
        <w:tc>
          <w:tcPr>
            <w:tcW w:w="1409" w:type="dxa"/>
            <w:vAlign w:val="top"/>
          </w:tcPr>
          <w:p>
            <w:pPr>
              <w:pStyle w:val="TableText"/>
              <w:rPr/>
            </w:pPr>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294" w:type="dxa"/>
            <w:vAlign w:val="top"/>
          </w:tcPr>
          <w:p>
            <w:pPr>
              <w:ind w:left="3"/>
              <w:spacing w:before="7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c>
          <w:tcPr>
            <w:tcW w:w="1361"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c>
          <w:tcPr>
            <w:tcW w:w="1409" w:type="dxa"/>
            <w:vAlign w:val="top"/>
          </w:tcPr>
          <w:p>
            <w:pPr>
              <w:pStyle w:val="TableText"/>
              <w:rPr/>
            </w:pPr>
            <w:r/>
          </w:p>
        </w:tc>
      </w:tr>
      <w:tr>
        <w:trPr>
          <w:trHeight w:val="293"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294" w:type="dxa"/>
            <w:vAlign w:val="top"/>
          </w:tcPr>
          <w:p>
            <w:pPr>
              <w:ind w:left="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2.79</w:t>
            </w:r>
          </w:p>
        </w:tc>
        <w:tc>
          <w:tcPr>
            <w:tcW w:w="1361"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2.79</w:t>
            </w:r>
          </w:p>
        </w:tc>
        <w:tc>
          <w:tcPr>
            <w:tcW w:w="1409" w:type="dxa"/>
            <w:vAlign w:val="top"/>
          </w:tcPr>
          <w:p>
            <w:pPr>
              <w:pStyle w:val="TableText"/>
              <w:rPr/>
            </w:pPr>
            <w:r/>
          </w:p>
        </w:tc>
      </w:tr>
      <w:tr>
        <w:trPr>
          <w:trHeight w:val="292" w:hRule="atLeast"/>
        </w:trPr>
        <w:tc>
          <w:tcPr>
            <w:tcW w:w="1614"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2"/>
              </w:rPr>
              <w:t>212</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80"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61" w:type="dxa"/>
            <w:vAlign w:val="top"/>
          </w:tcPr>
          <w:p>
            <w:pPr>
              <w:pStyle w:val="TableText"/>
              <w:rPr/>
            </w:pPr>
            <w:r/>
          </w:p>
        </w:tc>
        <w:tc>
          <w:tcPr>
            <w:tcW w:w="1409" w:type="dxa"/>
            <w:vAlign w:val="top"/>
          </w:tcPr>
          <w:p>
            <w:pPr>
              <w:ind w:left="900"/>
              <w:spacing w:before="96" w:line="191" w:lineRule="auto"/>
              <w:rPr>
                <w:rFonts w:ascii="SimSun" w:hAnsi="SimSun" w:eastAsia="SimSun" w:cs="SimSun"/>
                <w:sz w:val="15"/>
                <w:szCs w:val="15"/>
              </w:rPr>
            </w:pPr>
            <w:r>
              <w:rPr>
                <w:rFonts w:ascii="SimSun" w:hAnsi="SimSun" w:eastAsia="SimSun" w:cs="SimSun"/>
                <w:sz w:val="15"/>
                <w:szCs w:val="15"/>
                <w:color w:val="212529"/>
                <w:spacing w:val="4"/>
              </w:rPr>
              <w:t>765.51</w:t>
            </w:r>
          </w:p>
        </w:tc>
      </w:tr>
      <w:tr>
        <w:trPr>
          <w:trHeight w:val="292"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21201</w:t>
            </w:r>
          </w:p>
        </w:tc>
        <w:tc>
          <w:tcPr>
            <w:tcW w:w="3294" w:type="dxa"/>
            <w:vAlign w:val="top"/>
          </w:tcPr>
          <w:p>
            <w:pPr>
              <w:ind w:left="2"/>
              <w:spacing w:before="73" w:line="229" w:lineRule="auto"/>
              <w:rPr>
                <w:rFonts w:ascii="SimSun" w:hAnsi="SimSun" w:eastAsia="SimSun" w:cs="SimSun"/>
                <w:sz w:val="15"/>
                <w:szCs w:val="15"/>
              </w:rPr>
            </w:pPr>
            <w:r>
              <w:rPr>
                <w:rFonts w:ascii="SimSun" w:hAnsi="SimSun" w:eastAsia="SimSun" w:cs="SimSun"/>
                <w:sz w:val="15"/>
                <w:szCs w:val="15"/>
                <w:color w:val="212529"/>
                <w:spacing w:val="10"/>
              </w:rPr>
              <w:t>城乡社区管理事务</w:t>
            </w:r>
          </w:p>
        </w:tc>
        <w:tc>
          <w:tcPr>
            <w:tcW w:w="1480"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61" w:type="dxa"/>
            <w:vAlign w:val="top"/>
          </w:tcPr>
          <w:p>
            <w:pPr>
              <w:pStyle w:val="TableText"/>
              <w:rPr/>
            </w:pPr>
            <w:r/>
          </w:p>
        </w:tc>
        <w:tc>
          <w:tcPr>
            <w:tcW w:w="1409" w:type="dxa"/>
            <w:vAlign w:val="top"/>
          </w:tcPr>
          <w:p>
            <w:pPr>
              <w:ind w:left="900"/>
              <w:spacing w:before="97" w:line="191" w:lineRule="auto"/>
              <w:rPr>
                <w:rFonts w:ascii="SimSun" w:hAnsi="SimSun" w:eastAsia="SimSun" w:cs="SimSun"/>
                <w:sz w:val="15"/>
                <w:szCs w:val="15"/>
              </w:rPr>
            </w:pPr>
            <w:r>
              <w:rPr>
                <w:rFonts w:ascii="SimSun" w:hAnsi="SimSun" w:eastAsia="SimSun" w:cs="SimSun"/>
                <w:sz w:val="15"/>
                <w:szCs w:val="15"/>
                <w:color w:val="212529"/>
                <w:spacing w:val="4"/>
              </w:rPr>
              <w:t>765.51</w:t>
            </w:r>
          </w:p>
        </w:tc>
      </w:tr>
      <w:tr>
        <w:trPr>
          <w:trHeight w:val="293"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2120104</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9"/>
              </w:rPr>
              <w:t>城管执法</w:t>
            </w:r>
          </w:p>
        </w:tc>
        <w:tc>
          <w:tcPr>
            <w:tcW w:w="1480"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361" w:type="dxa"/>
            <w:vAlign w:val="top"/>
          </w:tcPr>
          <w:p>
            <w:pPr>
              <w:pStyle w:val="TableText"/>
              <w:rPr/>
            </w:pPr>
            <w:r/>
          </w:p>
        </w:tc>
        <w:tc>
          <w:tcPr>
            <w:tcW w:w="1409" w:type="dxa"/>
            <w:vAlign w:val="top"/>
          </w:tcPr>
          <w:p>
            <w:pPr>
              <w:ind w:left="900"/>
              <w:spacing w:before="97" w:line="191" w:lineRule="auto"/>
              <w:rPr>
                <w:rFonts w:ascii="SimSun" w:hAnsi="SimSun" w:eastAsia="SimSun" w:cs="SimSun"/>
                <w:sz w:val="15"/>
                <w:szCs w:val="15"/>
              </w:rPr>
            </w:pPr>
            <w:r>
              <w:rPr>
                <w:rFonts w:ascii="SimSun" w:hAnsi="SimSun" w:eastAsia="SimSun" w:cs="SimSun"/>
                <w:sz w:val="15"/>
                <w:szCs w:val="15"/>
                <w:color w:val="212529"/>
                <w:spacing w:val="4"/>
              </w:rPr>
              <w:t>765.51</w:t>
            </w:r>
          </w:p>
        </w:tc>
      </w:tr>
      <w:tr>
        <w:trPr>
          <w:trHeight w:val="292" w:hRule="atLeast"/>
        </w:trPr>
        <w:tc>
          <w:tcPr>
            <w:tcW w:w="1614"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294" w:type="dxa"/>
            <w:vAlign w:val="top"/>
          </w:tcPr>
          <w:p>
            <w:pPr>
              <w:ind w:left="2"/>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61" w:type="dxa"/>
            <w:vAlign w:val="top"/>
          </w:tcPr>
          <w:p>
            <w:pPr>
              <w:ind w:right="17"/>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409" w:type="dxa"/>
            <w:vAlign w:val="top"/>
          </w:tcPr>
          <w:p>
            <w:pPr>
              <w:pStyle w:val="TableText"/>
              <w:rPr/>
            </w:pPr>
            <w:r/>
          </w:p>
        </w:tc>
      </w:tr>
      <w:tr>
        <w:trPr>
          <w:trHeight w:val="292" w:hRule="atLeast"/>
        </w:trPr>
        <w:tc>
          <w:tcPr>
            <w:tcW w:w="1614"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61"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409" w:type="dxa"/>
            <w:vAlign w:val="top"/>
          </w:tcPr>
          <w:p>
            <w:pPr>
              <w:pStyle w:val="TableText"/>
              <w:rPr/>
            </w:pPr>
            <w:r/>
          </w:p>
        </w:tc>
      </w:tr>
      <w:tr>
        <w:trPr>
          <w:trHeight w:val="298" w:hRule="atLeast"/>
        </w:trPr>
        <w:tc>
          <w:tcPr>
            <w:tcW w:w="1614"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294"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361"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409" w:type="dxa"/>
            <w:vAlign w:val="top"/>
          </w:tcPr>
          <w:p>
            <w:pPr>
              <w:pStyle w:val="TableText"/>
              <w:rPr/>
            </w:pPr>
            <w:r/>
          </w:p>
        </w:tc>
      </w:tr>
    </w:tbl>
    <w:p>
      <w:pPr>
        <w:pStyle w:val="BodyText"/>
        <w:rPr/>
      </w:pPr>
      <w:r/>
    </w:p>
    <w:p>
      <w:pPr>
        <w:sectPr>
          <w:headerReference w:type="default" r:id="rId5"/>
          <w:footerReference w:type="default" r:id="rId20"/>
          <w:pgSz w:w="11900" w:h="16840"/>
          <w:pgMar w:top="611" w:right="0" w:bottom="312" w:left="0" w:header="357" w:footer="153" w:gutter="0"/>
        </w:sectPr>
        <w:rPr/>
      </w:pPr>
    </w:p>
    <w:p>
      <w:pPr>
        <w:spacing w:before="118"/>
        <w:rPr/>
      </w:pPr>
      <w:r/>
    </w:p>
    <w:p>
      <w:pPr>
        <w:spacing w:before="118"/>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5"/>
        <w:gridCol w:w="2322"/>
        <w:gridCol w:w="1209"/>
        <w:gridCol w:w="1123"/>
        <w:gridCol w:w="1053"/>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52"/>
            <w:bookmarkEnd w:id="52"/>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90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123" w:type="dxa"/>
            <w:vAlign w:val="top"/>
            <w:tcBorders>
              <w:top w:val="single" w:color="FFFFFF" w:sz="4" w:space="0"/>
              <w:left w:val="single" w:color="FFFFFF" w:sz="2" w:space="0"/>
              <w:right w:val="single" w:color="FFFFFF" w:sz="2" w:space="0"/>
            </w:tcBorders>
          </w:tcPr>
          <w:p>
            <w:pPr>
              <w:pStyle w:val="TableText"/>
              <w:rPr/>
            </w:pPr>
            <w:r/>
          </w:p>
        </w:tc>
        <w:tc>
          <w:tcPr>
            <w:tcW w:w="1053" w:type="dxa"/>
            <w:vAlign w:val="top"/>
            <w:tcBorders>
              <w:top w:val="single" w:color="FFFFFF" w:sz="4" w:space="0"/>
              <w:left w:val="single" w:color="FFFFFF" w:sz="2" w:space="0"/>
              <w:right w:val="single" w:color="FFFFFF" w:sz="2" w:space="0"/>
            </w:tcBorders>
          </w:tcPr>
          <w:p>
            <w:pPr>
              <w:ind w:left="382"/>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75" w:type="dxa"/>
            <w:vAlign w:val="top"/>
            <w:vMerge w:val="restart"/>
            <w:tcBorders>
              <w:bottom w:val="nil"/>
            </w:tcBorders>
          </w:tcPr>
          <w:p>
            <w:pPr>
              <w:ind w:left="70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22" w:type="dxa"/>
            <w:vAlign w:val="top"/>
            <w:vMerge w:val="restart"/>
            <w:tcBorders>
              <w:bottom w:val="nil"/>
            </w:tcBorders>
          </w:tcPr>
          <w:p>
            <w:pPr>
              <w:ind w:left="176"/>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85" w:type="dxa"/>
            <w:vAlign w:val="top"/>
            <w:gridSpan w:val="3"/>
          </w:tcPr>
          <w:p>
            <w:pPr>
              <w:ind w:left="119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75" w:type="dxa"/>
            <w:vAlign w:val="top"/>
            <w:vMerge w:val="continue"/>
            <w:tcBorders>
              <w:top w:val="nil"/>
            </w:tcBorders>
          </w:tcPr>
          <w:p>
            <w:pPr>
              <w:pStyle w:val="TableText"/>
              <w:rPr/>
            </w:pPr>
            <w:r/>
          </w:p>
        </w:tc>
        <w:tc>
          <w:tcPr>
            <w:tcW w:w="2322" w:type="dxa"/>
            <w:vAlign w:val="top"/>
            <w:vMerge w:val="continue"/>
            <w:tcBorders>
              <w:top w:val="nil"/>
            </w:tcBorders>
          </w:tcPr>
          <w:p>
            <w:pPr>
              <w:pStyle w:val="TableText"/>
              <w:rPr/>
            </w:pPr>
            <w:r/>
          </w:p>
        </w:tc>
        <w:tc>
          <w:tcPr>
            <w:tcW w:w="1209" w:type="dxa"/>
            <w:vAlign w:val="top"/>
          </w:tcPr>
          <w:p>
            <w:pPr>
              <w:ind w:left="43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ind w:left="22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53" w:type="dxa"/>
            <w:vAlign w:val="top"/>
          </w:tcPr>
          <w:p>
            <w:pPr>
              <w:ind w:left="19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97" w:type="dxa"/>
            <w:vAlign w:val="top"/>
            <w:gridSpan w:val="2"/>
          </w:tcPr>
          <w:p>
            <w:pPr>
              <w:ind w:left="2689"/>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09" w:type="dxa"/>
            <w:vAlign w:val="top"/>
          </w:tcPr>
          <w:p>
            <w:pPr>
              <w:pStyle w:val="TableText"/>
              <w:ind w:left="708"/>
              <w:spacing w:before="87" w:line="186" w:lineRule="auto"/>
              <w:rPr>
                <w:sz w:val="13"/>
                <w:szCs w:val="13"/>
              </w:rPr>
            </w:pPr>
            <w:r>
              <w:rPr>
                <w:sz w:val="13"/>
                <w:szCs w:val="13"/>
                <w:color w:val="212529"/>
                <w:spacing w:val="4"/>
              </w:rPr>
              <w:t>104.</w:t>
            </w:r>
            <w:r>
              <w:rPr>
                <w:sz w:val="13"/>
                <w:szCs w:val="13"/>
                <w:color w:val="212529"/>
                <w:spacing w:val="9"/>
              </w:rPr>
              <w:t xml:space="preserve"> </w:t>
            </w:r>
            <w:r>
              <w:rPr>
                <w:sz w:val="13"/>
                <w:szCs w:val="13"/>
                <w:color w:val="212529"/>
                <w:spacing w:val="4"/>
              </w:rPr>
              <w:t>04</w:t>
            </w:r>
          </w:p>
        </w:tc>
        <w:tc>
          <w:tcPr>
            <w:tcW w:w="1123" w:type="dxa"/>
            <w:vAlign w:val="top"/>
          </w:tcPr>
          <w:p>
            <w:pPr>
              <w:pStyle w:val="TableText"/>
              <w:ind w:left="697"/>
              <w:spacing w:before="87" w:line="186" w:lineRule="auto"/>
              <w:rPr>
                <w:sz w:val="13"/>
                <w:szCs w:val="13"/>
              </w:rPr>
            </w:pPr>
            <w:r>
              <w:rPr>
                <w:sz w:val="13"/>
                <w:szCs w:val="13"/>
                <w:color w:val="212529"/>
                <w:spacing w:val="4"/>
              </w:rPr>
              <w:t>97.</w:t>
            </w:r>
            <w:r>
              <w:rPr>
                <w:sz w:val="13"/>
                <w:szCs w:val="13"/>
                <w:color w:val="212529"/>
                <w:spacing w:val="12"/>
              </w:rPr>
              <w:t xml:space="preserve"> </w:t>
            </w:r>
            <w:r>
              <w:rPr>
                <w:sz w:val="13"/>
                <w:szCs w:val="13"/>
                <w:color w:val="212529"/>
                <w:spacing w:val="4"/>
              </w:rPr>
              <w:t>79</w:t>
            </w:r>
          </w:p>
        </w:tc>
        <w:tc>
          <w:tcPr>
            <w:tcW w:w="1053" w:type="dxa"/>
            <w:vAlign w:val="top"/>
          </w:tcPr>
          <w:p>
            <w:pPr>
              <w:pStyle w:val="TableText"/>
              <w:ind w:left="705"/>
              <w:spacing w:before="87" w:line="186" w:lineRule="auto"/>
              <w:rPr>
                <w:sz w:val="13"/>
                <w:szCs w:val="13"/>
              </w:rPr>
            </w:pPr>
            <w:r>
              <w:rPr>
                <w:sz w:val="13"/>
                <w:szCs w:val="13"/>
                <w:color w:val="212529"/>
                <w:spacing w:val="2"/>
              </w:rPr>
              <w:t>6.</w:t>
            </w:r>
            <w:r>
              <w:rPr>
                <w:sz w:val="13"/>
                <w:szCs w:val="13"/>
                <w:color w:val="212529"/>
                <w:spacing w:val="14"/>
              </w:rPr>
              <w:t xml:space="preserve"> </w:t>
            </w:r>
            <w:r>
              <w:rPr>
                <w:sz w:val="13"/>
                <w:szCs w:val="13"/>
                <w:color w:val="212529"/>
                <w:spacing w:val="2"/>
              </w:rPr>
              <w:t>25</w:t>
            </w:r>
          </w:p>
        </w:tc>
      </w:tr>
      <w:tr>
        <w:trPr>
          <w:trHeight w:val="292" w:hRule="atLeast"/>
        </w:trPr>
        <w:tc>
          <w:tcPr>
            <w:tcW w:w="3375"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22" w:type="dxa"/>
            <w:vAlign w:val="top"/>
          </w:tcPr>
          <w:p>
            <w:pPr>
              <w:pStyle w:val="TableText"/>
              <w:rPr/>
            </w:pPr>
            <w:r/>
          </w:p>
        </w:tc>
        <w:tc>
          <w:tcPr>
            <w:tcW w:w="1209" w:type="dxa"/>
            <w:vAlign w:val="top"/>
          </w:tcPr>
          <w:p>
            <w:pPr>
              <w:ind w:left="778"/>
              <w:spacing w:before="93" w:line="190" w:lineRule="auto"/>
              <w:rPr>
                <w:rFonts w:ascii="SimSun" w:hAnsi="SimSun" w:eastAsia="SimSun" w:cs="SimSun"/>
                <w:sz w:val="15"/>
                <w:szCs w:val="15"/>
              </w:rPr>
            </w:pPr>
            <w:r>
              <w:rPr>
                <w:rFonts w:ascii="SimSun" w:hAnsi="SimSun" w:eastAsia="SimSun" w:cs="SimSun"/>
                <w:sz w:val="15"/>
                <w:szCs w:val="15"/>
                <w:color w:val="212529"/>
                <w:spacing w:val="4"/>
              </w:rPr>
              <w:t>95.93</w:t>
            </w:r>
          </w:p>
        </w:tc>
        <w:tc>
          <w:tcPr>
            <w:tcW w:w="1123" w:type="dxa"/>
            <w:vAlign w:val="top"/>
          </w:tcPr>
          <w:p>
            <w:pPr>
              <w:ind w:right="18"/>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95.93</w:t>
            </w:r>
          </w:p>
        </w:tc>
        <w:tc>
          <w:tcPr>
            <w:tcW w:w="1053" w:type="dxa"/>
            <w:vAlign w:val="top"/>
          </w:tcPr>
          <w:p>
            <w:pPr>
              <w:pStyle w:val="TableText"/>
              <w:rPr/>
            </w:pPr>
            <w:r/>
          </w:p>
        </w:tc>
      </w:tr>
      <w:tr>
        <w:trPr>
          <w:trHeight w:val="292" w:hRule="atLeast"/>
        </w:trPr>
        <w:tc>
          <w:tcPr>
            <w:tcW w:w="3375"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22"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781"/>
              <w:spacing w:before="93" w:line="191" w:lineRule="auto"/>
              <w:rPr>
                <w:rFonts w:ascii="SimSun" w:hAnsi="SimSun" w:eastAsia="SimSun" w:cs="SimSun"/>
                <w:sz w:val="15"/>
                <w:szCs w:val="15"/>
              </w:rPr>
            </w:pPr>
            <w:r>
              <w:rPr>
                <w:rFonts w:ascii="SimSun" w:hAnsi="SimSun" w:eastAsia="SimSun" w:cs="SimSun"/>
                <w:sz w:val="15"/>
                <w:szCs w:val="15"/>
                <w:color w:val="212529"/>
                <w:spacing w:val="3"/>
              </w:rPr>
              <w:t>32.14</w:t>
            </w:r>
          </w:p>
        </w:tc>
        <w:tc>
          <w:tcPr>
            <w:tcW w:w="1123" w:type="dxa"/>
            <w:vAlign w:val="top"/>
          </w:tcPr>
          <w:p>
            <w:pPr>
              <w:ind w:right="18"/>
              <w:spacing w:before="93" w:line="191" w:lineRule="auto"/>
              <w:jc w:val="right"/>
              <w:rPr>
                <w:rFonts w:ascii="SimSun" w:hAnsi="SimSun" w:eastAsia="SimSun" w:cs="SimSun"/>
                <w:sz w:val="15"/>
                <w:szCs w:val="15"/>
              </w:rPr>
            </w:pPr>
            <w:r>
              <w:rPr>
                <w:rFonts w:ascii="SimSun" w:hAnsi="SimSun" w:eastAsia="SimSun" w:cs="SimSun"/>
                <w:sz w:val="15"/>
                <w:szCs w:val="15"/>
                <w:color w:val="212529"/>
                <w:spacing w:val="3"/>
              </w:rPr>
              <w:t>32.14</w:t>
            </w:r>
          </w:p>
        </w:tc>
        <w:tc>
          <w:tcPr>
            <w:tcW w:w="1053" w:type="dxa"/>
            <w:vAlign w:val="top"/>
          </w:tcPr>
          <w:p>
            <w:pPr>
              <w:pStyle w:val="TableText"/>
              <w:rPr/>
            </w:pPr>
            <w:r/>
          </w:p>
        </w:tc>
      </w:tr>
      <w:tr>
        <w:trPr>
          <w:trHeight w:val="292" w:hRule="atLeast"/>
        </w:trPr>
        <w:tc>
          <w:tcPr>
            <w:tcW w:w="3375"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58"/>
              <w:spacing w:before="95" w:line="190" w:lineRule="auto"/>
              <w:rPr>
                <w:rFonts w:ascii="SimSun" w:hAnsi="SimSun" w:eastAsia="SimSun" w:cs="SimSun"/>
                <w:sz w:val="15"/>
                <w:szCs w:val="15"/>
              </w:rPr>
            </w:pPr>
            <w:r>
              <w:rPr>
                <w:rFonts w:ascii="SimSun" w:hAnsi="SimSun" w:eastAsia="SimSun" w:cs="SimSun"/>
                <w:sz w:val="15"/>
                <w:szCs w:val="15"/>
                <w:color w:val="212529"/>
                <w:spacing w:val="4"/>
              </w:rPr>
              <w:t>4.75</w:t>
            </w:r>
          </w:p>
        </w:tc>
        <w:tc>
          <w:tcPr>
            <w:tcW w:w="1123" w:type="dxa"/>
            <w:vAlign w:val="top"/>
          </w:tcPr>
          <w:p>
            <w:pPr>
              <w:ind w:right="18"/>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4.75</w:t>
            </w:r>
          </w:p>
        </w:tc>
        <w:tc>
          <w:tcPr>
            <w:tcW w:w="1053" w:type="dxa"/>
            <w:vAlign w:val="top"/>
          </w:tcPr>
          <w:p>
            <w:pPr>
              <w:pStyle w:val="TableText"/>
              <w:rPr/>
            </w:pPr>
            <w:r/>
          </w:p>
        </w:tc>
      </w:tr>
      <w:tr>
        <w:trPr>
          <w:trHeight w:val="292" w:hRule="atLeast"/>
        </w:trPr>
        <w:tc>
          <w:tcPr>
            <w:tcW w:w="3375"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779"/>
              <w:spacing w:before="95" w:line="190" w:lineRule="auto"/>
              <w:rPr>
                <w:rFonts w:ascii="SimSun" w:hAnsi="SimSun" w:eastAsia="SimSun" w:cs="SimSun"/>
                <w:sz w:val="15"/>
                <w:szCs w:val="15"/>
              </w:rPr>
            </w:pPr>
            <w:r>
              <w:rPr>
                <w:rFonts w:ascii="SimSun" w:hAnsi="SimSun" w:eastAsia="SimSun" w:cs="SimSun"/>
                <w:sz w:val="15"/>
                <w:szCs w:val="15"/>
                <w:color w:val="212529"/>
                <w:spacing w:val="4"/>
              </w:rPr>
              <w:t>22.97</w:t>
            </w:r>
          </w:p>
        </w:tc>
        <w:tc>
          <w:tcPr>
            <w:tcW w:w="1123" w:type="dxa"/>
            <w:vAlign w:val="top"/>
          </w:tcPr>
          <w:p>
            <w:pPr>
              <w:ind w:right="18"/>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22.97</w:t>
            </w:r>
          </w:p>
        </w:tc>
        <w:tc>
          <w:tcPr>
            <w:tcW w:w="1053" w:type="dxa"/>
            <w:vAlign w:val="top"/>
          </w:tcPr>
          <w:p>
            <w:pPr>
              <w:pStyle w:val="TableText"/>
              <w:rPr/>
            </w:pPr>
            <w:r/>
          </w:p>
        </w:tc>
      </w:tr>
      <w:tr>
        <w:trPr>
          <w:trHeight w:val="292" w:hRule="atLeast"/>
        </w:trPr>
        <w:tc>
          <w:tcPr>
            <w:tcW w:w="3375"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22"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789"/>
              <w:spacing w:before="95" w:line="191" w:lineRule="auto"/>
              <w:rPr>
                <w:rFonts w:ascii="SimSun" w:hAnsi="SimSun" w:eastAsia="SimSun" w:cs="SimSun"/>
                <w:sz w:val="15"/>
                <w:szCs w:val="15"/>
              </w:rPr>
            </w:pPr>
            <w:r>
              <w:rPr>
                <w:rFonts w:ascii="SimSun" w:hAnsi="SimSun" w:eastAsia="SimSun" w:cs="SimSun"/>
                <w:sz w:val="15"/>
                <w:szCs w:val="15"/>
                <w:color w:val="212529"/>
                <w:spacing w:val="2"/>
              </w:rPr>
              <w:t>11.81</w:t>
            </w:r>
          </w:p>
        </w:tc>
        <w:tc>
          <w:tcPr>
            <w:tcW w:w="1123" w:type="dxa"/>
            <w:vAlign w:val="top"/>
          </w:tcPr>
          <w:p>
            <w:pPr>
              <w:ind w:right="18"/>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11.81</w:t>
            </w:r>
          </w:p>
        </w:tc>
        <w:tc>
          <w:tcPr>
            <w:tcW w:w="1053" w:type="dxa"/>
            <w:vAlign w:val="top"/>
          </w:tcPr>
          <w:p>
            <w:pPr>
              <w:pStyle w:val="TableText"/>
              <w:rPr/>
            </w:pPr>
            <w:r/>
          </w:p>
        </w:tc>
      </w:tr>
      <w:tr>
        <w:trPr>
          <w:trHeight w:val="292" w:hRule="atLeast"/>
        </w:trPr>
        <w:tc>
          <w:tcPr>
            <w:tcW w:w="3375"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58"/>
              <w:spacing w:before="97" w:line="190" w:lineRule="auto"/>
              <w:rPr>
                <w:rFonts w:ascii="SimSun" w:hAnsi="SimSun" w:eastAsia="SimSun" w:cs="SimSun"/>
                <w:sz w:val="15"/>
                <w:szCs w:val="15"/>
              </w:rPr>
            </w:pPr>
            <w:r>
              <w:rPr>
                <w:rFonts w:ascii="SimSun" w:hAnsi="SimSun" w:eastAsia="SimSun" w:cs="SimSun"/>
                <w:sz w:val="15"/>
                <w:szCs w:val="15"/>
                <w:color w:val="212529"/>
                <w:spacing w:val="4"/>
              </w:rPr>
              <w:t>4.33</w:t>
            </w:r>
          </w:p>
        </w:tc>
        <w:tc>
          <w:tcPr>
            <w:tcW w:w="1123"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4.33</w:t>
            </w:r>
          </w:p>
        </w:tc>
        <w:tc>
          <w:tcPr>
            <w:tcW w:w="1053" w:type="dxa"/>
            <w:vAlign w:val="top"/>
          </w:tcPr>
          <w:p>
            <w:pPr>
              <w:pStyle w:val="TableText"/>
              <w:rPr/>
            </w:pPr>
            <w:r/>
          </w:p>
        </w:tc>
      </w:tr>
      <w:tr>
        <w:trPr>
          <w:trHeight w:val="293" w:hRule="atLeast"/>
        </w:trPr>
        <w:tc>
          <w:tcPr>
            <w:tcW w:w="3375"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2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60"/>
              <w:spacing w:before="98" w:line="190" w:lineRule="auto"/>
              <w:rPr>
                <w:rFonts w:ascii="SimSun" w:hAnsi="SimSun" w:eastAsia="SimSun" w:cs="SimSun"/>
                <w:sz w:val="15"/>
                <w:szCs w:val="15"/>
              </w:rPr>
            </w:pPr>
            <w:r>
              <w:rPr>
                <w:rFonts w:ascii="SimSun" w:hAnsi="SimSun" w:eastAsia="SimSun" w:cs="SimSun"/>
                <w:sz w:val="15"/>
                <w:szCs w:val="15"/>
                <w:color w:val="212529"/>
                <w:spacing w:val="3"/>
              </w:rPr>
              <w:t>6.07</w:t>
            </w:r>
          </w:p>
        </w:tc>
        <w:tc>
          <w:tcPr>
            <w:tcW w:w="1123" w:type="dxa"/>
            <w:vAlign w:val="top"/>
          </w:tcPr>
          <w:p>
            <w:pPr>
              <w:ind w:right="18"/>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6.07</w:t>
            </w:r>
          </w:p>
        </w:tc>
        <w:tc>
          <w:tcPr>
            <w:tcW w:w="1053" w:type="dxa"/>
            <w:vAlign w:val="top"/>
          </w:tcPr>
          <w:p>
            <w:pPr>
              <w:pStyle w:val="TableText"/>
              <w:rPr/>
            </w:pPr>
            <w:r/>
          </w:p>
        </w:tc>
      </w:tr>
      <w:tr>
        <w:trPr>
          <w:trHeight w:val="293" w:hRule="atLeast"/>
        </w:trPr>
        <w:tc>
          <w:tcPr>
            <w:tcW w:w="3375"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60"/>
              <w:spacing w:before="97" w:line="190" w:lineRule="auto"/>
              <w:rPr>
                <w:rFonts w:ascii="SimSun" w:hAnsi="SimSun" w:eastAsia="SimSun" w:cs="SimSun"/>
                <w:sz w:val="15"/>
                <w:szCs w:val="15"/>
              </w:rPr>
            </w:pPr>
            <w:r>
              <w:rPr>
                <w:rFonts w:ascii="SimSun" w:hAnsi="SimSun" w:eastAsia="SimSun" w:cs="SimSun"/>
                <w:sz w:val="15"/>
                <w:szCs w:val="15"/>
                <w:color w:val="212529"/>
                <w:spacing w:val="3"/>
              </w:rPr>
              <w:t>2.79</w:t>
            </w:r>
          </w:p>
        </w:tc>
        <w:tc>
          <w:tcPr>
            <w:tcW w:w="1123"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2.79</w:t>
            </w:r>
          </w:p>
        </w:tc>
        <w:tc>
          <w:tcPr>
            <w:tcW w:w="1053" w:type="dxa"/>
            <w:vAlign w:val="top"/>
          </w:tcPr>
          <w:p>
            <w:pPr>
              <w:pStyle w:val="TableText"/>
              <w:rPr/>
            </w:pPr>
            <w:r/>
          </w:p>
        </w:tc>
      </w:tr>
      <w:tr>
        <w:trPr>
          <w:trHeight w:val="293" w:hRule="atLeast"/>
        </w:trPr>
        <w:tc>
          <w:tcPr>
            <w:tcW w:w="3375"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60"/>
              <w:spacing w:before="97" w:line="190" w:lineRule="auto"/>
              <w:rPr>
                <w:rFonts w:ascii="SimSun" w:hAnsi="SimSun" w:eastAsia="SimSun" w:cs="SimSun"/>
                <w:sz w:val="15"/>
                <w:szCs w:val="15"/>
              </w:rPr>
            </w:pPr>
            <w:r>
              <w:rPr>
                <w:rFonts w:ascii="SimSun" w:hAnsi="SimSun" w:eastAsia="SimSun" w:cs="SimSun"/>
                <w:sz w:val="15"/>
                <w:szCs w:val="15"/>
                <w:color w:val="212529"/>
                <w:spacing w:val="3"/>
              </w:rPr>
              <w:t>0.36</w:t>
            </w:r>
          </w:p>
        </w:tc>
        <w:tc>
          <w:tcPr>
            <w:tcW w:w="1123"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0.36</w:t>
            </w:r>
          </w:p>
        </w:tc>
        <w:tc>
          <w:tcPr>
            <w:tcW w:w="1053" w:type="dxa"/>
            <w:vAlign w:val="top"/>
          </w:tcPr>
          <w:p>
            <w:pPr>
              <w:pStyle w:val="TableText"/>
              <w:rPr/>
            </w:pPr>
            <w:r/>
          </w:p>
        </w:tc>
      </w:tr>
      <w:tr>
        <w:trPr>
          <w:trHeight w:val="293" w:hRule="atLeast"/>
        </w:trPr>
        <w:tc>
          <w:tcPr>
            <w:tcW w:w="3375"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59"/>
              <w:spacing w:before="97" w:line="190" w:lineRule="auto"/>
              <w:rPr>
                <w:rFonts w:ascii="SimSun" w:hAnsi="SimSun" w:eastAsia="SimSun" w:cs="SimSun"/>
                <w:sz w:val="15"/>
                <w:szCs w:val="15"/>
              </w:rPr>
            </w:pPr>
            <w:r>
              <w:rPr>
                <w:rFonts w:ascii="SimSun" w:hAnsi="SimSun" w:eastAsia="SimSun" w:cs="SimSun"/>
                <w:sz w:val="15"/>
                <w:szCs w:val="15"/>
                <w:color w:val="212529"/>
                <w:spacing w:val="3"/>
              </w:rPr>
              <w:t>9.23</w:t>
            </w:r>
          </w:p>
        </w:tc>
        <w:tc>
          <w:tcPr>
            <w:tcW w:w="1123" w:type="dxa"/>
            <w:vAlign w:val="top"/>
          </w:tcPr>
          <w:p>
            <w:pPr>
              <w:ind w:right="18"/>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9.23</w:t>
            </w:r>
          </w:p>
        </w:tc>
        <w:tc>
          <w:tcPr>
            <w:tcW w:w="1053" w:type="dxa"/>
            <w:vAlign w:val="top"/>
          </w:tcPr>
          <w:p>
            <w:pPr>
              <w:pStyle w:val="TableText"/>
              <w:rPr/>
            </w:pPr>
            <w:r/>
          </w:p>
        </w:tc>
      </w:tr>
      <w:tr>
        <w:trPr>
          <w:trHeight w:val="293" w:hRule="atLeast"/>
        </w:trPr>
        <w:tc>
          <w:tcPr>
            <w:tcW w:w="3375"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left="870"/>
              <w:spacing w:before="96" w:line="191" w:lineRule="auto"/>
              <w:rPr>
                <w:rFonts w:ascii="SimSun" w:hAnsi="SimSun" w:eastAsia="SimSun" w:cs="SimSun"/>
                <w:sz w:val="15"/>
                <w:szCs w:val="15"/>
              </w:rPr>
            </w:pPr>
            <w:r>
              <w:rPr>
                <w:rFonts w:ascii="SimSun" w:hAnsi="SimSun" w:eastAsia="SimSun" w:cs="SimSun"/>
                <w:sz w:val="15"/>
                <w:szCs w:val="15"/>
                <w:color w:val="212529"/>
                <w:spacing w:val="1"/>
              </w:rPr>
              <w:t>1.48</w:t>
            </w:r>
          </w:p>
        </w:tc>
        <w:tc>
          <w:tcPr>
            <w:tcW w:w="1123" w:type="dxa"/>
            <w:vAlign w:val="top"/>
          </w:tcPr>
          <w:p>
            <w:pPr>
              <w:ind w:right="18"/>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1.48</w:t>
            </w:r>
          </w:p>
        </w:tc>
        <w:tc>
          <w:tcPr>
            <w:tcW w:w="1053" w:type="dxa"/>
            <w:vAlign w:val="top"/>
          </w:tcPr>
          <w:p>
            <w:pPr>
              <w:pStyle w:val="TableText"/>
              <w:rPr/>
            </w:pPr>
            <w:r/>
          </w:p>
        </w:tc>
      </w:tr>
      <w:tr>
        <w:trPr>
          <w:trHeight w:val="292" w:hRule="atLeast"/>
        </w:trPr>
        <w:tc>
          <w:tcPr>
            <w:tcW w:w="3375"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22" w:type="dxa"/>
            <w:vAlign w:val="top"/>
          </w:tcPr>
          <w:p>
            <w:pPr>
              <w:pStyle w:val="TableText"/>
              <w:rPr/>
            </w:pPr>
            <w:r/>
          </w:p>
        </w:tc>
        <w:tc>
          <w:tcPr>
            <w:tcW w:w="1209" w:type="dxa"/>
            <w:vAlign w:val="top"/>
          </w:tcPr>
          <w:p>
            <w:pPr>
              <w:ind w:left="862"/>
              <w:spacing w:before="96" w:line="190" w:lineRule="auto"/>
              <w:rPr>
                <w:rFonts w:ascii="SimSun" w:hAnsi="SimSun" w:eastAsia="SimSun" w:cs="SimSun"/>
                <w:sz w:val="15"/>
                <w:szCs w:val="15"/>
              </w:rPr>
            </w:pPr>
            <w:r>
              <w:rPr>
                <w:rFonts w:ascii="SimSun" w:hAnsi="SimSun" w:eastAsia="SimSun" w:cs="SimSun"/>
                <w:sz w:val="15"/>
                <w:szCs w:val="15"/>
                <w:color w:val="212529"/>
                <w:spacing w:val="3"/>
              </w:rPr>
              <w:t>5.95</w:t>
            </w:r>
          </w:p>
        </w:tc>
        <w:tc>
          <w:tcPr>
            <w:tcW w:w="1123" w:type="dxa"/>
            <w:vAlign w:val="top"/>
          </w:tcPr>
          <w:p>
            <w:pPr>
              <w:pStyle w:val="TableText"/>
              <w:rPr/>
            </w:pPr>
            <w:r/>
          </w:p>
        </w:tc>
        <w:tc>
          <w:tcPr>
            <w:tcW w:w="1053" w:type="dxa"/>
            <w:vAlign w:val="top"/>
          </w:tcPr>
          <w:p>
            <w:pPr>
              <w:ind w:right="22"/>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5.95</w:t>
            </w:r>
          </w:p>
        </w:tc>
      </w:tr>
      <w:tr>
        <w:trPr>
          <w:trHeight w:val="293" w:hRule="atLeast"/>
        </w:trPr>
        <w:tc>
          <w:tcPr>
            <w:tcW w:w="3375"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70"/>
              <w:spacing w:before="96" w:line="191" w:lineRule="auto"/>
              <w:rPr>
                <w:rFonts w:ascii="SimSun" w:hAnsi="SimSun" w:eastAsia="SimSun" w:cs="SimSun"/>
                <w:sz w:val="15"/>
                <w:szCs w:val="15"/>
              </w:rPr>
            </w:pPr>
            <w:r>
              <w:rPr>
                <w:rFonts w:ascii="SimSun" w:hAnsi="SimSun" w:eastAsia="SimSun" w:cs="SimSun"/>
                <w:sz w:val="15"/>
                <w:szCs w:val="15"/>
                <w:color w:val="212529"/>
                <w:spacing w:val="1"/>
              </w:rPr>
              <w:t>1.50</w:t>
            </w:r>
          </w:p>
        </w:tc>
        <w:tc>
          <w:tcPr>
            <w:tcW w:w="1123" w:type="dxa"/>
            <w:vAlign w:val="top"/>
          </w:tcPr>
          <w:p>
            <w:pPr>
              <w:pStyle w:val="TableText"/>
              <w:rPr/>
            </w:pPr>
            <w:r/>
          </w:p>
        </w:tc>
        <w:tc>
          <w:tcPr>
            <w:tcW w:w="1053"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1.50</w:t>
            </w:r>
          </w:p>
        </w:tc>
      </w:tr>
      <w:tr>
        <w:trPr>
          <w:trHeight w:val="292" w:hRule="atLeast"/>
        </w:trPr>
        <w:tc>
          <w:tcPr>
            <w:tcW w:w="3375"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70"/>
              <w:spacing w:before="96" w:line="191" w:lineRule="auto"/>
              <w:rPr>
                <w:rFonts w:ascii="SimSun" w:hAnsi="SimSun" w:eastAsia="SimSun" w:cs="SimSun"/>
                <w:sz w:val="15"/>
                <w:szCs w:val="15"/>
              </w:rPr>
            </w:pPr>
            <w:r>
              <w:rPr>
                <w:rFonts w:ascii="SimSun" w:hAnsi="SimSun" w:eastAsia="SimSun" w:cs="SimSun"/>
                <w:sz w:val="15"/>
                <w:szCs w:val="15"/>
                <w:color w:val="212529"/>
                <w:spacing w:val="1"/>
              </w:rPr>
              <w:t>1.12</w:t>
            </w:r>
          </w:p>
        </w:tc>
        <w:tc>
          <w:tcPr>
            <w:tcW w:w="1123" w:type="dxa"/>
            <w:vAlign w:val="top"/>
          </w:tcPr>
          <w:p>
            <w:pPr>
              <w:pStyle w:val="TableText"/>
              <w:rPr/>
            </w:pPr>
            <w:r/>
          </w:p>
        </w:tc>
        <w:tc>
          <w:tcPr>
            <w:tcW w:w="1053"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1"/>
              </w:rPr>
              <w:t>1.12</w:t>
            </w:r>
          </w:p>
        </w:tc>
      </w:tr>
      <w:tr>
        <w:trPr>
          <w:trHeight w:val="293" w:hRule="atLeast"/>
        </w:trPr>
        <w:tc>
          <w:tcPr>
            <w:tcW w:w="3375"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60"/>
              <w:spacing w:before="97" w:line="190" w:lineRule="auto"/>
              <w:rPr>
                <w:rFonts w:ascii="SimSun" w:hAnsi="SimSun" w:eastAsia="SimSun" w:cs="SimSun"/>
                <w:sz w:val="15"/>
                <w:szCs w:val="15"/>
              </w:rPr>
            </w:pPr>
            <w:r>
              <w:rPr>
                <w:rFonts w:ascii="SimSun" w:hAnsi="SimSun" w:eastAsia="SimSun" w:cs="SimSun"/>
                <w:sz w:val="15"/>
                <w:szCs w:val="15"/>
                <w:color w:val="212529"/>
                <w:spacing w:val="3"/>
              </w:rPr>
              <w:t>0.60</w:t>
            </w:r>
          </w:p>
        </w:tc>
        <w:tc>
          <w:tcPr>
            <w:tcW w:w="1123" w:type="dxa"/>
            <w:vAlign w:val="top"/>
          </w:tcPr>
          <w:p>
            <w:pPr>
              <w:pStyle w:val="TableText"/>
              <w:rPr/>
            </w:pPr>
            <w:r/>
          </w:p>
        </w:tc>
        <w:tc>
          <w:tcPr>
            <w:tcW w:w="1053"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r>
      <w:tr>
        <w:trPr>
          <w:trHeight w:val="293" w:hRule="atLeast"/>
        </w:trPr>
        <w:tc>
          <w:tcPr>
            <w:tcW w:w="3375"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60"/>
              <w:spacing w:before="97" w:line="190" w:lineRule="auto"/>
              <w:rPr>
                <w:rFonts w:ascii="SimSun" w:hAnsi="SimSun" w:eastAsia="SimSun" w:cs="SimSun"/>
                <w:sz w:val="15"/>
                <w:szCs w:val="15"/>
              </w:rPr>
            </w:pPr>
            <w:r>
              <w:rPr>
                <w:rFonts w:ascii="SimSun" w:hAnsi="SimSun" w:eastAsia="SimSun" w:cs="SimSun"/>
                <w:sz w:val="15"/>
                <w:szCs w:val="15"/>
                <w:color w:val="212529"/>
                <w:spacing w:val="3"/>
              </w:rPr>
              <w:t>0.20</w:t>
            </w:r>
          </w:p>
        </w:tc>
        <w:tc>
          <w:tcPr>
            <w:tcW w:w="1123" w:type="dxa"/>
            <w:vAlign w:val="top"/>
          </w:tcPr>
          <w:p>
            <w:pPr>
              <w:pStyle w:val="TableText"/>
              <w:rPr/>
            </w:pPr>
            <w:r/>
          </w:p>
        </w:tc>
        <w:tc>
          <w:tcPr>
            <w:tcW w:w="1053"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0.20</w:t>
            </w:r>
          </w:p>
        </w:tc>
      </w:tr>
      <w:tr>
        <w:trPr>
          <w:trHeight w:val="292" w:hRule="atLeast"/>
        </w:trPr>
        <w:tc>
          <w:tcPr>
            <w:tcW w:w="3375"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60"/>
              <w:spacing w:before="97" w:line="190" w:lineRule="auto"/>
              <w:rPr>
                <w:rFonts w:ascii="SimSun" w:hAnsi="SimSun" w:eastAsia="SimSun" w:cs="SimSun"/>
                <w:sz w:val="15"/>
                <w:szCs w:val="15"/>
              </w:rPr>
            </w:pPr>
            <w:r>
              <w:rPr>
                <w:rFonts w:ascii="SimSun" w:hAnsi="SimSun" w:eastAsia="SimSun" w:cs="SimSun"/>
                <w:sz w:val="15"/>
                <w:szCs w:val="15"/>
                <w:color w:val="212529"/>
                <w:spacing w:val="3"/>
              </w:rPr>
              <w:t>0.08</w:t>
            </w:r>
          </w:p>
        </w:tc>
        <w:tc>
          <w:tcPr>
            <w:tcW w:w="1123" w:type="dxa"/>
            <w:vAlign w:val="top"/>
          </w:tcPr>
          <w:p>
            <w:pPr>
              <w:pStyle w:val="TableText"/>
              <w:rPr/>
            </w:pPr>
            <w:r/>
          </w:p>
        </w:tc>
        <w:tc>
          <w:tcPr>
            <w:tcW w:w="1053"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0.08</w:t>
            </w:r>
          </w:p>
        </w:tc>
      </w:tr>
      <w:tr>
        <w:trPr>
          <w:trHeight w:val="292" w:hRule="atLeast"/>
        </w:trPr>
        <w:tc>
          <w:tcPr>
            <w:tcW w:w="3375"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60"/>
              <w:spacing w:before="97" w:line="191" w:lineRule="auto"/>
              <w:rPr>
                <w:rFonts w:ascii="SimSun" w:hAnsi="SimSun" w:eastAsia="SimSun" w:cs="SimSun"/>
                <w:sz w:val="15"/>
                <w:szCs w:val="15"/>
              </w:rPr>
            </w:pPr>
            <w:r>
              <w:rPr>
                <w:rFonts w:ascii="SimSun" w:hAnsi="SimSun" w:eastAsia="SimSun" w:cs="SimSun"/>
                <w:sz w:val="15"/>
                <w:szCs w:val="15"/>
                <w:color w:val="212529"/>
                <w:spacing w:val="3"/>
              </w:rPr>
              <w:t>0.10</w:t>
            </w:r>
          </w:p>
        </w:tc>
        <w:tc>
          <w:tcPr>
            <w:tcW w:w="1123" w:type="dxa"/>
            <w:vAlign w:val="top"/>
          </w:tcPr>
          <w:p>
            <w:pPr>
              <w:pStyle w:val="TableText"/>
              <w:rPr/>
            </w:pPr>
            <w:r/>
          </w:p>
        </w:tc>
        <w:tc>
          <w:tcPr>
            <w:tcW w:w="1053"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0.10</w:t>
            </w:r>
          </w:p>
        </w:tc>
      </w:tr>
      <w:tr>
        <w:trPr>
          <w:trHeight w:val="293" w:hRule="atLeast"/>
        </w:trPr>
        <w:tc>
          <w:tcPr>
            <w:tcW w:w="3375"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322" w:type="dxa"/>
            <w:vAlign w:val="top"/>
          </w:tcPr>
          <w:p>
            <w:pPr>
              <w:ind w:left="333"/>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09" w:type="dxa"/>
            <w:vAlign w:val="top"/>
          </w:tcPr>
          <w:p>
            <w:pPr>
              <w:ind w:left="870"/>
              <w:spacing w:before="97" w:line="191" w:lineRule="auto"/>
              <w:rPr>
                <w:rFonts w:ascii="SimSun" w:hAnsi="SimSun" w:eastAsia="SimSun" w:cs="SimSun"/>
                <w:sz w:val="15"/>
                <w:szCs w:val="15"/>
              </w:rPr>
            </w:pPr>
            <w:r>
              <w:rPr>
                <w:rFonts w:ascii="SimSun" w:hAnsi="SimSun" w:eastAsia="SimSun" w:cs="SimSun"/>
                <w:sz w:val="15"/>
                <w:szCs w:val="15"/>
                <w:color w:val="212529"/>
                <w:spacing w:val="1"/>
              </w:rPr>
              <w:t>1.50</w:t>
            </w:r>
          </w:p>
        </w:tc>
        <w:tc>
          <w:tcPr>
            <w:tcW w:w="1123" w:type="dxa"/>
            <w:vAlign w:val="top"/>
          </w:tcPr>
          <w:p>
            <w:pPr>
              <w:pStyle w:val="TableText"/>
              <w:rPr/>
            </w:pPr>
            <w:r/>
          </w:p>
        </w:tc>
        <w:tc>
          <w:tcPr>
            <w:tcW w:w="1053"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1.50</w:t>
            </w:r>
          </w:p>
        </w:tc>
      </w:tr>
      <w:tr>
        <w:trPr>
          <w:trHeight w:val="292" w:hRule="atLeast"/>
        </w:trPr>
        <w:tc>
          <w:tcPr>
            <w:tcW w:w="3375"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09" w:type="dxa"/>
            <w:vAlign w:val="top"/>
          </w:tcPr>
          <w:p>
            <w:pPr>
              <w:ind w:left="860"/>
              <w:spacing w:before="98" w:line="190" w:lineRule="auto"/>
              <w:rPr>
                <w:rFonts w:ascii="SimSun" w:hAnsi="SimSun" w:eastAsia="SimSun" w:cs="SimSun"/>
                <w:sz w:val="15"/>
                <w:szCs w:val="15"/>
              </w:rPr>
            </w:pPr>
            <w:r>
              <w:rPr>
                <w:rFonts w:ascii="SimSun" w:hAnsi="SimSun" w:eastAsia="SimSun" w:cs="SimSun"/>
                <w:sz w:val="15"/>
                <w:szCs w:val="15"/>
                <w:color w:val="212529"/>
                <w:spacing w:val="3"/>
              </w:rPr>
              <w:t>0.85</w:t>
            </w:r>
          </w:p>
        </w:tc>
        <w:tc>
          <w:tcPr>
            <w:tcW w:w="1123" w:type="dxa"/>
            <w:vAlign w:val="top"/>
          </w:tcPr>
          <w:p>
            <w:pPr>
              <w:pStyle w:val="TableText"/>
              <w:rPr/>
            </w:pPr>
            <w:r/>
          </w:p>
        </w:tc>
        <w:tc>
          <w:tcPr>
            <w:tcW w:w="1053"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0.85</w:t>
            </w:r>
          </w:p>
        </w:tc>
      </w:tr>
      <w:tr>
        <w:trPr>
          <w:trHeight w:val="292" w:hRule="atLeast"/>
        </w:trPr>
        <w:tc>
          <w:tcPr>
            <w:tcW w:w="3375"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22" w:type="dxa"/>
            <w:vAlign w:val="top"/>
          </w:tcPr>
          <w:p>
            <w:pPr>
              <w:pStyle w:val="TableText"/>
              <w:rPr/>
            </w:pPr>
            <w:r/>
          </w:p>
        </w:tc>
        <w:tc>
          <w:tcPr>
            <w:tcW w:w="1209" w:type="dxa"/>
            <w:vAlign w:val="top"/>
          </w:tcPr>
          <w:p>
            <w:pPr>
              <w:ind w:left="860"/>
              <w:spacing w:before="98" w:line="191" w:lineRule="auto"/>
              <w:rPr>
                <w:rFonts w:ascii="SimSun" w:hAnsi="SimSun" w:eastAsia="SimSun" w:cs="SimSun"/>
                <w:sz w:val="15"/>
                <w:szCs w:val="15"/>
              </w:rPr>
            </w:pPr>
            <w:r>
              <w:rPr>
                <w:rFonts w:ascii="SimSun" w:hAnsi="SimSun" w:eastAsia="SimSun" w:cs="SimSun"/>
                <w:sz w:val="15"/>
                <w:szCs w:val="15"/>
                <w:color w:val="212529"/>
                <w:spacing w:val="3"/>
              </w:rPr>
              <w:t>2.16</w:t>
            </w:r>
          </w:p>
        </w:tc>
        <w:tc>
          <w:tcPr>
            <w:tcW w:w="1123" w:type="dxa"/>
            <w:vAlign w:val="top"/>
          </w:tcPr>
          <w:p>
            <w:pPr>
              <w:ind w:right="18"/>
              <w:spacing w:before="98" w:line="191" w:lineRule="auto"/>
              <w:jc w:val="right"/>
              <w:rPr>
                <w:rFonts w:ascii="SimSun" w:hAnsi="SimSun" w:eastAsia="SimSun" w:cs="SimSun"/>
                <w:sz w:val="15"/>
                <w:szCs w:val="15"/>
              </w:rPr>
            </w:pPr>
            <w:r>
              <w:rPr>
                <w:rFonts w:ascii="SimSun" w:hAnsi="SimSun" w:eastAsia="SimSun" w:cs="SimSun"/>
                <w:sz w:val="15"/>
                <w:szCs w:val="15"/>
                <w:color w:val="212529"/>
                <w:spacing w:val="1"/>
              </w:rPr>
              <w:t>1.86</w:t>
            </w:r>
          </w:p>
        </w:tc>
        <w:tc>
          <w:tcPr>
            <w:tcW w:w="1053"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0.30</w:t>
            </w:r>
          </w:p>
        </w:tc>
      </w:tr>
      <w:tr>
        <w:trPr>
          <w:trHeight w:val="293" w:hRule="atLeast"/>
        </w:trPr>
        <w:tc>
          <w:tcPr>
            <w:tcW w:w="3375"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2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09" w:type="dxa"/>
            <w:vAlign w:val="top"/>
          </w:tcPr>
          <w:p>
            <w:pPr>
              <w:ind w:left="870"/>
              <w:spacing w:before="99" w:line="191" w:lineRule="auto"/>
              <w:rPr>
                <w:rFonts w:ascii="SimSun" w:hAnsi="SimSun" w:eastAsia="SimSun" w:cs="SimSun"/>
                <w:sz w:val="15"/>
                <w:szCs w:val="15"/>
              </w:rPr>
            </w:pPr>
            <w:r>
              <w:rPr>
                <w:rFonts w:ascii="SimSun" w:hAnsi="SimSun" w:eastAsia="SimSun" w:cs="SimSun"/>
                <w:sz w:val="15"/>
                <w:szCs w:val="15"/>
                <w:color w:val="212529"/>
                <w:spacing w:val="1"/>
              </w:rPr>
              <w:t>1.80</w:t>
            </w:r>
          </w:p>
        </w:tc>
        <w:tc>
          <w:tcPr>
            <w:tcW w:w="1123" w:type="dxa"/>
            <w:vAlign w:val="top"/>
          </w:tcPr>
          <w:p>
            <w:pPr>
              <w:ind w:right="18"/>
              <w:spacing w:before="99" w:line="191" w:lineRule="auto"/>
              <w:jc w:val="right"/>
              <w:rPr>
                <w:rFonts w:ascii="SimSun" w:hAnsi="SimSun" w:eastAsia="SimSun" w:cs="SimSun"/>
                <w:sz w:val="15"/>
                <w:szCs w:val="15"/>
              </w:rPr>
            </w:pPr>
            <w:r>
              <w:rPr>
                <w:rFonts w:ascii="SimSun" w:hAnsi="SimSun" w:eastAsia="SimSun" w:cs="SimSun"/>
                <w:sz w:val="15"/>
                <w:szCs w:val="15"/>
                <w:color w:val="212529"/>
                <w:spacing w:val="1"/>
              </w:rPr>
              <w:t>1.80</w:t>
            </w:r>
          </w:p>
        </w:tc>
        <w:tc>
          <w:tcPr>
            <w:tcW w:w="1053" w:type="dxa"/>
            <w:vAlign w:val="top"/>
          </w:tcPr>
          <w:p>
            <w:pPr>
              <w:pStyle w:val="TableText"/>
              <w:rPr/>
            </w:pPr>
            <w:r/>
          </w:p>
        </w:tc>
      </w:tr>
      <w:tr>
        <w:trPr>
          <w:trHeight w:val="292" w:hRule="atLeast"/>
        </w:trPr>
        <w:tc>
          <w:tcPr>
            <w:tcW w:w="3375"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322" w:type="dxa"/>
            <w:vAlign w:val="top"/>
          </w:tcPr>
          <w:p>
            <w:pPr>
              <w:ind w:left="329"/>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209" w:type="dxa"/>
            <w:vAlign w:val="top"/>
          </w:tcPr>
          <w:p>
            <w:pPr>
              <w:ind w:left="860"/>
              <w:spacing w:before="99" w:line="190" w:lineRule="auto"/>
              <w:rPr>
                <w:rFonts w:ascii="SimSun" w:hAnsi="SimSun" w:eastAsia="SimSun" w:cs="SimSun"/>
                <w:sz w:val="15"/>
                <w:szCs w:val="15"/>
              </w:rPr>
            </w:pPr>
            <w:r>
              <w:rPr>
                <w:rFonts w:ascii="SimSun" w:hAnsi="SimSun" w:eastAsia="SimSun" w:cs="SimSun"/>
                <w:sz w:val="15"/>
                <w:szCs w:val="15"/>
                <w:color w:val="212529"/>
                <w:spacing w:val="3"/>
              </w:rPr>
              <w:t>0.06</w:t>
            </w:r>
          </w:p>
        </w:tc>
        <w:tc>
          <w:tcPr>
            <w:tcW w:w="1123" w:type="dxa"/>
            <w:vAlign w:val="top"/>
          </w:tcPr>
          <w:p>
            <w:pPr>
              <w:ind w:right="18"/>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053" w:type="dxa"/>
            <w:vAlign w:val="top"/>
          </w:tcPr>
          <w:p>
            <w:pPr>
              <w:pStyle w:val="TableText"/>
              <w:rPr/>
            </w:pPr>
            <w:r/>
          </w:p>
        </w:tc>
      </w:tr>
      <w:tr>
        <w:trPr>
          <w:trHeight w:val="298" w:hRule="atLeast"/>
        </w:trPr>
        <w:tc>
          <w:tcPr>
            <w:tcW w:w="3375"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22" w:type="dxa"/>
            <w:vAlign w:val="top"/>
          </w:tcPr>
          <w:p>
            <w:pPr>
              <w:ind w:left="327"/>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09" w:type="dxa"/>
            <w:vAlign w:val="top"/>
          </w:tcPr>
          <w:p>
            <w:pPr>
              <w:ind w:left="860"/>
              <w:spacing w:before="100" w:line="190" w:lineRule="auto"/>
              <w:rPr>
                <w:rFonts w:ascii="SimSun" w:hAnsi="SimSun" w:eastAsia="SimSun" w:cs="SimSun"/>
                <w:sz w:val="15"/>
                <w:szCs w:val="15"/>
              </w:rPr>
            </w:pPr>
            <w:r>
              <w:rPr>
                <w:rFonts w:ascii="SimSun" w:hAnsi="SimSun" w:eastAsia="SimSun" w:cs="SimSun"/>
                <w:sz w:val="15"/>
                <w:szCs w:val="15"/>
                <w:color w:val="212529"/>
                <w:spacing w:val="3"/>
              </w:rPr>
              <w:t>0.30</w:t>
            </w:r>
          </w:p>
        </w:tc>
        <w:tc>
          <w:tcPr>
            <w:tcW w:w="1123" w:type="dxa"/>
            <w:vAlign w:val="top"/>
          </w:tcPr>
          <w:p>
            <w:pPr>
              <w:pStyle w:val="TableText"/>
              <w:rPr/>
            </w:pPr>
            <w:r/>
          </w:p>
        </w:tc>
        <w:tc>
          <w:tcPr>
            <w:tcW w:w="1053"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0.30</w:t>
            </w:r>
          </w:p>
        </w:tc>
      </w:tr>
    </w:tbl>
    <w:p>
      <w:pPr>
        <w:pStyle w:val="BodyText"/>
        <w:rPr/>
      </w:pPr>
      <w:r/>
    </w:p>
    <w:p>
      <w:pPr>
        <w:sectPr>
          <w:headerReference w:type="default" r:id="rId21"/>
          <w:footerReference w:type="default" r:id="rId22"/>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55"/>
            <w:bookmarkEnd w:id="55"/>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3"/>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57"/>
            <w:bookmarkEnd w:id="57"/>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4"/>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59"/>
            <w:bookmarkEnd w:id="59"/>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20"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40"/>
        <w:gridCol w:w="1523"/>
        <w:gridCol w:w="1436"/>
        <w:gridCol w:w="1361"/>
        <w:gridCol w:w="1398"/>
      </w:tblGrid>
      <w:tr>
        <w:trPr>
          <w:trHeight w:val="384" w:hRule="atLeast"/>
        </w:trPr>
        <w:tc>
          <w:tcPr>
            <w:tcW w:w="34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8" w:type="dxa"/>
            <w:vAlign w:val="top"/>
            <w:tcBorders>
              <w:bottom w:val="single" w:color="FFFFFF" w:sz="4" w:space="0"/>
              <w:top w:val="single" w:color="FFFFFF" w:sz="4" w:space="0"/>
              <w:left w:val="single" w:color="FFFFFF" w:sz="2" w:space="0"/>
              <w:right w:val="single" w:color="FFFFFF" w:sz="2" w:space="0"/>
            </w:tcBorders>
          </w:tcPr>
          <w:p>
            <w:pPr>
              <w:ind w:left="59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99"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398" w:type="dxa"/>
            <w:vAlign w:val="top"/>
            <w:tcBorders>
              <w:top w:val="single" w:color="FFFFFF" w:sz="4" w:space="0"/>
              <w:left w:val="single" w:color="FFFFFF" w:sz="2" w:space="0"/>
              <w:right w:val="single" w:color="FFFFFF" w:sz="2" w:space="0"/>
            </w:tcBorders>
          </w:tcPr>
          <w:p>
            <w:pPr>
              <w:ind w:left="79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440" w:type="dxa"/>
            <w:vAlign w:val="top"/>
            <w:vMerge w:val="restart"/>
            <w:tcBorders>
              <w:bottom w:val="nil"/>
            </w:tcBorders>
          </w:tcPr>
          <w:p>
            <w:pPr>
              <w:pStyle w:val="TableText"/>
              <w:rPr/>
            </w:pPr>
            <w:r/>
          </w:p>
          <w:p>
            <w:pPr>
              <w:ind w:left="1543"/>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718" w:type="dxa"/>
            <w:vAlign w:val="top"/>
            <w:gridSpan w:val="4"/>
          </w:tcPr>
          <w:p>
            <w:pPr>
              <w:ind w:left="236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440" w:type="dxa"/>
            <w:vAlign w:val="top"/>
            <w:vMerge w:val="continue"/>
            <w:tcBorders>
              <w:top w:val="nil"/>
            </w:tcBorders>
          </w:tcPr>
          <w:p>
            <w:pPr>
              <w:pStyle w:val="TableText"/>
              <w:rPr/>
            </w:pPr>
            <w:r/>
          </w:p>
        </w:tc>
        <w:tc>
          <w:tcPr>
            <w:tcW w:w="1523" w:type="dxa"/>
            <w:vAlign w:val="top"/>
          </w:tcPr>
          <w:p>
            <w:pPr>
              <w:ind w:left="585"/>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ind w:left="21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61" w:type="dxa"/>
            <w:vAlign w:val="top"/>
          </w:tcPr>
          <w:p>
            <w:pPr>
              <w:ind w:left="10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98" w:type="dxa"/>
            <w:vAlign w:val="top"/>
          </w:tcPr>
          <w:p>
            <w:pPr>
              <w:ind w:left="5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440" w:type="dxa"/>
            <w:vAlign w:val="top"/>
          </w:tcPr>
          <w:p>
            <w:pPr>
              <w:ind w:left="1072"/>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523" w:type="dxa"/>
            <w:vAlign w:val="top"/>
          </w:tcPr>
          <w:p>
            <w:pPr>
              <w:pStyle w:val="TableText"/>
              <w:rPr/>
            </w:pPr>
            <w:r/>
          </w:p>
        </w:tc>
        <w:tc>
          <w:tcPr>
            <w:tcW w:w="1436" w:type="dxa"/>
            <w:vAlign w:val="top"/>
          </w:tcPr>
          <w:p>
            <w:pPr>
              <w:pStyle w:val="TableText"/>
              <w:rPr/>
            </w:pPr>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1307"/>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523" w:type="dxa"/>
            <w:vAlign w:val="top"/>
          </w:tcPr>
          <w:p>
            <w:pPr>
              <w:pStyle w:val="TableText"/>
              <w:rPr/>
            </w:pPr>
            <w:r/>
          </w:p>
        </w:tc>
        <w:tc>
          <w:tcPr>
            <w:tcW w:w="1436" w:type="dxa"/>
            <w:vAlign w:val="top"/>
          </w:tcPr>
          <w:p>
            <w:pPr>
              <w:pStyle w:val="TableText"/>
              <w:rPr/>
            </w:pPr>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902"/>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523" w:type="dxa"/>
            <w:vAlign w:val="top"/>
          </w:tcPr>
          <w:p>
            <w:pPr>
              <w:ind w:left="1086"/>
              <w:spacing w:before="140" w:line="190" w:lineRule="auto"/>
              <w:rPr>
                <w:rFonts w:ascii="SimSun" w:hAnsi="SimSun" w:eastAsia="SimSun" w:cs="SimSun"/>
                <w:sz w:val="15"/>
                <w:szCs w:val="15"/>
              </w:rPr>
            </w:pPr>
            <w:r>
              <w:rPr>
                <w:rFonts w:ascii="SimSun" w:hAnsi="SimSun" w:eastAsia="SimSun" w:cs="SimSun"/>
                <w:sz w:val="15"/>
                <w:szCs w:val="15"/>
                <w:color w:val="212529"/>
                <w:spacing w:val="4"/>
              </w:rPr>
              <w:t>43.00</w:t>
            </w:r>
          </w:p>
        </w:tc>
        <w:tc>
          <w:tcPr>
            <w:tcW w:w="1436" w:type="dxa"/>
            <w:vAlign w:val="top"/>
          </w:tcPr>
          <w:p>
            <w:pPr>
              <w:ind w:right="22"/>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43.00</w:t>
            </w:r>
          </w:p>
        </w:tc>
        <w:tc>
          <w:tcPr>
            <w:tcW w:w="1361" w:type="dxa"/>
            <w:vAlign w:val="top"/>
          </w:tcPr>
          <w:p>
            <w:pPr>
              <w:pStyle w:val="TableText"/>
              <w:rPr/>
            </w:pPr>
            <w:r/>
          </w:p>
        </w:tc>
        <w:tc>
          <w:tcPr>
            <w:tcW w:w="1398" w:type="dxa"/>
            <w:vAlign w:val="top"/>
          </w:tcPr>
          <w:p>
            <w:pPr>
              <w:pStyle w:val="TableText"/>
              <w:rPr/>
            </w:pPr>
            <w:r/>
          </w:p>
        </w:tc>
      </w:tr>
      <w:tr>
        <w:trPr>
          <w:trHeight w:val="378" w:hRule="atLeast"/>
        </w:trPr>
        <w:tc>
          <w:tcPr>
            <w:tcW w:w="3440" w:type="dxa"/>
            <w:vAlign w:val="top"/>
          </w:tcPr>
          <w:p>
            <w:pPr>
              <w:ind w:left="1099"/>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523" w:type="dxa"/>
            <w:vAlign w:val="top"/>
          </w:tcPr>
          <w:p>
            <w:pPr>
              <w:ind w:left="1090"/>
              <w:spacing w:before="141" w:line="190" w:lineRule="auto"/>
              <w:rPr>
                <w:rFonts w:ascii="SimSun" w:hAnsi="SimSun" w:eastAsia="SimSun" w:cs="SimSun"/>
                <w:sz w:val="15"/>
                <w:szCs w:val="15"/>
              </w:rPr>
            </w:pPr>
            <w:r>
              <w:rPr>
                <w:rFonts w:ascii="SimSun" w:hAnsi="SimSun" w:eastAsia="SimSun" w:cs="SimSun"/>
                <w:sz w:val="15"/>
                <w:szCs w:val="15"/>
                <w:color w:val="212529"/>
                <w:spacing w:val="3"/>
              </w:rPr>
              <w:t>32.00</w:t>
            </w:r>
          </w:p>
        </w:tc>
        <w:tc>
          <w:tcPr>
            <w:tcW w:w="1436" w:type="dxa"/>
            <w:vAlign w:val="top"/>
          </w:tcPr>
          <w:p>
            <w:pPr>
              <w:ind w:right="22"/>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32.00</w:t>
            </w:r>
          </w:p>
        </w:tc>
        <w:tc>
          <w:tcPr>
            <w:tcW w:w="1361" w:type="dxa"/>
            <w:vAlign w:val="top"/>
          </w:tcPr>
          <w:p>
            <w:pPr>
              <w:pStyle w:val="TableText"/>
              <w:rPr/>
            </w:pPr>
            <w:r/>
          </w:p>
        </w:tc>
        <w:tc>
          <w:tcPr>
            <w:tcW w:w="1398" w:type="dxa"/>
            <w:vAlign w:val="top"/>
          </w:tcPr>
          <w:p>
            <w:pPr>
              <w:pStyle w:val="TableText"/>
              <w:rPr/>
            </w:pPr>
            <w:r/>
          </w:p>
        </w:tc>
      </w:tr>
      <w:tr>
        <w:trPr>
          <w:trHeight w:val="379" w:hRule="atLeast"/>
        </w:trPr>
        <w:tc>
          <w:tcPr>
            <w:tcW w:w="3440" w:type="dxa"/>
            <w:vAlign w:val="top"/>
          </w:tcPr>
          <w:p>
            <w:pPr>
              <w:ind w:left="936"/>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523" w:type="dxa"/>
            <w:vAlign w:val="top"/>
          </w:tcPr>
          <w:p>
            <w:pPr>
              <w:ind w:left="1099"/>
              <w:spacing w:before="141" w:line="191" w:lineRule="auto"/>
              <w:rPr>
                <w:rFonts w:ascii="SimSun" w:hAnsi="SimSun" w:eastAsia="SimSun" w:cs="SimSun"/>
                <w:sz w:val="15"/>
                <w:szCs w:val="15"/>
              </w:rPr>
            </w:pPr>
            <w:r>
              <w:rPr>
                <w:rFonts w:ascii="SimSun" w:hAnsi="SimSun" w:eastAsia="SimSun" w:cs="SimSun"/>
                <w:sz w:val="15"/>
                <w:szCs w:val="15"/>
                <w:color w:val="212529"/>
                <w:spacing w:val="2"/>
              </w:rPr>
              <w:t>11.00</w:t>
            </w:r>
          </w:p>
        </w:tc>
        <w:tc>
          <w:tcPr>
            <w:tcW w:w="1436" w:type="dxa"/>
            <w:vAlign w:val="top"/>
          </w:tcPr>
          <w:p>
            <w:pPr>
              <w:ind w:right="22"/>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11.00</w:t>
            </w:r>
          </w:p>
        </w:tc>
        <w:tc>
          <w:tcPr>
            <w:tcW w:w="1361" w:type="dxa"/>
            <w:vAlign w:val="top"/>
          </w:tcPr>
          <w:p>
            <w:pPr>
              <w:pStyle w:val="TableText"/>
              <w:rPr/>
            </w:pPr>
            <w:r/>
          </w:p>
        </w:tc>
        <w:tc>
          <w:tcPr>
            <w:tcW w:w="1398" w:type="dxa"/>
            <w:vAlign w:val="top"/>
          </w:tcPr>
          <w:p>
            <w:pPr>
              <w:pStyle w:val="TableText"/>
              <w:rPr/>
            </w:pPr>
            <w:r/>
          </w:p>
        </w:tc>
      </w:tr>
      <w:tr>
        <w:trPr>
          <w:trHeight w:val="384" w:hRule="atLeast"/>
        </w:trPr>
        <w:tc>
          <w:tcPr>
            <w:tcW w:w="3440" w:type="dxa"/>
            <w:vAlign w:val="top"/>
          </w:tcPr>
          <w:p>
            <w:pPr>
              <w:ind w:left="1546"/>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23" w:type="dxa"/>
            <w:vAlign w:val="top"/>
          </w:tcPr>
          <w:p>
            <w:pPr>
              <w:ind w:left="1086"/>
              <w:spacing w:before="142" w:line="190" w:lineRule="auto"/>
              <w:rPr>
                <w:rFonts w:ascii="SimSun" w:hAnsi="SimSun" w:eastAsia="SimSun" w:cs="SimSun"/>
                <w:sz w:val="15"/>
                <w:szCs w:val="15"/>
              </w:rPr>
            </w:pPr>
            <w:r>
              <w:rPr>
                <w:rFonts w:ascii="SimSun" w:hAnsi="SimSun" w:eastAsia="SimSun" w:cs="SimSun"/>
                <w:sz w:val="15"/>
                <w:szCs w:val="15"/>
                <w:color w:val="212529"/>
                <w:spacing w:val="4"/>
              </w:rPr>
              <w:t>43.00</w:t>
            </w:r>
          </w:p>
        </w:tc>
        <w:tc>
          <w:tcPr>
            <w:tcW w:w="1436" w:type="dxa"/>
            <w:vAlign w:val="top"/>
          </w:tcPr>
          <w:p>
            <w:pPr>
              <w:ind w:right="22"/>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43.00</w:t>
            </w:r>
          </w:p>
        </w:tc>
        <w:tc>
          <w:tcPr>
            <w:tcW w:w="1361" w:type="dxa"/>
            <w:vAlign w:val="top"/>
          </w:tcPr>
          <w:p>
            <w:pPr>
              <w:pStyle w:val="TableText"/>
              <w:rPr/>
            </w:pPr>
            <w:r/>
          </w:p>
        </w:tc>
        <w:tc>
          <w:tcPr>
            <w:tcW w:w="1398" w:type="dxa"/>
            <w:vAlign w:val="top"/>
          </w:tcPr>
          <w:p>
            <w:pPr>
              <w:pStyle w:val="TableText"/>
              <w:rPr/>
            </w:pPr>
            <w:r/>
          </w:p>
        </w:tc>
      </w:tr>
    </w:tbl>
    <w:p>
      <w:pPr>
        <w:pStyle w:val="BodyText"/>
        <w:rPr/>
      </w:pPr>
      <w:r/>
    </w:p>
    <w:p>
      <w:pPr>
        <w:sectPr>
          <w:headerReference w:type="default" r:id="rId5"/>
          <w:footerReference w:type="default" r:id="rId25"/>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61"/>
            <w:bookmarkEnd w:id="61"/>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6"/>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ind w:left="113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63"/>
            <w:bookmarkEnd w:id="63"/>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19"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939" w:type="dxa"/>
            <w:vAlign w:val="top"/>
            <w:gridSpan w:val="2"/>
            <w:tcBorders>
              <w:top w:val="single" w:color="FFFFFF" w:sz="4" w:space="0"/>
              <w:left w:val="single" w:color="FFFFFF" w:sz="2" w:space="0"/>
              <w:right w:val="single" w:color="FFFFFF" w:sz="2" w:space="0"/>
            </w:tcBorders>
          </w:tcPr>
          <w:p>
            <w:pPr>
              <w:ind w:left="1266"/>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02" w:type="dxa"/>
            <w:vAlign w:val="top"/>
            <w:vMerge w:val="restart"/>
            <w:tcBorders>
              <w:bottom w:val="nil"/>
            </w:tcBorders>
          </w:tcPr>
          <w:p>
            <w:pPr>
              <w:ind w:left="1065"/>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378" w:right="51" w:hanging="329"/>
              <w:spacing w:before="215"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59" w:type="dxa"/>
            <w:vAlign w:val="top"/>
            <w:vMerge w:val="restart"/>
            <w:tcBorders>
              <w:bottom w:val="nil"/>
            </w:tcBorders>
          </w:tcPr>
          <w:p>
            <w:pPr>
              <w:ind w:left="96"/>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533" w:right="61" w:hanging="466"/>
              <w:spacing w:before="19"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9" w:hRule="atLeast"/>
        </w:trPr>
        <w:tc>
          <w:tcPr>
            <w:tcW w:w="2802" w:type="dxa"/>
            <w:vAlign w:val="top"/>
          </w:tcPr>
          <w:p>
            <w:pPr>
              <w:ind w:left="1363"/>
              <w:spacing w:before="133" w:line="191" w:lineRule="auto"/>
              <w:rPr>
                <w:rFonts w:ascii="SimSun" w:hAnsi="SimSun" w:eastAsia="SimSun" w:cs="SimSun"/>
                <w:sz w:val="15"/>
                <w:szCs w:val="15"/>
              </w:rPr>
            </w:pPr>
            <w:r>
              <w:rPr>
                <w:rFonts w:ascii="SimSun" w:hAnsi="SimSun" w:eastAsia="SimSun" w:cs="SimSun"/>
                <w:sz w:val="15"/>
                <w:szCs w:val="15"/>
                <w:color w:val="212529"/>
              </w:rPr>
              <w:t>1</w:t>
            </w:r>
          </w:p>
        </w:tc>
        <w:tc>
          <w:tcPr>
            <w:tcW w:w="1166" w:type="dxa"/>
            <w:vAlign w:val="top"/>
          </w:tcPr>
          <w:p>
            <w:pPr>
              <w:ind w:left="536"/>
              <w:spacing w:before="134" w:line="190" w:lineRule="auto"/>
              <w:rPr>
                <w:rFonts w:ascii="SimSun" w:hAnsi="SimSun" w:eastAsia="SimSun" w:cs="SimSun"/>
                <w:sz w:val="15"/>
                <w:szCs w:val="15"/>
              </w:rPr>
            </w:pPr>
            <w:r>
              <w:rPr>
                <w:rFonts w:ascii="SimSun" w:hAnsi="SimSun" w:eastAsia="SimSun" w:cs="SimSun"/>
                <w:sz w:val="15"/>
                <w:szCs w:val="15"/>
                <w:color w:val="212529"/>
              </w:rPr>
              <w:t>2</w:t>
            </w:r>
          </w:p>
        </w:tc>
        <w:tc>
          <w:tcPr>
            <w:tcW w:w="1166" w:type="dxa"/>
            <w:vAlign w:val="top"/>
          </w:tcPr>
          <w:p>
            <w:pPr>
              <w:ind w:left="538"/>
              <w:spacing w:before="134" w:line="190" w:lineRule="auto"/>
              <w:rPr>
                <w:rFonts w:ascii="SimSun" w:hAnsi="SimSun" w:eastAsia="SimSun" w:cs="SimSun"/>
                <w:sz w:val="15"/>
                <w:szCs w:val="15"/>
              </w:rPr>
            </w:pPr>
            <w:r>
              <w:rPr>
                <w:rFonts w:ascii="SimSun" w:hAnsi="SimSun" w:eastAsia="SimSun" w:cs="SimSun"/>
                <w:sz w:val="15"/>
                <w:szCs w:val="15"/>
                <w:color w:val="212529"/>
              </w:rPr>
              <w:t>3</w:t>
            </w:r>
          </w:p>
        </w:tc>
        <w:tc>
          <w:tcPr>
            <w:tcW w:w="832" w:type="dxa"/>
            <w:vAlign w:val="top"/>
          </w:tcPr>
          <w:p>
            <w:pPr>
              <w:ind w:left="367"/>
              <w:spacing w:before="134" w:line="190" w:lineRule="auto"/>
              <w:rPr>
                <w:rFonts w:ascii="SimSun" w:hAnsi="SimSun" w:eastAsia="SimSun" w:cs="SimSun"/>
                <w:sz w:val="15"/>
                <w:szCs w:val="15"/>
              </w:rPr>
            </w:pPr>
            <w:r>
              <w:rPr>
                <w:rFonts w:ascii="SimSun" w:hAnsi="SimSun" w:eastAsia="SimSun" w:cs="SimSun"/>
                <w:sz w:val="15"/>
                <w:szCs w:val="15"/>
                <w:color w:val="212529"/>
              </w:rPr>
              <w:t>4</w:t>
            </w:r>
          </w:p>
        </w:tc>
        <w:tc>
          <w:tcPr>
            <w:tcW w:w="1253" w:type="dxa"/>
            <w:vAlign w:val="top"/>
          </w:tcPr>
          <w:p>
            <w:pPr>
              <w:ind w:left="582"/>
              <w:spacing w:before="135" w:line="189" w:lineRule="auto"/>
              <w:rPr>
                <w:rFonts w:ascii="SimSun" w:hAnsi="SimSun" w:eastAsia="SimSun" w:cs="SimSun"/>
                <w:sz w:val="15"/>
                <w:szCs w:val="15"/>
              </w:rPr>
            </w:pPr>
            <w:r>
              <w:rPr>
                <w:rFonts w:ascii="SimSun" w:hAnsi="SimSun" w:eastAsia="SimSun" w:cs="SimSun"/>
                <w:sz w:val="15"/>
                <w:szCs w:val="15"/>
                <w:color w:val="212529"/>
              </w:rPr>
              <w:t>5</w:t>
            </w:r>
          </w:p>
        </w:tc>
        <w:tc>
          <w:tcPr>
            <w:tcW w:w="1080" w:type="dxa"/>
            <w:vAlign w:val="top"/>
          </w:tcPr>
          <w:p>
            <w:pPr>
              <w:ind w:left="496"/>
              <w:spacing w:before="134" w:line="190" w:lineRule="auto"/>
              <w:rPr>
                <w:rFonts w:ascii="SimSun" w:hAnsi="SimSun" w:eastAsia="SimSun" w:cs="SimSun"/>
                <w:sz w:val="15"/>
                <w:szCs w:val="15"/>
              </w:rPr>
            </w:pPr>
            <w:r>
              <w:rPr>
                <w:rFonts w:ascii="SimSun" w:hAnsi="SimSun" w:eastAsia="SimSun" w:cs="SimSun"/>
                <w:sz w:val="15"/>
                <w:szCs w:val="15"/>
                <w:color w:val="212529"/>
              </w:rPr>
              <w:t>6</w:t>
            </w:r>
          </w:p>
        </w:tc>
        <w:tc>
          <w:tcPr>
            <w:tcW w:w="859" w:type="dxa"/>
            <w:vAlign w:val="top"/>
          </w:tcPr>
          <w:p>
            <w:pPr>
              <w:ind w:left="387"/>
              <w:spacing w:before="135"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9" w:hRule="atLeast"/>
        </w:trPr>
        <w:tc>
          <w:tcPr>
            <w:tcW w:w="2802" w:type="dxa"/>
            <w:vAlign w:val="top"/>
          </w:tcPr>
          <w:p>
            <w:pPr>
              <w:ind w:left="7"/>
              <w:spacing w:before="110" w:line="229" w:lineRule="auto"/>
              <w:rPr>
                <w:rFonts w:ascii="SimSun" w:hAnsi="SimSun" w:eastAsia="SimSun" w:cs="SimSun"/>
                <w:sz w:val="15"/>
                <w:szCs w:val="15"/>
              </w:rPr>
            </w:pPr>
            <w:r>
              <w:rPr>
                <w:rFonts w:ascii="SimSun" w:hAnsi="SimSun" w:eastAsia="SimSun" w:cs="SimSun"/>
                <w:sz w:val="15"/>
                <w:szCs w:val="15"/>
                <w:color w:val="212529"/>
                <w:spacing w:val="11"/>
              </w:rPr>
              <w:t>长治高新区综合服务中心</w:t>
            </w:r>
          </w:p>
        </w:tc>
        <w:tc>
          <w:tcPr>
            <w:tcW w:w="1166"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166" w:type="dxa"/>
            <w:vAlign w:val="top"/>
          </w:tcPr>
          <w:p>
            <w:pPr>
              <w:ind w:right="20"/>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88"/>
              <w:spacing w:before="110" w:line="229" w:lineRule="auto"/>
              <w:rPr>
                <w:rFonts w:ascii="SimSun" w:hAnsi="SimSun" w:eastAsia="SimSun" w:cs="SimSun"/>
                <w:sz w:val="15"/>
                <w:szCs w:val="15"/>
              </w:rPr>
            </w:pPr>
            <w:r>
              <w:rPr>
                <w:rFonts w:ascii="SimSun" w:hAnsi="SimSun" w:eastAsia="SimSun" w:cs="SimSun"/>
                <w:sz w:val="15"/>
                <w:szCs w:val="15"/>
                <w:color w:val="212529"/>
                <w:spacing w:val="11"/>
              </w:rPr>
              <w:t>长治高新区综合服务中心</w:t>
            </w:r>
          </w:p>
        </w:tc>
        <w:tc>
          <w:tcPr>
            <w:tcW w:w="1166"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1166" w:type="dxa"/>
            <w:vAlign w:val="top"/>
          </w:tcPr>
          <w:p>
            <w:pPr>
              <w:ind w:right="20"/>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765.51</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综合服务中心-劳务派遣人员费用</w:t>
            </w:r>
          </w:p>
        </w:tc>
        <w:tc>
          <w:tcPr>
            <w:tcW w:w="1166"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395.00</w:t>
            </w:r>
          </w:p>
        </w:tc>
        <w:tc>
          <w:tcPr>
            <w:tcW w:w="1166" w:type="dxa"/>
            <w:vAlign w:val="top"/>
          </w:tcPr>
          <w:p>
            <w:pPr>
              <w:ind w:right="20"/>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395.00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10"/>
              </w:rPr>
              <w:t>综合服务中心-物业管理费</w:t>
            </w:r>
          </w:p>
        </w:tc>
        <w:tc>
          <w:tcPr>
            <w:tcW w:w="1166"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166" w:type="dxa"/>
            <w:vAlign w:val="top"/>
          </w:tcPr>
          <w:p>
            <w:pPr>
              <w:ind w:right="20"/>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 w:right="119" w:firstLine="164"/>
              <w:spacing w:before="24" w:line="212" w:lineRule="auto"/>
              <w:rPr>
                <w:rFonts w:ascii="SimSun" w:hAnsi="SimSun" w:eastAsia="SimSun" w:cs="SimSun"/>
                <w:sz w:val="15"/>
                <w:szCs w:val="15"/>
              </w:rPr>
            </w:pPr>
            <w:r>
              <w:rPr>
                <w:rFonts w:ascii="SimSun" w:hAnsi="SimSun" w:eastAsia="SimSun" w:cs="SimSun"/>
                <w:sz w:val="15"/>
                <w:szCs w:val="15"/>
                <w:color w:val="212529"/>
                <w:spacing w:val="11"/>
              </w:rPr>
              <w:t>综合服务中心-劳务派遣人员伙食补</w:t>
            </w:r>
            <w:r>
              <w:rPr>
                <w:rFonts w:ascii="SimSun" w:hAnsi="SimSun" w:eastAsia="SimSun" w:cs="SimSun"/>
                <w:sz w:val="15"/>
                <w:szCs w:val="15"/>
                <w:color w:val="212529"/>
              </w:rPr>
              <w:t xml:space="preserve"> </w:t>
            </w:r>
            <w:r>
              <w:rPr>
                <w:rFonts w:ascii="SimSun" w:hAnsi="SimSun" w:eastAsia="SimSun" w:cs="SimSun"/>
                <w:sz w:val="15"/>
                <w:szCs w:val="15"/>
                <w:color w:val="212529"/>
                <w:spacing w:val="2"/>
              </w:rPr>
              <w:t>助</w:t>
            </w:r>
          </w:p>
        </w:tc>
        <w:tc>
          <w:tcPr>
            <w:tcW w:w="1166"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166" w:type="dxa"/>
            <w:vAlign w:val="top"/>
          </w:tcPr>
          <w:p>
            <w:pPr>
              <w:ind w:right="20"/>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1" w:line="228" w:lineRule="auto"/>
              <w:rPr>
                <w:rFonts w:ascii="SimSun" w:hAnsi="SimSun" w:eastAsia="SimSun" w:cs="SimSun"/>
                <w:sz w:val="15"/>
                <w:szCs w:val="15"/>
              </w:rPr>
            </w:pPr>
            <w:r>
              <w:rPr>
                <w:rFonts w:ascii="SimSun" w:hAnsi="SimSun" w:eastAsia="SimSun" w:cs="SimSun"/>
                <w:sz w:val="15"/>
                <w:szCs w:val="15"/>
                <w:color w:val="212529"/>
                <w:spacing w:val="10"/>
              </w:rPr>
              <w:t>综合服务中心-24小时值班备勤补助</w:t>
            </w:r>
          </w:p>
        </w:tc>
        <w:tc>
          <w:tcPr>
            <w:tcW w:w="1166"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66" w:type="dxa"/>
            <w:vAlign w:val="top"/>
          </w:tcPr>
          <w:p>
            <w:pPr>
              <w:ind w:right="20"/>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10"/>
              </w:rPr>
              <w:t>综合服务中心-暖气费</w:t>
            </w:r>
          </w:p>
        </w:tc>
        <w:tc>
          <w:tcPr>
            <w:tcW w:w="1166" w:type="dxa"/>
            <w:vAlign w:val="top"/>
          </w:tcPr>
          <w:p>
            <w:pPr>
              <w:ind w:right="21"/>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2"/>
              </w:rPr>
              <w:t>18.00</w:t>
            </w:r>
          </w:p>
        </w:tc>
        <w:tc>
          <w:tcPr>
            <w:tcW w:w="1166" w:type="dxa"/>
            <w:vAlign w:val="top"/>
          </w:tcPr>
          <w:p>
            <w:pPr>
              <w:ind w:right="20"/>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2"/>
              </w:rPr>
              <w:t>18.00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10"/>
              </w:rPr>
              <w:t>综合服务中心-水费</w:t>
            </w:r>
          </w:p>
        </w:tc>
        <w:tc>
          <w:tcPr>
            <w:tcW w:w="1166" w:type="dxa"/>
            <w:vAlign w:val="top"/>
          </w:tcPr>
          <w:p>
            <w:pPr>
              <w:ind w:right="21"/>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166" w:type="dxa"/>
            <w:vAlign w:val="top"/>
          </w:tcPr>
          <w:p>
            <w:pPr>
              <w:ind w:right="20"/>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10"/>
              </w:rPr>
              <w:t>综合服务中心-电费</w:t>
            </w:r>
          </w:p>
        </w:tc>
        <w:tc>
          <w:tcPr>
            <w:tcW w:w="1166"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8.00</w:t>
            </w:r>
          </w:p>
        </w:tc>
        <w:tc>
          <w:tcPr>
            <w:tcW w:w="1166" w:type="dxa"/>
            <w:vAlign w:val="top"/>
          </w:tcPr>
          <w:p>
            <w:pPr>
              <w:ind w:right="20"/>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8.00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0"/>
              </w:rPr>
              <w:t>综合服务中心-维修维护费</w:t>
            </w:r>
          </w:p>
        </w:tc>
        <w:tc>
          <w:tcPr>
            <w:tcW w:w="1166"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166" w:type="dxa"/>
            <w:vAlign w:val="top"/>
          </w:tcPr>
          <w:p>
            <w:pPr>
              <w:ind w:right="20"/>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0"/>
              </w:rPr>
              <w:t>综合服务中心-法律顾问费</w:t>
            </w:r>
          </w:p>
        </w:tc>
        <w:tc>
          <w:tcPr>
            <w:tcW w:w="1166" w:type="dxa"/>
            <w:vAlign w:val="top"/>
          </w:tcPr>
          <w:p>
            <w:pPr>
              <w:ind w:right="21"/>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166" w:type="dxa"/>
            <w:vAlign w:val="top"/>
          </w:tcPr>
          <w:p>
            <w:pPr>
              <w:ind w:right="20"/>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551" w:hRule="atLeast"/>
        </w:trPr>
        <w:tc>
          <w:tcPr>
            <w:tcW w:w="2802" w:type="dxa"/>
            <w:vAlign w:val="top"/>
          </w:tcPr>
          <w:p>
            <w:pPr>
              <w:ind w:left="28" w:right="119" w:firstLine="145"/>
              <w:spacing w:before="17" w:line="226" w:lineRule="auto"/>
              <w:rPr>
                <w:rFonts w:ascii="SimSun" w:hAnsi="SimSun" w:eastAsia="SimSun" w:cs="SimSun"/>
                <w:sz w:val="15"/>
                <w:szCs w:val="15"/>
              </w:rPr>
            </w:pPr>
            <w:r>
              <w:rPr>
                <w:rFonts w:ascii="SimSun" w:hAnsi="SimSun" w:eastAsia="SimSun" w:cs="SimSun"/>
                <w:sz w:val="15"/>
                <w:szCs w:val="15"/>
                <w:color w:val="212529"/>
                <w:spacing w:val="10"/>
              </w:rPr>
              <w:t>高新区综合服务中心-拆除及清理压</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10"/>
              </w:rPr>
              <w:t>占长治机场净空和场站输油管道建</w:t>
            </w:r>
          </w:p>
          <w:p>
            <w:pPr>
              <w:ind w:left="15"/>
              <w:spacing w:line="192" w:lineRule="auto"/>
              <w:rPr>
                <w:rFonts w:ascii="SimSun" w:hAnsi="SimSun" w:eastAsia="SimSun" w:cs="SimSun"/>
                <w:sz w:val="15"/>
                <w:szCs w:val="15"/>
              </w:rPr>
            </w:pPr>
            <w:r>
              <w:rPr>
                <w:rFonts w:ascii="SimSun" w:hAnsi="SimSun" w:eastAsia="SimSun" w:cs="SimSun"/>
                <w:sz w:val="15"/>
                <w:szCs w:val="15"/>
                <w:color w:val="212529"/>
                <w:spacing w:val="8"/>
              </w:rPr>
              <w:t>（构）筑物</w:t>
            </w:r>
          </w:p>
        </w:tc>
        <w:tc>
          <w:tcPr>
            <w:tcW w:w="1166" w:type="dxa"/>
            <w:vAlign w:val="top"/>
          </w:tcPr>
          <w:p>
            <w:pPr>
              <w:ind w:right="21"/>
              <w:spacing w:before="225" w:line="190" w:lineRule="auto"/>
              <w:jc w:val="right"/>
              <w:rPr>
                <w:rFonts w:ascii="SimSun" w:hAnsi="SimSun" w:eastAsia="SimSun" w:cs="SimSun"/>
                <w:sz w:val="15"/>
                <w:szCs w:val="15"/>
              </w:rPr>
            </w:pPr>
            <w:r>
              <w:rPr>
                <w:rFonts w:ascii="SimSun" w:hAnsi="SimSun" w:eastAsia="SimSun" w:cs="SimSun"/>
                <w:sz w:val="15"/>
                <w:szCs w:val="15"/>
                <w:color w:val="212529"/>
                <w:spacing w:val="3"/>
              </w:rPr>
              <w:t>3.60</w:t>
            </w:r>
          </w:p>
        </w:tc>
        <w:tc>
          <w:tcPr>
            <w:tcW w:w="1166" w:type="dxa"/>
            <w:vAlign w:val="top"/>
          </w:tcPr>
          <w:p>
            <w:pPr>
              <w:ind w:right="20"/>
              <w:spacing w:before="225" w:line="190" w:lineRule="auto"/>
              <w:jc w:val="right"/>
              <w:rPr>
                <w:rFonts w:ascii="SimSun" w:hAnsi="SimSun" w:eastAsia="SimSun" w:cs="SimSun"/>
                <w:sz w:val="15"/>
                <w:szCs w:val="15"/>
              </w:rPr>
            </w:pPr>
            <w:r>
              <w:rPr>
                <w:rFonts w:ascii="SimSun" w:hAnsi="SimSun" w:eastAsia="SimSun" w:cs="SimSun"/>
                <w:sz w:val="15"/>
                <w:szCs w:val="15"/>
                <w:color w:val="212529"/>
                <w:spacing w:val="3"/>
              </w:rPr>
              <w:t>3.60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10"/>
              </w:rPr>
              <w:t>综合服务中心-执法服装购置费</w:t>
            </w:r>
          </w:p>
        </w:tc>
        <w:tc>
          <w:tcPr>
            <w:tcW w:w="1166"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50.00</w:t>
            </w:r>
          </w:p>
        </w:tc>
        <w:tc>
          <w:tcPr>
            <w:tcW w:w="1166" w:type="dxa"/>
            <w:vAlign w:val="top"/>
          </w:tcPr>
          <w:p>
            <w:pPr>
              <w:ind w:right="20"/>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 w:right="119"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1"/>
              </w:rPr>
              <w:t>综合服务中心-油烟在线监测平台建</w:t>
            </w:r>
            <w:r>
              <w:rPr>
                <w:rFonts w:ascii="SimSun" w:hAnsi="SimSun" w:eastAsia="SimSun" w:cs="SimSun"/>
                <w:sz w:val="15"/>
                <w:szCs w:val="15"/>
                <w:color w:val="212529"/>
              </w:rPr>
              <w:t xml:space="preserve"> </w:t>
            </w:r>
            <w:r>
              <w:rPr>
                <w:rFonts w:ascii="SimSun" w:hAnsi="SimSun" w:eastAsia="SimSun" w:cs="SimSun"/>
                <w:sz w:val="15"/>
                <w:szCs w:val="15"/>
                <w:color w:val="212529"/>
                <w:spacing w:val="9"/>
              </w:rPr>
              <w:t>设及维护费</w:t>
            </w:r>
          </w:p>
        </w:tc>
        <w:tc>
          <w:tcPr>
            <w:tcW w:w="1166" w:type="dxa"/>
            <w:vAlign w:val="top"/>
          </w:tcPr>
          <w:p>
            <w:pPr>
              <w:ind w:right="21"/>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4"/>
              </w:rPr>
              <w:t>61.27</w:t>
            </w:r>
          </w:p>
        </w:tc>
        <w:tc>
          <w:tcPr>
            <w:tcW w:w="1166" w:type="dxa"/>
            <w:vAlign w:val="top"/>
          </w:tcPr>
          <w:p>
            <w:pPr>
              <w:ind w:right="20"/>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4"/>
              </w:rPr>
              <w:t>61.27</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9"/>
              </w:rPr>
              <w:t>综合服务中心-20M宽带费</w:t>
            </w:r>
          </w:p>
        </w:tc>
        <w:tc>
          <w:tcPr>
            <w:tcW w:w="1166"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2.20</w:t>
            </w:r>
          </w:p>
        </w:tc>
        <w:tc>
          <w:tcPr>
            <w:tcW w:w="1166" w:type="dxa"/>
            <w:vAlign w:val="top"/>
          </w:tcPr>
          <w:p>
            <w:pPr>
              <w:ind w:right="20"/>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2.20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1" w:right="119" w:firstLine="159"/>
              <w:spacing w:before="29" w:line="209" w:lineRule="auto"/>
              <w:rPr>
                <w:rFonts w:ascii="SimSun" w:hAnsi="SimSun" w:eastAsia="SimSun" w:cs="SimSun"/>
                <w:sz w:val="15"/>
                <w:szCs w:val="15"/>
              </w:rPr>
            </w:pPr>
            <w:r>
              <w:rPr>
                <w:rFonts w:ascii="SimSun" w:hAnsi="SimSun" w:eastAsia="SimSun" w:cs="SimSun"/>
                <w:sz w:val="15"/>
                <w:szCs w:val="15"/>
                <w:color w:val="212529"/>
                <w:spacing w:val="11"/>
              </w:rPr>
              <w:t>综合服务中心-公益岗人员经费（办</w:t>
            </w:r>
            <w:r>
              <w:rPr>
                <w:rFonts w:ascii="SimSun" w:hAnsi="SimSun" w:eastAsia="SimSun" w:cs="SimSun"/>
                <w:sz w:val="15"/>
                <w:szCs w:val="15"/>
                <w:color w:val="212529"/>
              </w:rPr>
              <w:t xml:space="preserve"> </w:t>
            </w:r>
            <w:r>
              <w:rPr>
                <w:rFonts w:ascii="SimSun" w:hAnsi="SimSun" w:eastAsia="SimSun" w:cs="SimSun"/>
                <w:sz w:val="15"/>
                <w:szCs w:val="15"/>
                <w:color w:val="212529"/>
                <w:spacing w:val="3"/>
              </w:rPr>
              <w:t>公费）</w:t>
            </w:r>
          </w:p>
        </w:tc>
        <w:tc>
          <w:tcPr>
            <w:tcW w:w="1166" w:type="dxa"/>
            <w:vAlign w:val="top"/>
          </w:tcPr>
          <w:p>
            <w:pPr>
              <w:ind w:right="21"/>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0.90</w:t>
            </w:r>
          </w:p>
        </w:tc>
        <w:tc>
          <w:tcPr>
            <w:tcW w:w="1166" w:type="dxa"/>
            <w:vAlign w:val="top"/>
          </w:tcPr>
          <w:p>
            <w:pPr>
              <w:ind w:right="20"/>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0.90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5" w:right="281"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综合服务中心-劳务派遣人员经费</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6"/>
              </w:rPr>
              <w:t>（办公费）</w:t>
            </w:r>
          </w:p>
        </w:tc>
        <w:tc>
          <w:tcPr>
            <w:tcW w:w="1166"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1.50</w:t>
            </w:r>
          </w:p>
        </w:tc>
        <w:tc>
          <w:tcPr>
            <w:tcW w:w="1166" w:type="dxa"/>
            <w:vAlign w:val="top"/>
          </w:tcPr>
          <w:p>
            <w:pPr>
              <w:ind w:right="20"/>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1.50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 w:right="37"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综合服务中心-劳务派遣人员经费(差</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7"/>
              </w:rPr>
              <w:t>旅费)</w:t>
            </w:r>
          </w:p>
        </w:tc>
        <w:tc>
          <w:tcPr>
            <w:tcW w:w="1166" w:type="dxa"/>
            <w:vAlign w:val="top"/>
          </w:tcPr>
          <w:p>
            <w:pPr>
              <w:ind w:right="21"/>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166" w:type="dxa"/>
            <w:vAlign w:val="top"/>
          </w:tcPr>
          <w:p>
            <w:pPr>
              <w:ind w:right="20"/>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5" w:right="281" w:firstLine="155"/>
              <w:spacing w:before="31" w:line="208"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综合服务中心-劳务派遣人员经费</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7"/>
              </w:rPr>
              <w:t>（印刷宣传费）</w:t>
            </w:r>
          </w:p>
        </w:tc>
        <w:tc>
          <w:tcPr>
            <w:tcW w:w="1166" w:type="dxa"/>
            <w:vAlign w:val="top"/>
          </w:tcPr>
          <w:p>
            <w:pPr>
              <w:ind w:right="21"/>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166" w:type="dxa"/>
            <w:vAlign w:val="top"/>
          </w:tcPr>
          <w:p>
            <w:pPr>
              <w:ind w:right="20"/>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5" w:right="281" w:firstLine="155"/>
              <w:spacing w:before="31" w:line="208"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综合服务中心-劳务派遣人员经费</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7"/>
              </w:rPr>
              <w:t>（车辆运行费）</w:t>
            </w:r>
          </w:p>
        </w:tc>
        <w:tc>
          <w:tcPr>
            <w:tcW w:w="1166" w:type="dxa"/>
            <w:vAlign w:val="top"/>
          </w:tcPr>
          <w:p>
            <w:pPr>
              <w:ind w:right="21"/>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3.50</w:t>
            </w:r>
          </w:p>
        </w:tc>
        <w:tc>
          <w:tcPr>
            <w:tcW w:w="1166" w:type="dxa"/>
            <w:vAlign w:val="top"/>
          </w:tcPr>
          <w:p>
            <w:pPr>
              <w:ind w:right="20"/>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3.50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5" w:right="281" w:firstLine="155"/>
              <w:spacing w:before="30" w:line="208" w:lineRule="auto"/>
              <w:rPr>
                <w:rFonts w:ascii="SimSun" w:hAnsi="SimSun" w:eastAsia="SimSun" w:cs="SimSun"/>
                <w:sz w:val="15"/>
                <w:szCs w:val="15"/>
              </w:rPr>
            </w:pPr>
            <w:r>
              <w:rPr>
                <w:rFonts w:ascii="SimSun" w:hAnsi="SimSun" w:eastAsia="SimSun" w:cs="SimSun"/>
                <w:sz w:val="15"/>
                <w:szCs w:val="15"/>
                <w:color w:val="212529"/>
                <w:spacing w:val="10"/>
              </w:rPr>
              <w:t>综合服务中心-劳务派遣人员经费</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7"/>
              </w:rPr>
              <w:t>（车辆运行费1）</w:t>
            </w:r>
          </w:p>
        </w:tc>
        <w:tc>
          <w:tcPr>
            <w:tcW w:w="1166"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6.00</w:t>
            </w:r>
          </w:p>
        </w:tc>
        <w:tc>
          <w:tcPr>
            <w:tcW w:w="1166" w:type="dxa"/>
            <w:vAlign w:val="top"/>
          </w:tcPr>
          <w:p>
            <w:pPr>
              <w:ind w:right="20"/>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1166"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166" w:type="dxa"/>
            <w:vAlign w:val="top"/>
          </w:tcPr>
          <w:p>
            <w:pPr>
              <w:ind w:right="20"/>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66"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70.00</w:t>
            </w:r>
          </w:p>
        </w:tc>
        <w:tc>
          <w:tcPr>
            <w:tcW w:w="1166" w:type="dxa"/>
            <w:vAlign w:val="top"/>
          </w:tcPr>
          <w:p>
            <w:pPr>
              <w:ind w:right="20"/>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70.00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10"/>
              </w:rPr>
              <w:t>综合服务中心-婴幼儿保教费</w:t>
            </w:r>
          </w:p>
        </w:tc>
        <w:tc>
          <w:tcPr>
            <w:tcW w:w="1166"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2.54</w:t>
            </w:r>
          </w:p>
        </w:tc>
        <w:tc>
          <w:tcPr>
            <w:tcW w:w="1166" w:type="dxa"/>
            <w:vAlign w:val="top"/>
          </w:tcPr>
          <w:p>
            <w:pPr>
              <w:ind w:right="20"/>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2.54</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10"/>
              </w:rPr>
              <w:t>综合服务中心-执法车辆购置费</w:t>
            </w:r>
          </w:p>
        </w:tc>
        <w:tc>
          <w:tcPr>
            <w:tcW w:w="1166" w:type="dxa"/>
            <w:vAlign w:val="top"/>
          </w:tcPr>
          <w:p>
            <w:pPr>
              <w:ind w:right="21"/>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32.00</w:t>
            </w:r>
          </w:p>
        </w:tc>
        <w:tc>
          <w:tcPr>
            <w:tcW w:w="1166" w:type="dxa"/>
            <w:vAlign w:val="top"/>
          </w:tcPr>
          <w:p>
            <w:pPr>
              <w:ind w:right="20"/>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32.00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27"/>
          <w:footerReference w:type="default" r:id="rId28"/>
          <w:pgSz w:w="11900" w:h="16840"/>
          <w:pgMar w:top="611" w:right="0" w:bottom="312" w:left="0" w:header="357" w:footer="153" w:gutter="0"/>
        </w:sectPr>
        <w:rPr/>
      </w:pPr>
    </w:p>
    <w:p>
      <w:pPr>
        <w:spacing w:before="118"/>
        <w:rPr/>
      </w:pPr>
      <w:r/>
    </w:p>
    <w:p>
      <w:pPr>
        <w:spacing w:before="11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65"/>
            <w:bookmarkEnd w:id="65"/>
            <w:bookmarkStart w:name="bookmark18" w:id="66"/>
            <w:bookmarkEnd w:id="66"/>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部门名称：长治高新区综合服务中心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9"/>
          <w:pgSz w:w="11900" w:h="16840"/>
          <w:pgMar w:top="611" w:right="0" w:bottom="312" w:left="0" w:header="357" w:footer="153" w:gutter="0"/>
        </w:sectPr>
        <w:rPr/>
      </w:pPr>
    </w:p>
    <w:p>
      <w:pPr>
        <w:pStyle w:val="BodyText"/>
        <w:spacing w:line="347" w:lineRule="auto"/>
        <w:rPr/>
      </w:pPr>
      <w:r/>
    </w:p>
    <w:p>
      <w:pPr>
        <w:pStyle w:val="BodyText"/>
        <w:spacing w:line="348"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67"/>
      <w:bookmarkEnd w:id="67"/>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68"/>
      <w:bookmarkEnd w:id="68"/>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3" w:right="1223" w:firstLine="456"/>
        <w:spacing w:before="187" w:line="316"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2025年度长治高新区综合服务中心预算收入总计869.55万</w:t>
      </w:r>
      <w:r>
        <w:rPr>
          <w:rFonts w:ascii="FangSong" w:hAnsi="FangSong" w:eastAsia="FangSong" w:cs="FangSong"/>
          <w:sz w:val="23"/>
          <w:szCs w:val="23"/>
          <w:spacing w:val="4"/>
        </w:rPr>
        <w:t>元，其中：本年收入869.55万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元，上年结转0万元，比上年增加61.30万元，增长7.58%，主要原因是物业管理费和取暖费预</w:t>
      </w:r>
      <w:r>
        <w:rPr>
          <w:rFonts w:ascii="FangSong" w:hAnsi="FangSong" w:eastAsia="FangSong" w:cs="FangSong"/>
          <w:sz w:val="23"/>
          <w:szCs w:val="23"/>
          <w:spacing w:val="4"/>
        </w:rPr>
        <w:t xml:space="preserve"> </w:t>
      </w:r>
      <w:r>
        <w:rPr>
          <w:rFonts w:ascii="FangSong" w:hAnsi="FangSong" w:eastAsia="FangSong" w:cs="FangSong"/>
          <w:sz w:val="23"/>
          <w:szCs w:val="23"/>
          <w:spacing w:val="2"/>
        </w:rPr>
        <w:t>算增加；本年部门预算支出总计869.55万元，其中：本年预算安排869.55万元，上年结转0万</w:t>
      </w:r>
      <w:r>
        <w:rPr>
          <w:rFonts w:ascii="FangSong" w:hAnsi="FangSong" w:eastAsia="FangSong" w:cs="FangSong"/>
          <w:sz w:val="23"/>
          <w:szCs w:val="23"/>
          <w:spacing w:val="2"/>
        </w:rPr>
        <w:t xml:space="preserve"> </w:t>
      </w:r>
      <w:r>
        <w:rPr>
          <w:rFonts w:ascii="FangSong" w:hAnsi="FangSong" w:eastAsia="FangSong" w:cs="FangSong"/>
          <w:sz w:val="23"/>
          <w:szCs w:val="23"/>
        </w:rPr>
        <w:t>元，比上年增加61.30万元，增长7.58%，主要原因是物业管理费和取暖费预算增加</w:t>
      </w:r>
    </w:p>
    <w:p>
      <w:pPr>
        <w:ind w:left="1261"/>
        <w:spacing w:before="30" w:line="230" w:lineRule="exact"/>
        <w:outlineLvl w:val="1"/>
        <w:rPr>
          <w:rFonts w:ascii="Microsoft YaHei" w:hAnsi="Microsoft YaHei" w:eastAsia="Microsoft YaHei" w:cs="Microsoft YaHei"/>
          <w:sz w:val="22"/>
          <w:szCs w:val="22"/>
        </w:rPr>
      </w:pPr>
      <w:bookmarkStart w:name="bookmark21" w:id="69"/>
      <w:bookmarkEnd w:id="69"/>
      <w:r>
        <w:rPr>
          <w:rFonts w:ascii="Microsoft YaHei" w:hAnsi="Microsoft YaHei" w:eastAsia="Microsoft YaHei" w:cs="Microsoft YaHei"/>
          <w:sz w:val="22"/>
          <w:szCs w:val="22"/>
          <w:spacing w:val="8"/>
          <w:position w:val="-1"/>
        </w:rPr>
        <w:t>二、收入预算情况说明</w:t>
      </w:r>
    </w:p>
    <w:p>
      <w:pPr>
        <w:ind w:left="1263" w:right="1223" w:firstLine="456"/>
        <w:spacing w:before="176" w:line="317"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2025年度长治高新区综合服务中心预算收入869.55万元，主要包括一般公共预算拨款收</w:t>
      </w:r>
      <w:r>
        <w:rPr>
          <w:rFonts w:ascii="FangSong" w:hAnsi="FangSong" w:eastAsia="FangSong" w:cs="FangSong"/>
          <w:sz w:val="23"/>
          <w:szCs w:val="23"/>
        </w:rPr>
        <w:t xml:space="preserve"> </w:t>
      </w:r>
      <w:r>
        <w:rPr>
          <w:rFonts w:ascii="FangSong" w:hAnsi="FangSong" w:eastAsia="FangSong" w:cs="FangSong"/>
          <w:sz w:val="23"/>
          <w:szCs w:val="23"/>
          <w:spacing w:val="1"/>
        </w:rPr>
        <w:t>入869.55万元，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w:t>
      </w:r>
      <w:r>
        <w:rPr>
          <w:rFonts w:ascii="FangSong" w:hAnsi="FangSong" w:eastAsia="FangSong" w:cs="FangSong"/>
          <w:sz w:val="23"/>
          <w:szCs w:val="23"/>
        </w:rPr>
        <w:t>资本经营预算拨款</w:t>
      </w:r>
      <w:r>
        <w:rPr>
          <w:rFonts w:ascii="FangSong" w:hAnsi="FangSong" w:eastAsia="FangSong" w:cs="FangSong"/>
          <w:sz w:val="23"/>
          <w:szCs w:val="23"/>
        </w:rPr>
        <w:t xml:space="preserve"> </w:t>
      </w:r>
      <w:r>
        <w:rPr>
          <w:rFonts w:ascii="FangSong" w:hAnsi="FangSong" w:eastAsia="FangSong" w:cs="FangSong"/>
          <w:sz w:val="23"/>
          <w:szCs w:val="23"/>
          <w:spacing w:val="1"/>
        </w:rPr>
        <w:t>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w:t>
      </w:r>
      <w:r>
        <w:rPr>
          <w:rFonts w:ascii="FangSong" w:hAnsi="FangSong" w:eastAsia="FangSong" w:cs="FangSong"/>
          <w:sz w:val="23"/>
          <w:szCs w:val="23"/>
        </w:rPr>
        <w:t>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w:t>
      </w:r>
      <w:r>
        <w:rPr>
          <w:rFonts w:ascii="FangSong" w:hAnsi="FangSong" w:eastAsia="FangSong" w:cs="FangSong"/>
          <w:sz w:val="23"/>
          <w:szCs w:val="23"/>
        </w:rPr>
        <w:t xml:space="preserve"> </w:t>
      </w:r>
      <w:r>
        <w:rPr>
          <w:rFonts w:ascii="FangSong" w:hAnsi="FangSong" w:eastAsia="FangSong" w:cs="FangSong"/>
          <w:sz w:val="23"/>
          <w:szCs w:val="23"/>
          <w:spacing w:val="-10"/>
        </w:rPr>
        <w:t>万元，</w:t>
      </w:r>
      <w:r>
        <w:rPr>
          <w:rFonts w:ascii="FangSong" w:hAnsi="FangSong" w:eastAsia="FangSong" w:cs="FangSong"/>
          <w:sz w:val="23"/>
          <w:szCs w:val="23"/>
          <w:spacing w:val="-59"/>
        </w:rPr>
        <w:t xml:space="preserve"> </w:t>
      </w:r>
      <w:r>
        <w:rPr>
          <w:rFonts w:ascii="FangSong" w:hAnsi="FangSong" w:eastAsia="FangSong" w:cs="FangSong"/>
          <w:sz w:val="23"/>
          <w:szCs w:val="23"/>
          <w:spacing w:val="-10"/>
        </w:rPr>
        <w:t>占0%。</w:t>
      </w:r>
    </w:p>
    <w:p>
      <w:pPr>
        <w:pStyle w:val="BodyText"/>
        <w:spacing w:line="256" w:lineRule="auto"/>
        <w:rPr/>
      </w:pPr>
      <w:r/>
    </w:p>
    <w:p>
      <w:pPr>
        <w:pStyle w:val="BodyText"/>
        <w:spacing w:line="256" w:lineRule="auto"/>
        <w:rPr/>
      </w:pPr>
      <w:r/>
    </w:p>
    <w:p>
      <w:pPr>
        <w:ind w:firstLine="3545"/>
        <w:spacing w:before="1" w:line="3093" w:lineRule="exact"/>
        <w:rPr/>
      </w:pPr>
      <w:r>
        <w:rPr>
          <w:position w:val="-61"/>
        </w:rPr>
        <w:drawing>
          <wp:inline distT="0" distB="0" distL="0" distR="0">
            <wp:extent cx="2435202" cy="1964531"/>
            <wp:effectExtent l="0" t="0" r="0" b="0"/>
            <wp:docPr id="4" name="IM 4"/>
            <wp:cNvGraphicFramePr/>
            <a:graphic>
              <a:graphicData uri="http://schemas.openxmlformats.org/drawingml/2006/picture">
                <pic:pic>
                  <pic:nvPicPr>
                    <pic:cNvPr id="4" name="IM 4"/>
                    <pic:cNvPicPr/>
                  </pic:nvPicPr>
                  <pic:blipFill>
                    <a:blip r:embed="rId32"/>
                    <a:stretch>
                      <a:fillRect/>
                    </a:stretch>
                  </pic:blipFill>
                  <pic:spPr>
                    <a:xfrm rot="0">
                      <a:off x="0" y="0"/>
                      <a:ext cx="2435202" cy="1964531"/>
                    </a:xfrm>
                    <a:prstGeom prst="rect">
                      <a:avLst/>
                    </a:prstGeom>
                  </pic:spPr>
                </pic:pic>
              </a:graphicData>
            </a:graphic>
          </wp:inline>
        </w:drawing>
      </w:r>
    </w:p>
    <w:p>
      <w:pPr>
        <w:ind w:left="1262"/>
        <w:spacing w:before="319" w:line="230" w:lineRule="exact"/>
        <w:outlineLvl w:val="1"/>
        <w:rPr>
          <w:rFonts w:ascii="Microsoft YaHei" w:hAnsi="Microsoft YaHei" w:eastAsia="Microsoft YaHei" w:cs="Microsoft YaHei"/>
          <w:sz w:val="22"/>
          <w:szCs w:val="22"/>
        </w:rPr>
      </w:pPr>
      <w:bookmarkStart w:name="bookmark22" w:id="70"/>
      <w:bookmarkEnd w:id="70"/>
      <w:r>
        <w:rPr>
          <w:rFonts w:ascii="Microsoft YaHei" w:hAnsi="Microsoft YaHei" w:eastAsia="Microsoft YaHei" w:cs="Microsoft YaHei"/>
          <w:sz w:val="22"/>
          <w:szCs w:val="22"/>
          <w:spacing w:val="7"/>
          <w:position w:val="-1"/>
        </w:rPr>
        <w:t>三、支出预算情况说明</w:t>
      </w:r>
    </w:p>
    <w:p>
      <w:pPr>
        <w:ind w:left="1303" w:right="1271" w:firstLine="417"/>
        <w:spacing w:before="174" w:line="306" w:lineRule="auto"/>
        <w:rPr>
          <w:rFonts w:ascii="FangSong" w:hAnsi="FangSong" w:eastAsia="FangSong" w:cs="FangSong"/>
          <w:sz w:val="23"/>
          <w:szCs w:val="23"/>
        </w:rPr>
      </w:pPr>
      <w:r>
        <w:rPr>
          <w:rFonts w:ascii="FangSong" w:hAnsi="FangSong" w:eastAsia="FangSong" w:cs="FangSong"/>
          <w:sz w:val="23"/>
          <w:szCs w:val="23"/>
          <w:spacing w:val="4"/>
        </w:rPr>
        <w:t>2025年度长治高新区综合服务中心支出预算869.55万</w:t>
      </w:r>
      <w:r>
        <w:rPr>
          <w:rFonts w:ascii="FangSong" w:hAnsi="FangSong" w:eastAsia="FangSong" w:cs="FangSong"/>
          <w:sz w:val="23"/>
          <w:szCs w:val="23"/>
          <w:spacing w:val="3"/>
        </w:rPr>
        <w:t>元，其中：基本支出104.04万元，</w:t>
      </w:r>
      <w:r>
        <w:rPr>
          <w:rFonts w:ascii="FangSong" w:hAnsi="FangSong" w:eastAsia="FangSong" w:cs="FangSong"/>
          <w:sz w:val="23"/>
          <w:szCs w:val="23"/>
        </w:rPr>
        <w:t xml:space="preserve"> </w:t>
      </w:r>
      <w:r>
        <w:rPr>
          <w:rFonts w:ascii="FangSong" w:hAnsi="FangSong" w:eastAsia="FangSong" w:cs="FangSong"/>
          <w:sz w:val="23"/>
          <w:szCs w:val="23"/>
          <w:spacing w:val="-4"/>
        </w:rPr>
        <w:t>占11.96%；项目支出765.51万元，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占88.04%。</w:t>
      </w:r>
    </w:p>
    <w:p>
      <w:pPr>
        <w:ind w:left="1271"/>
        <w:spacing w:before="44" w:line="230" w:lineRule="exact"/>
        <w:outlineLvl w:val="1"/>
        <w:rPr>
          <w:rFonts w:ascii="Microsoft YaHei" w:hAnsi="Microsoft YaHei" w:eastAsia="Microsoft YaHei" w:cs="Microsoft YaHei"/>
          <w:sz w:val="22"/>
          <w:szCs w:val="22"/>
        </w:rPr>
      </w:pPr>
      <w:bookmarkStart w:name="bookmark23" w:id="71"/>
      <w:bookmarkEnd w:id="71"/>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2" w:line="318"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2025年度长治高新区综合服务中心财政拨款收支总预算869.55万元。其中：一般公共预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算拨款869.55万元，政府性基金预算拨款0万元，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5"/>
        </w:rPr>
        <w:t>拨款收入869.55万元，上年结转收入0万元。支出包括</w:t>
      </w:r>
      <w:r>
        <w:rPr>
          <w:rFonts w:ascii="FangSong" w:hAnsi="FangSong" w:eastAsia="FangSong" w:cs="FangSong"/>
          <w:sz w:val="23"/>
          <w:szCs w:val="23"/>
          <w:spacing w:val="4"/>
        </w:rPr>
        <w:t>：一般公共服务支出67.59万元、社会</w:t>
      </w:r>
      <w:r>
        <w:rPr>
          <w:rFonts w:ascii="FangSong" w:hAnsi="FangSong" w:eastAsia="FangSong" w:cs="FangSong"/>
          <w:sz w:val="23"/>
          <w:szCs w:val="23"/>
        </w:rPr>
        <w:t xml:space="preserve"> </w:t>
      </w:r>
      <w:r>
        <w:rPr>
          <w:rFonts w:ascii="FangSong" w:hAnsi="FangSong" w:eastAsia="FangSong" w:cs="FangSong"/>
          <w:sz w:val="23"/>
          <w:szCs w:val="23"/>
          <w:spacing w:val="2"/>
        </w:rPr>
        <w:t>保障和就业支出18.20万元、卫生健康支出9.03万元、城乡社区支出765.51万元、住房保障支</w:t>
      </w:r>
      <w:r>
        <w:rPr>
          <w:rFonts w:ascii="FangSong" w:hAnsi="FangSong" w:eastAsia="FangSong" w:cs="FangSong"/>
          <w:sz w:val="23"/>
          <w:szCs w:val="23"/>
        </w:rPr>
        <w:t xml:space="preserve"> </w:t>
      </w:r>
      <w:r>
        <w:rPr>
          <w:rFonts w:ascii="FangSong" w:hAnsi="FangSong" w:eastAsia="FangSong" w:cs="FangSong"/>
          <w:sz w:val="23"/>
          <w:szCs w:val="23"/>
          <w:spacing w:val="-2"/>
        </w:rPr>
        <w:t>出9.23万元等。</w:t>
      </w:r>
    </w:p>
    <w:p>
      <w:pPr>
        <w:ind w:left="1264"/>
        <w:spacing w:before="39" w:line="230" w:lineRule="exact"/>
        <w:outlineLvl w:val="1"/>
        <w:rPr>
          <w:rFonts w:ascii="Microsoft YaHei" w:hAnsi="Microsoft YaHei" w:eastAsia="Microsoft YaHei" w:cs="Microsoft YaHei"/>
          <w:sz w:val="22"/>
          <w:szCs w:val="22"/>
        </w:rPr>
      </w:pPr>
      <w:bookmarkStart w:name="bookmark24" w:id="72"/>
      <w:bookmarkEnd w:id="72"/>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24" w:line="315" w:lineRule="auto"/>
        <w:rPr>
          <w:rFonts w:ascii="FangSong" w:hAnsi="FangSong" w:eastAsia="FangSong" w:cs="FangSong"/>
          <w:sz w:val="23"/>
          <w:szCs w:val="23"/>
        </w:rPr>
      </w:pPr>
      <w:r>
        <w:rPr>
          <w:rFonts w:ascii="FangSong" w:hAnsi="FangSong" w:eastAsia="FangSong" w:cs="FangSong"/>
          <w:sz w:val="23"/>
          <w:szCs w:val="23"/>
          <w:spacing w:val="4"/>
        </w:rPr>
        <w:t>2025年度长治高新区综合服务中心一般公共预算当年支出86</w:t>
      </w:r>
      <w:r>
        <w:rPr>
          <w:rFonts w:ascii="FangSong" w:hAnsi="FangSong" w:eastAsia="FangSong" w:cs="FangSong"/>
          <w:sz w:val="23"/>
          <w:szCs w:val="23"/>
          <w:spacing w:val="3"/>
        </w:rPr>
        <w:t>9.55万元,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比上年增加61.30</w:t>
      </w:r>
      <w:r>
        <w:rPr>
          <w:rFonts w:ascii="FangSong" w:hAnsi="FangSong" w:eastAsia="FangSong" w:cs="FangSong"/>
          <w:sz w:val="23"/>
          <w:szCs w:val="23"/>
        </w:rPr>
        <w:t xml:space="preserve"> </w:t>
      </w:r>
      <w:r>
        <w:rPr>
          <w:rFonts w:ascii="FangSong" w:hAnsi="FangSong" w:eastAsia="FangSong" w:cs="FangSong"/>
          <w:sz w:val="23"/>
          <w:szCs w:val="23"/>
          <w:spacing w:val="-2"/>
        </w:rPr>
        <w:t>万元，增长7.58%。</w:t>
      </w:r>
    </w:p>
    <w:p>
      <w:pPr>
        <w:ind w:left="1725"/>
        <w:spacing w:before="26"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8" w:right="1223" w:firstLine="452"/>
        <w:spacing w:before="124" w:line="314" w:lineRule="auto"/>
        <w:rPr>
          <w:rFonts w:ascii="FangSong" w:hAnsi="FangSong" w:eastAsia="FangSong" w:cs="FangSong"/>
          <w:sz w:val="23"/>
          <w:szCs w:val="23"/>
        </w:rPr>
      </w:pPr>
      <w:r>
        <w:rPr>
          <w:rFonts w:ascii="FangSong" w:hAnsi="FangSong" w:eastAsia="FangSong" w:cs="FangSong"/>
          <w:sz w:val="23"/>
          <w:szCs w:val="23"/>
          <w:spacing w:val="8"/>
        </w:rPr>
        <w:t>2025年度长治高新区综合服务中心一般公共预算当年支出8</w:t>
      </w:r>
      <w:r>
        <w:rPr>
          <w:rFonts w:ascii="FangSong" w:hAnsi="FangSong" w:eastAsia="FangSong" w:cs="FangSong"/>
          <w:sz w:val="23"/>
          <w:szCs w:val="23"/>
          <w:spacing w:val="7"/>
        </w:rPr>
        <w:t>69.55万元,主要用于以下方</w:t>
      </w:r>
      <w:r>
        <w:rPr>
          <w:rFonts w:ascii="FangSong" w:hAnsi="FangSong" w:eastAsia="FangSong" w:cs="FangSong"/>
          <w:sz w:val="23"/>
          <w:szCs w:val="23"/>
        </w:rPr>
        <w:t xml:space="preserve"> </w:t>
      </w:r>
      <w:r>
        <w:rPr>
          <w:rFonts w:ascii="FangSong" w:hAnsi="FangSong" w:eastAsia="FangSong" w:cs="FangSong"/>
          <w:sz w:val="23"/>
          <w:szCs w:val="23"/>
          <w:spacing w:val="2"/>
        </w:rPr>
        <w:t>面：一般公共服务支出67.59万元，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占7.77%；社会保障和就业支</w:t>
      </w:r>
      <w:r>
        <w:rPr>
          <w:rFonts w:ascii="FangSong" w:hAnsi="FangSong" w:eastAsia="FangSong" w:cs="FangSong"/>
          <w:sz w:val="23"/>
          <w:szCs w:val="23"/>
          <w:spacing w:val="1"/>
        </w:rPr>
        <w:t>出18.20万元，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占2.09%；卫</w:t>
      </w:r>
    </w:p>
    <w:p>
      <w:pPr>
        <w:spacing w:line="314" w:lineRule="auto"/>
        <w:sectPr>
          <w:headerReference w:type="default" r:id="rId30"/>
          <w:footerReference w:type="default" r:id="rId31"/>
          <w:pgSz w:w="11900" w:h="16840"/>
          <w:pgMar w:top="611" w:right="0"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7" w:lineRule="auto"/>
        <w:rPr/>
      </w:pPr>
      <w:r/>
    </w:p>
    <w:p>
      <w:pPr>
        <w:ind w:left="1267" w:right="1223" w:firstLine="9"/>
        <w:spacing w:before="75" w:line="307" w:lineRule="auto"/>
        <w:rPr>
          <w:rFonts w:ascii="FangSong" w:hAnsi="FangSong" w:eastAsia="FangSong" w:cs="FangSong"/>
          <w:sz w:val="23"/>
          <w:szCs w:val="23"/>
        </w:rPr>
      </w:pPr>
      <w:r>
        <w:rPr>
          <w:rFonts w:ascii="FangSong" w:hAnsi="FangSong" w:eastAsia="FangSong" w:cs="FangSong"/>
          <w:sz w:val="23"/>
          <w:szCs w:val="23"/>
        </w:rPr>
        <w:t>生健康支出9.03万元，</w:t>
      </w:r>
      <w:r>
        <w:rPr>
          <w:rFonts w:ascii="FangSong" w:hAnsi="FangSong" w:eastAsia="FangSong" w:cs="FangSong"/>
          <w:sz w:val="23"/>
          <w:szCs w:val="23"/>
          <w:spacing w:val="-57"/>
        </w:rPr>
        <w:t xml:space="preserve"> </w:t>
      </w:r>
      <w:r>
        <w:rPr>
          <w:rFonts w:ascii="FangSong" w:hAnsi="FangSong" w:eastAsia="FangSong" w:cs="FangSong"/>
          <w:sz w:val="23"/>
          <w:szCs w:val="23"/>
        </w:rPr>
        <w:t>占1.04%；</w:t>
      </w:r>
      <w:r>
        <w:rPr>
          <w:rFonts w:ascii="FangSong" w:hAnsi="FangSong" w:eastAsia="FangSong" w:cs="FangSong"/>
          <w:sz w:val="23"/>
          <w:szCs w:val="23"/>
          <w:spacing w:val="-1"/>
        </w:rPr>
        <w:t>城乡社区支出765.51万元，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占88.04%；住房保障支出9.23万</w:t>
      </w:r>
      <w:r>
        <w:rPr>
          <w:rFonts w:ascii="FangSong" w:hAnsi="FangSong" w:eastAsia="FangSong" w:cs="FangSong"/>
          <w:sz w:val="23"/>
          <w:szCs w:val="23"/>
        </w:rPr>
        <w:t xml:space="preserve"> </w:t>
      </w:r>
      <w:r>
        <w:rPr>
          <w:rFonts w:ascii="FangSong" w:hAnsi="FangSong" w:eastAsia="FangSong" w:cs="FangSong"/>
          <w:sz w:val="23"/>
          <w:szCs w:val="23"/>
          <w:spacing w:val="-8"/>
        </w:rPr>
        <w:t>元，</w:t>
      </w:r>
      <w:r>
        <w:rPr>
          <w:rFonts w:ascii="FangSong" w:hAnsi="FangSong" w:eastAsia="FangSong" w:cs="FangSong"/>
          <w:sz w:val="23"/>
          <w:szCs w:val="23"/>
          <w:spacing w:val="-51"/>
        </w:rPr>
        <w:t xml:space="preserve"> </w:t>
      </w:r>
      <w:r>
        <w:rPr>
          <w:rFonts w:ascii="FangSong" w:hAnsi="FangSong" w:eastAsia="FangSong" w:cs="FangSong"/>
          <w:sz w:val="23"/>
          <w:szCs w:val="23"/>
          <w:spacing w:val="-8"/>
        </w:rPr>
        <w:t>占1.06%等。</w:t>
      </w:r>
    </w:p>
    <w:p>
      <w:pPr>
        <w:pStyle w:val="BodyText"/>
        <w:spacing w:line="258" w:lineRule="auto"/>
        <w:rPr/>
      </w:pPr>
      <w:r/>
    </w:p>
    <w:p>
      <w:pPr>
        <w:pStyle w:val="BodyText"/>
        <w:spacing w:line="258" w:lineRule="auto"/>
        <w:rPr/>
      </w:pPr>
      <w:r/>
    </w:p>
    <w:p>
      <w:pPr>
        <w:ind w:firstLine="4524"/>
        <w:spacing w:line="2348" w:lineRule="exact"/>
        <w:rPr/>
      </w:pPr>
      <w:r>
        <w:rPr>
          <w:position w:val="-46"/>
        </w:rPr>
        <w:drawing>
          <wp:inline distT="0" distB="0" distL="0" distR="0">
            <wp:extent cx="2244952" cy="1490991"/>
            <wp:effectExtent l="0" t="0" r="0" b="0"/>
            <wp:docPr id="6" name="IM 6"/>
            <wp:cNvGraphicFramePr/>
            <a:graphic>
              <a:graphicData uri="http://schemas.openxmlformats.org/drawingml/2006/picture">
                <pic:pic>
                  <pic:nvPicPr>
                    <pic:cNvPr id="6" name="IM 6"/>
                    <pic:cNvPicPr/>
                  </pic:nvPicPr>
                  <pic:blipFill>
                    <a:blip r:embed="rId34"/>
                    <a:stretch>
                      <a:fillRect/>
                    </a:stretch>
                  </pic:blipFill>
                  <pic:spPr>
                    <a:xfrm rot="0">
                      <a:off x="0" y="0"/>
                      <a:ext cx="2244952" cy="1490991"/>
                    </a:xfrm>
                    <a:prstGeom prst="rect">
                      <a:avLst/>
                    </a:prstGeom>
                  </pic:spPr>
                </pic:pic>
              </a:graphicData>
            </a:graphic>
          </wp:inline>
        </w:drawing>
      </w:r>
    </w:p>
    <w:p>
      <w:pPr>
        <w:pStyle w:val="BodyText"/>
        <w:spacing w:line="32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73"/>
      <w:bookmarkEnd w:id="73"/>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2025年度长治高新区综合服务中心一般公共预算安排基本支出104.04万元，其中：</w:t>
      </w:r>
    </w:p>
    <w:p>
      <w:pPr>
        <w:ind w:left="1263" w:right="1223" w:firstLine="465"/>
        <w:spacing w:before="123" w:line="315" w:lineRule="auto"/>
        <w:rPr>
          <w:rFonts w:ascii="FangSong" w:hAnsi="FangSong" w:eastAsia="FangSong" w:cs="FangSong"/>
          <w:sz w:val="23"/>
          <w:szCs w:val="23"/>
        </w:rPr>
      </w:pPr>
      <w:r>
        <w:rPr>
          <w:rFonts w:ascii="FangSong" w:hAnsi="FangSong" w:eastAsia="FangSong" w:cs="FangSong"/>
          <w:sz w:val="23"/>
          <w:szCs w:val="23"/>
          <w:spacing w:val="2"/>
        </w:rPr>
        <w:t>人员经费97.79万元，主要包括：其他工资福利支出、其他社会保障缴费、公务员医疗补</w:t>
      </w:r>
      <w:r>
        <w:rPr>
          <w:rFonts w:ascii="FangSong" w:hAnsi="FangSong" w:eastAsia="FangSong" w:cs="FangSong"/>
          <w:sz w:val="23"/>
          <w:szCs w:val="23"/>
          <w:spacing w:val="9"/>
        </w:rPr>
        <w:t xml:space="preserve"> </w:t>
      </w:r>
      <w:r>
        <w:rPr>
          <w:rFonts w:ascii="FangSong" w:hAnsi="FangSong" w:eastAsia="FangSong" w:cs="FangSong"/>
          <w:sz w:val="23"/>
          <w:szCs w:val="23"/>
          <w:spacing w:val="5"/>
        </w:rPr>
        <w:t>助缴费、绩效工资、基本工资、退休费、住房公积金、机关事业单位基本养老保险缴费、奖</w:t>
      </w:r>
      <w:r>
        <w:rPr>
          <w:rFonts w:ascii="FangSong" w:hAnsi="FangSong" w:eastAsia="FangSong" w:cs="FangSong"/>
          <w:sz w:val="23"/>
          <w:szCs w:val="23"/>
          <w:spacing w:val="12"/>
        </w:rPr>
        <w:t xml:space="preserve"> </w:t>
      </w:r>
      <w:r>
        <w:rPr>
          <w:rFonts w:ascii="FangSong" w:hAnsi="FangSong" w:eastAsia="FangSong" w:cs="FangSong"/>
          <w:sz w:val="23"/>
          <w:szCs w:val="23"/>
        </w:rPr>
        <w:t>励金、职业年金缴费、职工基本医疗保险缴费、津贴补贴等；</w:t>
      </w:r>
    </w:p>
    <w:p>
      <w:pPr>
        <w:ind w:left="1268" w:right="1260" w:firstLine="461"/>
        <w:spacing w:before="34" w:line="313" w:lineRule="auto"/>
        <w:rPr>
          <w:rFonts w:ascii="FangSong" w:hAnsi="FangSong" w:eastAsia="FangSong" w:cs="FangSong"/>
          <w:sz w:val="23"/>
          <w:szCs w:val="23"/>
        </w:rPr>
      </w:pPr>
      <w:r>
        <w:rPr>
          <w:rFonts w:ascii="FangSong" w:hAnsi="FangSong" w:eastAsia="FangSong" w:cs="FangSong"/>
          <w:sz w:val="23"/>
          <w:szCs w:val="23"/>
          <w:spacing w:val="4"/>
        </w:rPr>
        <w:t>公用经费6.25万元，主要包括：办公费、邮电费、其他对个人和家庭的补助、印刷费、</w:t>
      </w:r>
      <w:r>
        <w:rPr>
          <w:rFonts w:ascii="FangSong" w:hAnsi="FangSong" w:eastAsia="FangSong" w:cs="FangSong"/>
          <w:sz w:val="23"/>
          <w:szCs w:val="23"/>
          <w:spacing w:val="9"/>
        </w:rPr>
        <w:t xml:space="preserve"> </w:t>
      </w:r>
      <w:r>
        <w:rPr>
          <w:rFonts w:ascii="FangSong" w:hAnsi="FangSong" w:eastAsia="FangSong" w:cs="FangSong"/>
          <w:sz w:val="23"/>
          <w:szCs w:val="23"/>
        </w:rPr>
        <w:t>公务用车运行维护费、其他商品和服务支出、委托业务费、差旅费、培训费等。</w:t>
      </w:r>
    </w:p>
    <w:p>
      <w:pPr>
        <w:ind w:left="1255"/>
        <w:spacing w:before="27" w:line="229" w:lineRule="exact"/>
        <w:outlineLvl w:val="1"/>
        <w:rPr>
          <w:rFonts w:ascii="Microsoft YaHei" w:hAnsi="Microsoft YaHei" w:eastAsia="Microsoft YaHei" w:cs="Microsoft YaHei"/>
          <w:sz w:val="22"/>
          <w:szCs w:val="22"/>
        </w:rPr>
      </w:pPr>
      <w:bookmarkStart w:name="bookmark26" w:id="74"/>
      <w:bookmarkEnd w:id="7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3" w:right="1223" w:firstLine="456"/>
        <w:spacing w:before="174" w:line="315" w:lineRule="auto"/>
        <w:jc w:val="both"/>
        <w:rPr>
          <w:rFonts w:ascii="FangSong" w:hAnsi="FangSong" w:eastAsia="FangSong" w:cs="FangSong"/>
          <w:sz w:val="23"/>
          <w:szCs w:val="23"/>
        </w:rPr>
      </w:pPr>
      <w:r>
        <w:rPr>
          <w:rFonts w:ascii="FangSong" w:hAnsi="FangSong" w:eastAsia="FangSong" w:cs="FangSong"/>
          <w:sz w:val="23"/>
          <w:szCs w:val="23"/>
          <w:spacing w:val="2"/>
        </w:rPr>
        <w:t>2025年长治高新区综合服务中心财政拨款安</w:t>
      </w:r>
      <w:r>
        <w:rPr>
          <w:rFonts w:ascii="FangSong" w:hAnsi="FangSong" w:eastAsia="FangSong" w:cs="FangSong"/>
          <w:sz w:val="23"/>
          <w:szCs w:val="23"/>
          <w:spacing w:val="1"/>
        </w:rPr>
        <w:t>排的“三公</w:t>
      </w:r>
      <w:r>
        <w:rPr>
          <w:rFonts w:ascii="FangSong" w:hAnsi="FangSong" w:eastAsia="FangSong" w:cs="FangSong"/>
          <w:sz w:val="23"/>
          <w:szCs w:val="23"/>
          <w:spacing w:val="-82"/>
        </w:rPr>
        <w:t xml:space="preserve"> </w:t>
      </w:r>
      <w:r>
        <w:rPr>
          <w:rFonts w:ascii="FangSong" w:hAnsi="FangSong" w:eastAsia="FangSong" w:cs="FangSong"/>
          <w:sz w:val="23"/>
          <w:szCs w:val="23"/>
          <w:spacing w:val="1"/>
        </w:rPr>
        <w:t>”经费预算43.00万元比2024年减</w:t>
      </w:r>
      <w:r>
        <w:rPr>
          <w:rFonts w:ascii="FangSong" w:hAnsi="FangSong" w:eastAsia="FangSong" w:cs="FangSong"/>
          <w:sz w:val="23"/>
          <w:szCs w:val="23"/>
        </w:rPr>
        <w:t xml:space="preserve"> </w:t>
      </w:r>
      <w:r>
        <w:rPr>
          <w:rFonts w:ascii="FangSong" w:hAnsi="FangSong" w:eastAsia="FangSong" w:cs="FangSong"/>
          <w:sz w:val="23"/>
          <w:szCs w:val="23"/>
          <w:spacing w:val="2"/>
        </w:rPr>
        <w:t>少</w:t>
      </w:r>
      <w:r>
        <w:rPr>
          <w:rFonts w:ascii="FangSong" w:hAnsi="FangSong" w:eastAsia="FangSong" w:cs="FangSong"/>
          <w:sz w:val="23"/>
          <w:szCs w:val="23"/>
          <w:spacing w:val="2"/>
        </w:rPr>
        <w:t xml:space="preserve"> </w:t>
      </w:r>
      <w:r>
        <w:rPr>
          <w:rFonts w:ascii="FangSong" w:hAnsi="FangSong" w:eastAsia="FangSong" w:cs="FangSong"/>
          <w:sz w:val="23"/>
          <w:szCs w:val="23"/>
          <w:spacing w:val="2"/>
        </w:rPr>
        <w:t>1.00万元，主要原因是通过优化车辆使用安排，加强车辆日常维护管理，降低维修和燃油</w:t>
      </w:r>
      <w:r>
        <w:rPr>
          <w:rFonts w:ascii="FangSong" w:hAnsi="FangSong" w:eastAsia="FangSong" w:cs="FangSong"/>
          <w:sz w:val="23"/>
          <w:szCs w:val="23"/>
          <w:spacing w:val="10"/>
        </w:rPr>
        <w:t xml:space="preserve"> </w:t>
      </w:r>
      <w:r>
        <w:rPr>
          <w:rFonts w:ascii="FangSong" w:hAnsi="FangSong" w:eastAsia="FangSong" w:cs="FangSong"/>
          <w:sz w:val="23"/>
          <w:szCs w:val="23"/>
          <w:spacing w:val="-1"/>
        </w:rPr>
        <w:t>费，从而降低了运行维护成本。。</w:t>
      </w:r>
    </w:p>
    <w:p>
      <w:pPr>
        <w:ind w:left="1263" w:right="1223" w:firstLine="463"/>
        <w:spacing w:before="33" w:line="313" w:lineRule="auto"/>
        <w:jc w:val="both"/>
        <w:rPr>
          <w:rFonts w:ascii="FangSong" w:hAnsi="FangSong" w:eastAsia="FangSong" w:cs="FangSong"/>
          <w:sz w:val="23"/>
          <w:szCs w:val="23"/>
        </w:rPr>
      </w:pPr>
      <w:r>
        <w:rPr>
          <w:rFonts w:ascii="FangSong" w:hAnsi="FangSong" w:eastAsia="FangSong" w:cs="FangSong"/>
          <w:sz w:val="23"/>
          <w:szCs w:val="23"/>
          <w:spacing w:val="4"/>
        </w:rPr>
        <w:t>其中：</w:t>
      </w:r>
      <w:r>
        <w:rPr>
          <w:rFonts w:ascii="FangSong" w:hAnsi="FangSong" w:eastAsia="FangSong" w:cs="FangSong"/>
          <w:sz w:val="23"/>
          <w:szCs w:val="23"/>
          <w:spacing w:val="-63"/>
        </w:rPr>
        <w:t xml:space="preserve"> </w:t>
      </w:r>
      <w:r>
        <w:rPr>
          <w:rFonts w:ascii="FangSong" w:hAnsi="FangSong" w:eastAsia="FangSong" w:cs="FangSong"/>
          <w:sz w:val="23"/>
          <w:szCs w:val="23"/>
          <w:spacing w:val="4"/>
        </w:rPr>
        <w:t>因公出国（境）费0万元，与上年预算数相同；公务接待费0万元，与上年预算数</w:t>
      </w:r>
      <w:r>
        <w:rPr>
          <w:rFonts w:ascii="FangSong" w:hAnsi="FangSong" w:eastAsia="FangSong" w:cs="FangSong"/>
          <w:sz w:val="23"/>
          <w:szCs w:val="23"/>
        </w:rPr>
        <w:t xml:space="preserve"> </w:t>
      </w:r>
      <w:r>
        <w:rPr>
          <w:rFonts w:ascii="FangSong" w:hAnsi="FangSong" w:eastAsia="FangSong" w:cs="FangSong"/>
          <w:sz w:val="23"/>
          <w:szCs w:val="23"/>
          <w:spacing w:val="2"/>
        </w:rPr>
        <w:t>相同；公务用车购置及运行费43.00万元，与上年相比预算数减少1.00万元，主要原因是通过</w:t>
      </w:r>
      <w:r>
        <w:rPr>
          <w:rFonts w:ascii="FangSong" w:hAnsi="FangSong" w:eastAsia="FangSong" w:cs="FangSong"/>
          <w:sz w:val="23"/>
          <w:szCs w:val="23"/>
          <w:spacing w:val="6"/>
        </w:rPr>
        <w:t xml:space="preserve"> </w:t>
      </w:r>
      <w:r>
        <w:rPr>
          <w:rFonts w:ascii="FangSong" w:hAnsi="FangSong" w:eastAsia="FangSong" w:cs="FangSong"/>
          <w:sz w:val="23"/>
          <w:szCs w:val="23"/>
          <w:spacing w:val="9"/>
        </w:rPr>
        <w:t>优化车辆使用安排，加强车辆</w:t>
      </w:r>
      <w:r>
        <w:rPr>
          <w:rFonts w:ascii="FangSong" w:hAnsi="FangSong" w:eastAsia="FangSong" w:cs="FangSong"/>
          <w:sz w:val="23"/>
          <w:szCs w:val="23"/>
          <w:spacing w:val="-25"/>
        </w:rPr>
        <w:t xml:space="preserve"> </w:t>
      </w:r>
      <w:r>
        <w:rPr>
          <w:rFonts w:ascii="FangSong" w:hAnsi="FangSong" w:eastAsia="FangSong" w:cs="FangSong"/>
          <w:sz w:val="23"/>
          <w:szCs w:val="23"/>
          <w:spacing w:val="9"/>
        </w:rPr>
        <w:t>日常维护管理，降低维修和燃油费，从而降低了运行维护成</w:t>
      </w:r>
      <w:r>
        <w:rPr>
          <w:rFonts w:ascii="FangSong" w:hAnsi="FangSong" w:eastAsia="FangSong" w:cs="FangSong"/>
          <w:sz w:val="23"/>
          <w:szCs w:val="23"/>
        </w:rPr>
        <w:t xml:space="preserve"> </w:t>
      </w:r>
      <w:r>
        <w:rPr>
          <w:rFonts w:ascii="FangSong" w:hAnsi="FangSong" w:eastAsia="FangSong" w:cs="FangSong"/>
          <w:sz w:val="23"/>
          <w:szCs w:val="23"/>
          <w:spacing w:val="2"/>
        </w:rPr>
        <w:t>本。，公务用车运行维护费11.00万元，与上年相比预算数减少1.00万元，主要原因是通过优</w:t>
      </w:r>
      <w:r>
        <w:rPr>
          <w:rFonts w:ascii="FangSong" w:hAnsi="FangSong" w:eastAsia="FangSong" w:cs="FangSong"/>
          <w:sz w:val="23"/>
          <w:szCs w:val="23"/>
          <w:spacing w:val="6"/>
        </w:rPr>
        <w:t xml:space="preserve"> </w:t>
      </w:r>
      <w:r>
        <w:rPr>
          <w:rFonts w:ascii="FangSong" w:hAnsi="FangSong" w:eastAsia="FangSong" w:cs="FangSong"/>
          <w:sz w:val="23"/>
          <w:szCs w:val="23"/>
          <w:spacing w:val="12"/>
        </w:rPr>
        <w:t>化车辆使用安排</w:t>
      </w:r>
      <w:r>
        <w:rPr>
          <w:rFonts w:ascii="FangSong" w:hAnsi="FangSong" w:eastAsia="FangSong" w:cs="FangSong"/>
          <w:sz w:val="23"/>
          <w:szCs w:val="23"/>
          <w:spacing w:val="-65"/>
        </w:rPr>
        <w:t xml:space="preserve"> </w:t>
      </w:r>
      <w:r>
        <w:rPr>
          <w:rFonts w:ascii="FangSong" w:hAnsi="FangSong" w:eastAsia="FangSong" w:cs="FangSong"/>
          <w:sz w:val="23"/>
          <w:szCs w:val="23"/>
          <w:spacing w:val="12"/>
        </w:rPr>
        <w:t>，加强车辆</w:t>
      </w:r>
      <w:r>
        <w:rPr>
          <w:rFonts w:ascii="FangSong" w:hAnsi="FangSong" w:eastAsia="FangSong" w:cs="FangSong"/>
          <w:sz w:val="23"/>
          <w:szCs w:val="23"/>
          <w:spacing w:val="-33"/>
        </w:rPr>
        <w:t xml:space="preserve"> </w:t>
      </w:r>
      <w:r>
        <w:rPr>
          <w:rFonts w:ascii="FangSong" w:hAnsi="FangSong" w:eastAsia="FangSong" w:cs="FangSong"/>
          <w:sz w:val="23"/>
          <w:szCs w:val="23"/>
          <w:spacing w:val="12"/>
        </w:rPr>
        <w:t>日常维护管理</w:t>
      </w:r>
      <w:r>
        <w:rPr>
          <w:rFonts w:ascii="FangSong" w:hAnsi="FangSong" w:eastAsia="FangSong" w:cs="FangSong"/>
          <w:sz w:val="23"/>
          <w:szCs w:val="23"/>
          <w:spacing w:val="-66"/>
        </w:rPr>
        <w:t xml:space="preserve"> </w:t>
      </w:r>
      <w:r>
        <w:rPr>
          <w:rFonts w:ascii="FangSong" w:hAnsi="FangSong" w:eastAsia="FangSong" w:cs="FangSong"/>
          <w:sz w:val="23"/>
          <w:szCs w:val="23"/>
          <w:spacing w:val="12"/>
        </w:rPr>
        <w:t>，降低维</w:t>
      </w:r>
      <w:r>
        <w:rPr>
          <w:rFonts w:ascii="FangSong" w:hAnsi="FangSong" w:eastAsia="FangSong" w:cs="FangSong"/>
          <w:sz w:val="23"/>
          <w:szCs w:val="23"/>
          <w:spacing w:val="11"/>
        </w:rPr>
        <w:t>修和燃油费</w:t>
      </w:r>
      <w:r>
        <w:rPr>
          <w:rFonts w:ascii="FangSong" w:hAnsi="FangSong" w:eastAsia="FangSong" w:cs="FangSong"/>
          <w:sz w:val="23"/>
          <w:szCs w:val="23"/>
          <w:spacing w:val="-65"/>
        </w:rPr>
        <w:t xml:space="preserve"> </w:t>
      </w:r>
      <w:r>
        <w:rPr>
          <w:rFonts w:ascii="FangSong" w:hAnsi="FangSong" w:eastAsia="FangSong" w:cs="FangSong"/>
          <w:sz w:val="23"/>
          <w:szCs w:val="23"/>
          <w:spacing w:val="11"/>
        </w:rPr>
        <w:t>，从而降低了运行维护成</w:t>
      </w:r>
      <w:r>
        <w:rPr>
          <w:rFonts w:ascii="FangSong" w:hAnsi="FangSong" w:eastAsia="FangSong" w:cs="FangSong"/>
          <w:sz w:val="23"/>
          <w:szCs w:val="23"/>
        </w:rPr>
        <w:t xml:space="preserve"> </w:t>
      </w:r>
      <w:r>
        <w:rPr>
          <w:rFonts w:ascii="FangSong" w:hAnsi="FangSong" w:eastAsia="FangSong" w:cs="FangSong"/>
          <w:sz w:val="23"/>
          <w:szCs w:val="23"/>
        </w:rPr>
        <w:t>本。；公务用车购置费32.00万元，与上年预算数</w:t>
      </w:r>
      <w:r>
        <w:rPr>
          <w:rFonts w:ascii="FangSong" w:hAnsi="FangSong" w:eastAsia="FangSong" w:cs="FangSong"/>
          <w:sz w:val="23"/>
          <w:szCs w:val="23"/>
          <w:spacing w:val="-1"/>
        </w:rPr>
        <w:t>相同。</w:t>
      </w:r>
    </w:p>
    <w:p>
      <w:pPr>
        <w:ind w:firstLine="1248"/>
        <w:spacing w:line="3254" w:lineRule="exact"/>
        <w:rPr/>
      </w:pPr>
      <w:r>
        <w:rPr>
          <w:position w:val="-65"/>
        </w:rPr>
        <w:drawing>
          <wp:inline distT="0" distB="0" distL="0" distR="0">
            <wp:extent cx="5986539" cy="2066373"/>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5986539" cy="2066373"/>
                    </a:xfrm>
                    <a:prstGeom prst="rect">
                      <a:avLst/>
                    </a:prstGeom>
                  </pic:spPr>
                </pic:pic>
              </a:graphicData>
            </a:graphic>
          </wp:inline>
        </w:drawing>
      </w:r>
    </w:p>
    <w:p>
      <w:pPr>
        <w:ind w:left="1253"/>
        <w:spacing w:before="197" w:line="231" w:lineRule="exact"/>
        <w:outlineLvl w:val="1"/>
        <w:rPr>
          <w:rFonts w:ascii="Microsoft YaHei" w:hAnsi="Microsoft YaHei" w:eastAsia="Microsoft YaHei" w:cs="Microsoft YaHei"/>
          <w:sz w:val="23"/>
          <w:szCs w:val="23"/>
        </w:rPr>
      </w:pPr>
      <w:bookmarkStart w:name="bookmark27" w:id="75"/>
      <w:bookmarkEnd w:id="75"/>
      <w:r>
        <w:rPr>
          <w:rFonts w:ascii="Microsoft YaHei" w:hAnsi="Microsoft YaHei" w:eastAsia="Microsoft YaHei" w:cs="Microsoft YaHei"/>
          <w:sz w:val="23"/>
          <w:szCs w:val="23"/>
          <w:spacing w:val="-1"/>
          <w:position w:val="-1"/>
        </w:rPr>
        <w:t>八、机关运行经费增减变动原因说明</w:t>
      </w:r>
    </w:p>
    <w:p>
      <w:pPr>
        <w:spacing w:line="231" w:lineRule="exact"/>
        <w:sectPr>
          <w:footerReference w:type="default" r:id="rId33"/>
          <w:pgSz w:w="11900" w:h="16840"/>
          <w:pgMar w:top="611" w:right="0" w:bottom="312" w:left="0" w:header="357" w:footer="153" w:gutter="0"/>
        </w:sectPr>
        <w:rPr>
          <w:rFonts w:ascii="Microsoft YaHei" w:hAnsi="Microsoft YaHei" w:eastAsia="Microsoft YaHei" w:cs="Microsoft YaHei"/>
          <w:sz w:val="23"/>
          <w:szCs w:val="23"/>
        </w:rPr>
      </w:pPr>
    </w:p>
    <w:p>
      <w:pPr>
        <w:pStyle w:val="BodyText"/>
        <w:spacing w:line="297" w:lineRule="auto"/>
        <w:rPr/>
      </w:pPr>
      <w:r/>
    </w:p>
    <w:p>
      <w:pPr>
        <w:pStyle w:val="BodyText"/>
        <w:spacing w:line="298" w:lineRule="auto"/>
        <w:rPr/>
      </w:pPr>
      <w:r/>
    </w:p>
    <w:p>
      <w:pPr>
        <w:ind w:left="1726"/>
        <w:spacing w:before="74"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58"/>
        <w:spacing w:before="121" w:line="226" w:lineRule="exact"/>
        <w:outlineLvl w:val="1"/>
        <w:rPr>
          <w:rFonts w:ascii="Microsoft YaHei" w:hAnsi="Microsoft YaHei" w:eastAsia="Microsoft YaHei" w:cs="Microsoft YaHei"/>
          <w:sz w:val="22"/>
          <w:szCs w:val="22"/>
        </w:rPr>
      </w:pPr>
      <w:bookmarkStart w:name="bookmark28" w:id="76"/>
      <w:bookmarkEnd w:id="76"/>
      <w:r>
        <w:rPr>
          <w:rFonts w:ascii="Microsoft YaHei" w:hAnsi="Microsoft YaHei" w:eastAsia="Microsoft YaHei" w:cs="Microsoft YaHei"/>
          <w:sz w:val="22"/>
          <w:szCs w:val="22"/>
          <w:spacing w:val="9"/>
          <w:position w:val="-1"/>
        </w:rPr>
        <w:t>九、政府采购情况</w:t>
      </w:r>
    </w:p>
    <w:p>
      <w:pPr>
        <w:ind w:left="1263" w:right="1223" w:firstLine="456"/>
        <w:spacing w:before="187" w:line="306" w:lineRule="auto"/>
        <w:rPr>
          <w:rFonts w:ascii="FangSong" w:hAnsi="FangSong" w:eastAsia="FangSong" w:cs="FangSong"/>
          <w:sz w:val="23"/>
          <w:szCs w:val="23"/>
        </w:rPr>
      </w:pPr>
      <w:r>
        <w:rPr>
          <w:rFonts w:ascii="FangSong" w:hAnsi="FangSong" w:eastAsia="FangSong" w:cs="FangSong"/>
          <w:sz w:val="23"/>
          <w:szCs w:val="23"/>
          <w:spacing w:val="5"/>
        </w:rPr>
        <w:t>2025年长治高新区综合服务中心政府采购预算总额104.29万元。其中：政府采购货物预</w:t>
      </w:r>
      <w:r>
        <w:rPr>
          <w:rFonts w:ascii="FangSong" w:hAnsi="FangSong" w:eastAsia="FangSong" w:cs="FangSong"/>
          <w:sz w:val="23"/>
          <w:szCs w:val="23"/>
        </w:rPr>
        <w:t xml:space="preserve"> </w:t>
      </w:r>
      <w:r>
        <w:rPr>
          <w:rFonts w:ascii="FangSong" w:hAnsi="FangSong" w:eastAsia="FangSong" w:cs="FangSong"/>
          <w:sz w:val="23"/>
          <w:szCs w:val="23"/>
        </w:rPr>
        <w:t>算96.17万元、政府采购工程预算0万元、政府采购服务预算8.12万元。</w:t>
      </w:r>
    </w:p>
    <w:p>
      <w:pPr>
        <w:ind w:left="1260"/>
        <w:spacing w:before="33" w:line="230" w:lineRule="exact"/>
        <w:outlineLvl w:val="1"/>
        <w:rPr>
          <w:rFonts w:ascii="Microsoft YaHei" w:hAnsi="Microsoft YaHei" w:eastAsia="Microsoft YaHei" w:cs="Microsoft YaHei"/>
          <w:sz w:val="22"/>
          <w:szCs w:val="22"/>
        </w:rPr>
      </w:pPr>
      <w:bookmarkStart w:name="bookmark29" w:id="77"/>
      <w:bookmarkEnd w:id="77"/>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7" w:right="1223" w:hanging="8"/>
        <w:spacing w:before="122" w:line="317" w:lineRule="auto"/>
        <w:jc w:val="both"/>
        <w:rPr>
          <w:rFonts w:ascii="FangSong" w:hAnsi="FangSong" w:eastAsia="FangSong" w:cs="FangSong"/>
          <w:sz w:val="23"/>
          <w:szCs w:val="23"/>
        </w:rPr>
      </w:pPr>
      <w:r>
        <w:rPr>
          <w:rFonts w:ascii="FangSong" w:hAnsi="FangSong" w:eastAsia="FangSong" w:cs="FangSong"/>
          <w:sz w:val="23"/>
          <w:szCs w:val="23"/>
          <w:spacing w:val="5"/>
        </w:rPr>
        <w:t>2025年编报部门整体支出绩效目标，涉及部门预算资金0万元，其中基本支出0万元，项目支</w:t>
      </w:r>
      <w:r>
        <w:rPr>
          <w:rFonts w:ascii="FangSong" w:hAnsi="FangSong" w:eastAsia="FangSong" w:cs="FangSong"/>
          <w:sz w:val="23"/>
          <w:szCs w:val="23"/>
        </w:rPr>
        <w:t xml:space="preserve"> </w:t>
      </w:r>
      <w:r>
        <w:rPr>
          <w:rFonts w:ascii="FangSong" w:hAnsi="FangSong" w:eastAsia="FangSong" w:cs="FangSong"/>
          <w:sz w:val="23"/>
          <w:szCs w:val="23"/>
          <w:spacing w:val="11"/>
        </w:rPr>
        <w:t>出0万元；机关及下属预算单位1个，其中0个单位编报了单</w:t>
      </w:r>
      <w:r>
        <w:rPr>
          <w:rFonts w:ascii="FangSong" w:hAnsi="FangSong" w:eastAsia="FangSong" w:cs="FangSong"/>
          <w:sz w:val="23"/>
          <w:szCs w:val="23"/>
          <w:spacing w:val="10"/>
        </w:rPr>
        <w:t>位整体绩效目标，涉及资金0万</w:t>
      </w:r>
      <w:r>
        <w:rPr>
          <w:rFonts w:ascii="FangSong" w:hAnsi="FangSong" w:eastAsia="FangSong" w:cs="FangSong"/>
          <w:sz w:val="23"/>
          <w:szCs w:val="23"/>
        </w:rPr>
        <w:t xml:space="preserve"> </w:t>
      </w:r>
      <w:r>
        <w:rPr>
          <w:rFonts w:ascii="FangSong" w:hAnsi="FangSong" w:eastAsia="FangSong" w:cs="FangSong"/>
          <w:sz w:val="23"/>
          <w:szCs w:val="23"/>
          <w:spacing w:val="-10"/>
        </w:rPr>
        <w:t>元。</w:t>
      </w:r>
    </w:p>
    <w:p>
      <w:pPr>
        <w:ind w:left="1720"/>
        <w:spacing w:before="26"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7" w:right="1223" w:firstLine="453"/>
        <w:spacing w:before="120" w:line="320" w:lineRule="auto"/>
        <w:rPr>
          <w:rFonts w:ascii="FangSong" w:hAnsi="FangSong" w:eastAsia="FangSong" w:cs="FangSong"/>
          <w:sz w:val="23"/>
          <w:szCs w:val="23"/>
        </w:rPr>
      </w:pPr>
      <w:r>
        <w:rPr>
          <w:rFonts w:ascii="FangSong" w:hAnsi="FangSong" w:eastAsia="FangSong" w:cs="FangSong"/>
          <w:sz w:val="23"/>
          <w:szCs w:val="23"/>
          <w:spacing w:val="5"/>
        </w:rPr>
        <w:t>2025年长治高新区综合服务中心纳入绩效目标管理的二级项目23个，共计金额7</w:t>
      </w:r>
      <w:r>
        <w:rPr>
          <w:rFonts w:ascii="FangSong" w:hAnsi="FangSong" w:eastAsia="FangSong" w:cs="FangSong"/>
          <w:sz w:val="23"/>
          <w:szCs w:val="23"/>
          <w:spacing w:val="4"/>
        </w:rPr>
        <w:t>65.51万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元。其中：其他运转类项目23个，涉及金额765.51万元</w:t>
      </w:r>
      <w:r>
        <w:rPr>
          <w:rFonts w:ascii="FangSong" w:hAnsi="FangSong" w:eastAsia="FangSong" w:cs="FangSong"/>
          <w:sz w:val="23"/>
          <w:szCs w:val="23"/>
          <w:spacing w:val="4"/>
        </w:rPr>
        <w:t>；特定目标类项目0个，涉及金额0万</w:t>
      </w:r>
      <w:r>
        <w:rPr>
          <w:rFonts w:ascii="FangSong" w:hAnsi="FangSong" w:eastAsia="FangSong" w:cs="FangSong"/>
          <w:sz w:val="23"/>
          <w:szCs w:val="23"/>
        </w:rPr>
        <w:t xml:space="preserve"> </w:t>
      </w:r>
      <w:r>
        <w:rPr>
          <w:rFonts w:ascii="FangSong" w:hAnsi="FangSong" w:eastAsia="FangSong" w:cs="FangSong"/>
          <w:sz w:val="23"/>
          <w:szCs w:val="23"/>
          <w:spacing w:val="4"/>
        </w:rPr>
        <w:t>元。公开项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目绩效目标23个，涉及项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目金额765.51万元，</w:t>
      </w:r>
      <w:r>
        <w:rPr>
          <w:rFonts w:ascii="FangSong" w:hAnsi="FangSong" w:eastAsia="FangSong" w:cs="FangSong"/>
          <w:sz w:val="23"/>
          <w:szCs w:val="23"/>
          <w:spacing w:val="-47"/>
        </w:rPr>
        <w:t xml:space="preserve"> </w:t>
      </w:r>
      <w:r>
        <w:rPr>
          <w:rFonts w:ascii="FangSong" w:hAnsi="FangSong" w:eastAsia="FangSong" w:cs="FangSong"/>
          <w:sz w:val="23"/>
          <w:szCs w:val="23"/>
          <w:spacing w:val="4"/>
        </w:rPr>
        <w:t>占部门（单位）项</w:t>
      </w:r>
      <w:r>
        <w:rPr>
          <w:rFonts w:ascii="FangSong" w:hAnsi="FangSong" w:eastAsia="FangSong" w:cs="FangSong"/>
          <w:sz w:val="23"/>
          <w:szCs w:val="23"/>
          <w:spacing w:val="-48"/>
        </w:rPr>
        <w:t xml:space="preserve"> </w:t>
      </w:r>
      <w:r>
        <w:rPr>
          <w:rFonts w:ascii="FangSong" w:hAnsi="FangSong" w:eastAsia="FangSong" w:cs="FangSong"/>
          <w:sz w:val="23"/>
          <w:szCs w:val="23"/>
          <w:spacing w:val="3"/>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100%。其中：其他运转类项目23个，涉及项目金额765.51万元；特定目标类项目0个，涉</w:t>
      </w:r>
      <w:r>
        <w:rPr>
          <w:rFonts w:ascii="FangSong" w:hAnsi="FangSong" w:eastAsia="FangSong" w:cs="FangSong"/>
          <w:sz w:val="23"/>
          <w:szCs w:val="23"/>
          <w:spacing w:val="1"/>
        </w:rPr>
        <w:t>及项</w:t>
      </w:r>
      <w:r>
        <w:rPr>
          <w:rFonts w:ascii="FangSong" w:hAnsi="FangSong" w:eastAsia="FangSong" w:cs="FangSong"/>
          <w:sz w:val="23"/>
          <w:szCs w:val="23"/>
        </w:rPr>
        <w:t xml:space="preserve"> </w:t>
      </w:r>
      <w:r>
        <w:rPr>
          <w:rFonts w:ascii="FangSong" w:hAnsi="FangSong" w:eastAsia="FangSong" w:cs="FangSong"/>
          <w:sz w:val="23"/>
          <w:szCs w:val="23"/>
          <w:spacing w:val="-3"/>
        </w:rPr>
        <w:t>目金额0万元。</w:t>
      </w:r>
    </w:p>
    <w:p>
      <w:pPr>
        <w:ind w:left="1264"/>
        <w:spacing w:before="31"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5"/>
          <w:footerReference w:type="default" r:id="rId36"/>
          <w:pgSz w:w="11900" w:h="16840"/>
          <w:pgMar w:top="611" w:right="0" w:bottom="312" w:left="0" w:header="357" w:footer="153" w:gutter="0"/>
        </w:sectPr>
        <w:rPr>
          <w:rFonts w:ascii="FangSong" w:hAnsi="FangSong" w:eastAsia="FangSong" w:cs="FangSong"/>
          <w:sz w:val="23"/>
          <w:szCs w:val="23"/>
        </w:rPr>
      </w:pPr>
    </w:p>
    <w:p>
      <w:pPr>
        <w:pStyle w:val="BodyText"/>
        <w:spacing w:line="293" w:lineRule="auto"/>
        <w:rPr/>
      </w:pPr>
      <w:r/>
    </w:p>
    <w:p>
      <w:pPr>
        <w:pStyle w:val="BodyText"/>
        <w:spacing w:line="293" w:lineRule="auto"/>
        <w:rPr/>
      </w:pPr>
      <w:r/>
    </w:p>
    <w:p>
      <w:pPr>
        <w:ind w:firstLine="2308"/>
        <w:spacing w:line="10206" w:lineRule="exact"/>
        <w:rPr/>
      </w:pPr>
      <w:r>
        <w:pict>
          <v:shape id="_x0000_s242" style="position:absolute;margin-left:391.92pt;margin-top:228.048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44" style="position:absolute;margin-left:86.92pt;margin-top:472.048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 name="IM 10"/>
            <wp:cNvGraphicFramePr/>
            <a:graphic>
              <a:graphicData uri="http://schemas.openxmlformats.org/drawingml/2006/picture">
                <pic:pic>
                  <pic:nvPicPr>
                    <pic:cNvPr id="10" name="IM 10"/>
                    <pic:cNvPicPr/>
                  </pic:nvPicPr>
                  <pic:blipFill>
                    <a:blip r:embed="rId39"/>
                    <a:stretch>
                      <a:fillRect/>
                    </a:stretch>
                  </pic:blipFill>
                  <pic:spPr>
                    <a:xfrm rot="0">
                      <a:off x="0" y="0"/>
                      <a:ext cx="4640940" cy="6480840"/>
                    </a:xfrm>
                    <a:prstGeom prst="rect">
                      <a:avLst/>
                    </a:prstGeom>
                  </pic:spPr>
                </pic:pic>
              </a:graphicData>
            </a:graphic>
          </wp:inline>
        </w:drawing>
      </w:r>
    </w:p>
    <w:p>
      <w:pPr>
        <w:spacing w:line="10206" w:lineRule="exact"/>
        <w:sectPr>
          <w:headerReference w:type="default" r:id="rId37"/>
          <w:footerReference w:type="default" r:id="rId38"/>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46" style="position:absolute;margin-left:391.92pt;margin-top:228.048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48" style="position:absolute;margin-left:86.92pt;margin-top:472.048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12" name="IM 12"/>
            <wp:cNvGraphicFramePr/>
            <a:graphic>
              <a:graphicData uri="http://schemas.openxmlformats.org/drawingml/2006/picture">
                <pic:pic>
                  <pic:nvPicPr>
                    <pic:cNvPr id="12" name="IM 12"/>
                    <pic:cNvPicPr/>
                  </pic:nvPicPr>
                  <pic:blipFill>
                    <a:blip r:embed="rId41"/>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40"/>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50" style="position:absolute;margin-left:86.92pt;margin-top:472.048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52" style="position:absolute;margin-left:391.92pt;margin-top:228.048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4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2"/>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54" style="position:absolute;margin-left:391.92pt;margin-top:228.048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56" style="position:absolute;margin-left:86.92pt;margin-top:472.048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4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4"/>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58" style="position:absolute;margin-left:391.92pt;margin-top:228.048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60" style="position:absolute;margin-left:86.92pt;margin-top:472.048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18" name="IM 18"/>
            <wp:cNvGraphicFramePr/>
            <a:graphic>
              <a:graphicData uri="http://schemas.openxmlformats.org/drawingml/2006/picture">
                <pic:pic>
                  <pic:nvPicPr>
                    <pic:cNvPr id="18" name="IM 18"/>
                    <pic:cNvPicPr/>
                  </pic:nvPicPr>
                  <pic:blipFill>
                    <a:blip r:embed="rId47"/>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46"/>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62" style="position:absolute;margin-left:391.92pt;margin-top:228.048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64" style="position:absolute;margin-left:86.92pt;margin-top:472.048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0" name="IM 20"/>
            <wp:cNvGraphicFramePr/>
            <a:graphic>
              <a:graphicData uri="http://schemas.openxmlformats.org/drawingml/2006/picture">
                <pic:pic>
                  <pic:nvPicPr>
                    <pic:cNvPr id="20" name="IM 20"/>
                    <pic:cNvPicPr/>
                  </pic:nvPicPr>
                  <pic:blipFill>
                    <a:blip r:embed="rId49"/>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8"/>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941" w:lineRule="exact"/>
        <w:rPr/>
      </w:pPr>
      <w:r>
        <w:pict>
          <v:shape id="_x0000_s266" style="position:absolute;margin-left:86.92pt;margin-top:472.048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68" style="position:absolute;margin-left:391.92pt;margin-top:228.048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22" name="IM 22"/>
            <wp:cNvGraphicFramePr/>
            <a:graphic>
              <a:graphicData uri="http://schemas.openxmlformats.org/drawingml/2006/picture">
                <pic:pic>
                  <pic:nvPicPr>
                    <pic:cNvPr id="22" name="IM 22"/>
                    <pic:cNvPicPr/>
                  </pic:nvPicPr>
                  <pic:blipFill>
                    <a:blip r:embed="rId51"/>
                    <a:stretch>
                      <a:fillRect/>
                    </a:stretch>
                  </pic:blipFill>
                  <pic:spPr>
                    <a:xfrm rot="0">
                      <a:off x="0" y="0"/>
                      <a:ext cx="4640940" cy="6947680"/>
                    </a:xfrm>
                    <a:prstGeom prst="rect">
                      <a:avLst/>
                    </a:prstGeom>
                  </pic:spPr>
                </pic:pic>
              </a:graphicData>
            </a:graphic>
          </wp:inline>
        </w:drawing>
      </w:r>
    </w:p>
    <w:p>
      <w:pPr>
        <w:spacing w:line="10941" w:lineRule="exact"/>
        <w:sectPr>
          <w:footerReference w:type="default" r:id="rId50"/>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70" style="position:absolute;margin-left:86.92pt;margin-top:472.048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72" style="position:absolute;margin-left:391.92pt;margin-top:228.048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24" name="IM 24"/>
            <wp:cNvGraphicFramePr/>
            <a:graphic>
              <a:graphicData uri="http://schemas.openxmlformats.org/drawingml/2006/picture">
                <pic:pic>
                  <pic:nvPicPr>
                    <pic:cNvPr id="24" name="IM 24"/>
                    <pic:cNvPicPr/>
                  </pic:nvPicPr>
                  <pic:blipFill>
                    <a:blip r:embed="rId53"/>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52"/>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74" style="position:absolute;margin-left:86.92pt;margin-top:472.048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76" style="position:absolute;margin-left:391.92pt;margin-top:228.048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6" name="IM 26"/>
            <wp:cNvGraphicFramePr/>
            <a:graphic>
              <a:graphicData uri="http://schemas.openxmlformats.org/drawingml/2006/picture">
                <pic:pic>
                  <pic:nvPicPr>
                    <pic:cNvPr id="26" name="IM 26"/>
                    <pic:cNvPicPr/>
                  </pic:nvPicPr>
                  <pic:blipFill>
                    <a:blip r:embed="rId5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4"/>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78" style="position:absolute;margin-left:391.92pt;margin-top:228.048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80" style="position:absolute;margin-left:86.92pt;margin-top:472.048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28" name="IM 28"/>
            <wp:cNvGraphicFramePr/>
            <a:graphic>
              <a:graphicData uri="http://schemas.openxmlformats.org/drawingml/2006/picture">
                <pic:pic>
                  <pic:nvPicPr>
                    <pic:cNvPr id="28" name="IM 28"/>
                    <pic:cNvPicPr/>
                  </pic:nvPicPr>
                  <pic:blipFill>
                    <a:blip r:embed="rId57"/>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56"/>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82" style="position:absolute;margin-left:391.92pt;margin-top:228.048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84" style="position:absolute;margin-left:86.92pt;margin-top:472.048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30" name="IM 30"/>
            <wp:cNvGraphicFramePr/>
            <a:graphic>
              <a:graphicData uri="http://schemas.openxmlformats.org/drawingml/2006/picture">
                <pic:pic>
                  <pic:nvPicPr>
                    <pic:cNvPr id="30" name="IM 30"/>
                    <pic:cNvPicPr/>
                  </pic:nvPicPr>
                  <pic:blipFill>
                    <a:blip r:embed="rId59"/>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58"/>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86" style="position:absolute;margin-left:391.92pt;margin-top:228.048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88" style="position:absolute;margin-left:86.92pt;margin-top:472.048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32" name="IM 32"/>
            <wp:cNvGraphicFramePr/>
            <a:graphic>
              <a:graphicData uri="http://schemas.openxmlformats.org/drawingml/2006/picture">
                <pic:pic>
                  <pic:nvPicPr>
                    <pic:cNvPr id="32" name="IM 32"/>
                    <pic:cNvPicPr/>
                  </pic:nvPicPr>
                  <pic:blipFill>
                    <a:blip r:embed="rId6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0"/>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290" style="position:absolute;margin-left:391.92pt;margin-top:228.048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48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2"/>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94" style="position:absolute;margin-left:86.92pt;margin-top:472.048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96" style="position:absolute;margin-left:391.92pt;margin-top:228.048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36" name="IM 36"/>
            <wp:cNvGraphicFramePr/>
            <a:graphic>
              <a:graphicData uri="http://schemas.openxmlformats.org/drawingml/2006/picture">
                <pic:pic>
                  <pic:nvPicPr>
                    <pic:cNvPr id="36" name="IM 36"/>
                    <pic:cNvPicPr/>
                  </pic:nvPicPr>
                  <pic:blipFill>
                    <a:blip r:embed="rId6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4"/>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298" style="position:absolute;margin-left:391.92pt;margin-top:228.048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48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6"/>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302" style="position:absolute;margin-left:86.92pt;margin-top:472.048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04" style="position:absolute;margin-left:391.92pt;margin-top:228.048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40" name="IM 40"/>
            <wp:cNvGraphicFramePr/>
            <a:graphic>
              <a:graphicData uri="http://schemas.openxmlformats.org/drawingml/2006/picture">
                <pic:pic>
                  <pic:nvPicPr>
                    <pic:cNvPr id="40" name="IM 40"/>
                    <pic:cNvPicPr/>
                  </pic:nvPicPr>
                  <pic:blipFill>
                    <a:blip r:embed="rId69"/>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8"/>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306" style="position:absolute;margin-left:391.92pt;margin-top:228.048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48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42" name="IM 42"/>
            <wp:cNvGraphicFramePr/>
            <a:graphic>
              <a:graphicData uri="http://schemas.openxmlformats.org/drawingml/2006/picture">
                <pic:pic>
                  <pic:nvPicPr>
                    <pic:cNvPr id="42" name="IM 42"/>
                    <pic:cNvPicPr/>
                  </pic:nvPicPr>
                  <pic:blipFill>
                    <a:blip r:embed="rId7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0"/>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310" style="position:absolute;margin-left:86.92pt;margin-top:472.048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12" style="position:absolute;margin-left:391.92pt;margin-top:228.048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44" name="IM 44"/>
            <wp:cNvGraphicFramePr/>
            <a:graphic>
              <a:graphicData uri="http://schemas.openxmlformats.org/drawingml/2006/picture">
                <pic:pic>
                  <pic:nvPicPr>
                    <pic:cNvPr id="44" name="IM 44"/>
                    <pic:cNvPicPr/>
                  </pic:nvPicPr>
                  <pic:blipFill>
                    <a:blip r:embed="rId73"/>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72"/>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314" style="position:absolute;margin-left:391.92pt;margin-top:228.048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472.048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46" name="IM 46"/>
            <wp:cNvGraphicFramePr/>
            <a:graphic>
              <a:graphicData uri="http://schemas.openxmlformats.org/drawingml/2006/picture">
                <pic:pic>
                  <pic:nvPicPr>
                    <pic:cNvPr id="46" name="IM 46"/>
                    <pic:cNvPicPr/>
                  </pic:nvPicPr>
                  <pic:blipFill>
                    <a:blip r:embed="rId75"/>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74"/>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455" w:lineRule="exact"/>
        <w:rPr/>
      </w:pPr>
      <w:r>
        <w:pict>
          <v:shape id="_x0000_s318" style="position:absolute;margin-left:86.92pt;margin-top:472.048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48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48" name="IM 48"/>
            <wp:cNvGraphicFramePr/>
            <a:graphic>
              <a:graphicData uri="http://schemas.openxmlformats.org/drawingml/2006/picture">
                <pic:pic>
                  <pic:nvPicPr>
                    <pic:cNvPr id="48" name="IM 48"/>
                    <pic:cNvPicPr/>
                  </pic:nvPicPr>
                  <pic:blipFill>
                    <a:blip r:embed="rId77"/>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76"/>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941" w:lineRule="exact"/>
        <w:rPr/>
      </w:pPr>
      <w:r>
        <w:pict>
          <v:shape id="_x0000_s322" style="position:absolute;margin-left:86.92pt;margin-top:472.048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48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50" name="IM 50"/>
            <wp:cNvGraphicFramePr/>
            <a:graphic>
              <a:graphicData uri="http://schemas.openxmlformats.org/drawingml/2006/picture">
                <pic:pic>
                  <pic:nvPicPr>
                    <pic:cNvPr id="50" name="IM 50"/>
                    <pic:cNvPicPr/>
                  </pic:nvPicPr>
                  <pic:blipFill>
                    <a:blip r:embed="rId79"/>
                    <a:stretch>
                      <a:fillRect/>
                    </a:stretch>
                  </pic:blipFill>
                  <pic:spPr>
                    <a:xfrm rot="0">
                      <a:off x="0" y="0"/>
                      <a:ext cx="4640940" cy="6947680"/>
                    </a:xfrm>
                    <a:prstGeom prst="rect">
                      <a:avLst/>
                    </a:prstGeom>
                  </pic:spPr>
                </pic:pic>
              </a:graphicData>
            </a:graphic>
          </wp:inline>
        </w:drawing>
      </w:r>
    </w:p>
    <w:p>
      <w:pPr>
        <w:spacing w:line="10941" w:lineRule="exact"/>
        <w:sectPr>
          <w:footerReference w:type="default" r:id="rId78"/>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326" style="position:absolute;margin-left:86.92pt;margin-top:472.048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48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52" name="IM 52"/>
            <wp:cNvGraphicFramePr/>
            <a:graphic>
              <a:graphicData uri="http://schemas.openxmlformats.org/drawingml/2006/picture">
                <pic:pic>
                  <pic:nvPicPr>
                    <pic:cNvPr id="52" name="IM 52"/>
                    <pic:cNvPicPr/>
                  </pic:nvPicPr>
                  <pic:blipFill>
                    <a:blip r:embed="rId8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0"/>
          <w:pgSz w:w="11900" w:h="16840"/>
          <w:pgMar w:top="611" w:right="0" w:bottom="312" w:left="0" w:header="357" w:footer="153" w:gutter="0"/>
        </w:sectPr>
        <w:rPr/>
      </w:pPr>
    </w:p>
    <w:p>
      <w:pPr>
        <w:pStyle w:val="BodyText"/>
        <w:spacing w:line="293" w:lineRule="auto"/>
        <w:rPr/>
      </w:pPr>
      <w:r/>
    </w:p>
    <w:p>
      <w:pPr>
        <w:pStyle w:val="BodyText"/>
        <w:spacing w:line="293" w:lineRule="auto"/>
        <w:rPr/>
      </w:pPr>
      <w:r/>
    </w:p>
    <w:p>
      <w:pPr>
        <w:ind w:firstLine="2308"/>
        <w:spacing w:line="10206" w:lineRule="exact"/>
        <w:rPr/>
      </w:pPr>
      <w:r>
        <w:pict>
          <v:shape id="_x0000_s330" style="position:absolute;margin-left:391.92pt;margin-top:228.048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48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54" name="IM 54"/>
            <wp:cNvGraphicFramePr/>
            <a:graphic>
              <a:graphicData uri="http://schemas.openxmlformats.org/drawingml/2006/picture">
                <pic:pic>
                  <pic:nvPicPr>
                    <pic:cNvPr id="54" name="IM 54"/>
                    <pic:cNvPicPr/>
                  </pic:nvPicPr>
                  <pic:blipFill>
                    <a:blip r:embed="rId8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2"/>
          <w:pgSz w:w="11900" w:h="16840"/>
          <w:pgMar w:top="611" w:right="0" w:bottom="312" w:left="0" w:header="357" w:footer="153" w:gutter="0"/>
        </w:sectPr>
        <w:rPr/>
      </w:pPr>
    </w:p>
    <w:p>
      <w:pPr>
        <w:pStyle w:val="BodyText"/>
        <w:spacing w:line="286" w:lineRule="auto"/>
        <w:rPr/>
      </w:pPr>
      <w:r/>
    </w:p>
    <w:p>
      <w:pPr>
        <w:pStyle w:val="BodyText"/>
        <w:spacing w:line="286" w:lineRule="auto"/>
        <w:rPr/>
      </w:pPr>
      <w:r/>
    </w:p>
    <w:p>
      <w:pPr>
        <w:ind w:left="1260"/>
        <w:spacing w:before="95" w:line="226" w:lineRule="exact"/>
        <w:outlineLvl w:val="1"/>
        <w:rPr>
          <w:rFonts w:ascii="Microsoft YaHei" w:hAnsi="Microsoft YaHei" w:eastAsia="Microsoft YaHei" w:cs="Microsoft YaHei"/>
          <w:sz w:val="22"/>
          <w:szCs w:val="22"/>
        </w:rPr>
      </w:pPr>
      <w:bookmarkStart w:name="bookmark30" w:id="80"/>
      <w:bookmarkEnd w:id="80"/>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1"/>
        </w:rPr>
        <w:t>截至2025年3月26</w:t>
      </w:r>
      <w:r>
        <w:rPr>
          <w:rFonts w:ascii="FangSong" w:hAnsi="FangSong" w:eastAsia="FangSong" w:cs="FangSong"/>
          <w:sz w:val="23"/>
          <w:szCs w:val="23"/>
          <w:spacing w:val="-49"/>
        </w:rPr>
        <w:t xml:space="preserve"> </w:t>
      </w:r>
      <w:r>
        <w:rPr>
          <w:rFonts w:ascii="FangSong" w:hAnsi="FangSong" w:eastAsia="FangSong" w:cs="FangSong"/>
          <w:sz w:val="23"/>
          <w:szCs w:val="23"/>
          <w:spacing w:val="1"/>
        </w:rPr>
        <w:t>日，长治高新区综合服务中心共有</w:t>
      </w:r>
      <w:r>
        <w:rPr>
          <w:rFonts w:ascii="FangSong" w:hAnsi="FangSong" w:eastAsia="FangSong" w:cs="FangSong"/>
          <w:sz w:val="23"/>
          <w:szCs w:val="23"/>
        </w:rPr>
        <w:t>公务用车编制8辆，实有8辆，其中：</w:t>
      </w:r>
      <w:r>
        <w:rPr>
          <w:rFonts w:ascii="FangSong" w:hAnsi="FangSong" w:eastAsia="FangSong" w:cs="FangSong"/>
          <w:sz w:val="23"/>
          <w:szCs w:val="23"/>
        </w:rPr>
        <w:t xml:space="preserve"> </w:t>
      </w:r>
      <w:r>
        <w:rPr>
          <w:rFonts w:ascii="FangSong" w:hAnsi="FangSong" w:eastAsia="FangSong" w:cs="FangSong"/>
          <w:sz w:val="23"/>
          <w:szCs w:val="23"/>
          <w:spacing w:val="2"/>
        </w:rPr>
        <w:t>领导用车0辆，机要通信用车0辆，应急保障用车0辆，执法执勤用车8辆，特种专业技术用车0</w:t>
      </w:r>
      <w:r>
        <w:rPr>
          <w:rFonts w:ascii="FangSong" w:hAnsi="FangSong" w:eastAsia="FangSong" w:cs="FangSong"/>
          <w:sz w:val="23"/>
          <w:szCs w:val="23"/>
          <w:spacing w:val="11"/>
        </w:rPr>
        <w:t xml:space="preserve"> </w:t>
      </w:r>
      <w:r>
        <w:rPr>
          <w:rFonts w:ascii="FangSong" w:hAnsi="FangSong" w:eastAsia="FangSong" w:cs="FangSong"/>
          <w:sz w:val="23"/>
          <w:szCs w:val="23"/>
          <w:spacing w:val="-1"/>
        </w:rPr>
        <w:t>辆，事业单位业务用车0辆，其他公务用车0辆。</w:t>
      </w:r>
    </w:p>
    <w:p>
      <w:pPr>
        <w:ind w:left="17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截至2025年3月26日，长治高新区综合服务中心使用的办公用房建筑总面积500平方米。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5" w:line="312" w:lineRule="auto"/>
        <w:rPr>
          <w:rFonts w:ascii="FangSong" w:hAnsi="FangSong" w:eastAsia="FangSong" w:cs="FangSong"/>
          <w:sz w:val="23"/>
          <w:szCs w:val="23"/>
        </w:rPr>
      </w:pPr>
      <w:r>
        <w:rPr>
          <w:rFonts w:ascii="FangSong" w:hAnsi="FangSong" w:eastAsia="FangSong" w:cs="FangSong"/>
          <w:sz w:val="23"/>
          <w:szCs w:val="23"/>
          <w:spacing w:val="1"/>
        </w:rPr>
        <w:t>截至2025年3月26</w:t>
      </w:r>
      <w:r>
        <w:rPr>
          <w:rFonts w:ascii="FangSong" w:hAnsi="FangSong" w:eastAsia="FangSong" w:cs="FangSong"/>
          <w:sz w:val="23"/>
          <w:szCs w:val="23"/>
          <w:spacing w:val="-49"/>
        </w:rPr>
        <w:t xml:space="preserve"> </w:t>
      </w:r>
      <w:r>
        <w:rPr>
          <w:rFonts w:ascii="FangSong" w:hAnsi="FangSong" w:eastAsia="FangSong" w:cs="FangSong"/>
          <w:sz w:val="23"/>
          <w:szCs w:val="23"/>
          <w:spacing w:val="1"/>
        </w:rPr>
        <w:t>日，长治高新区综合服务中心占有使用价</w:t>
      </w:r>
      <w:r>
        <w:rPr>
          <w:rFonts w:ascii="FangSong" w:hAnsi="FangSong" w:eastAsia="FangSong" w:cs="FangSong"/>
          <w:sz w:val="23"/>
          <w:szCs w:val="23"/>
        </w:rPr>
        <w:t>值50万元（原值）以上的通用</w:t>
      </w:r>
      <w:r>
        <w:rPr>
          <w:rFonts w:ascii="FangSong" w:hAnsi="FangSong" w:eastAsia="FangSong" w:cs="FangSong"/>
          <w:sz w:val="23"/>
          <w:szCs w:val="23"/>
        </w:rPr>
        <w:t xml:space="preserve"> </w:t>
      </w:r>
      <w:r>
        <w:rPr>
          <w:rFonts w:ascii="FangSong" w:hAnsi="FangSong" w:eastAsia="FangSong" w:cs="FangSong"/>
          <w:sz w:val="23"/>
          <w:szCs w:val="23"/>
          <w:spacing w:val="2"/>
        </w:rPr>
        <w:t>设备0台（套</w:t>
      </w:r>
      <w:r>
        <w:rPr>
          <w:rFonts w:ascii="FangSong" w:hAnsi="FangSong" w:eastAsia="FangSong" w:cs="FangSong"/>
          <w:sz w:val="23"/>
          <w:szCs w:val="23"/>
          <w:spacing w:val="11"/>
        </w:rPr>
        <w:t>）；</w:t>
      </w:r>
      <w:r>
        <w:rPr>
          <w:rFonts w:ascii="FangSong" w:hAnsi="FangSong" w:eastAsia="FangSong" w:cs="FangSong"/>
          <w:sz w:val="23"/>
          <w:szCs w:val="23"/>
          <w:spacing w:val="2"/>
        </w:rPr>
        <w:t>长治高新区综合服务中心占有使用价值100万元（原值）以</w:t>
      </w:r>
      <w:r>
        <w:rPr>
          <w:rFonts w:ascii="FangSong" w:hAnsi="FangSong" w:eastAsia="FangSong" w:cs="FangSong"/>
          <w:sz w:val="23"/>
          <w:szCs w:val="23"/>
          <w:spacing w:val="1"/>
        </w:rPr>
        <w:t>上的通用设备0台</w:t>
      </w:r>
      <w:r>
        <w:rPr>
          <w:rFonts w:ascii="FangSong" w:hAnsi="FangSong" w:eastAsia="FangSong" w:cs="FangSong"/>
          <w:sz w:val="23"/>
          <w:szCs w:val="23"/>
          <w:spacing w:val="1"/>
        </w:rPr>
        <w:t xml:space="preserve"> </w:t>
      </w:r>
      <w:r>
        <w:rPr>
          <w:rFonts w:ascii="FangSong" w:hAnsi="FangSong" w:eastAsia="FangSong" w:cs="FangSong"/>
          <w:sz w:val="23"/>
          <w:szCs w:val="23"/>
          <w:spacing w:val="-4"/>
        </w:rPr>
        <w:t>（套）。</w:t>
      </w:r>
    </w:p>
    <w:p>
      <w:pPr>
        <w:ind w:left="1260"/>
        <w:spacing w:before="42" w:line="227" w:lineRule="exact"/>
        <w:outlineLvl w:val="1"/>
        <w:rPr>
          <w:rFonts w:ascii="Microsoft YaHei" w:hAnsi="Microsoft YaHei" w:eastAsia="Microsoft YaHei" w:cs="Microsoft YaHei"/>
          <w:sz w:val="22"/>
          <w:szCs w:val="22"/>
        </w:rPr>
      </w:pPr>
      <w:bookmarkStart w:name="bookmark31" w:id="81"/>
      <w:bookmarkEnd w:id="81"/>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82"/>
      <w:bookmarkEnd w:id="82"/>
      <w:r>
        <w:rPr>
          <w:rFonts w:ascii="FangSong" w:hAnsi="FangSong" w:eastAsia="FangSong" w:cs="FangSong"/>
          <w:sz w:val="23"/>
          <w:szCs w:val="23"/>
          <w:spacing w:val="-1"/>
        </w:rPr>
        <w:t>（一）政府购买服务指导性目录</w:t>
      </w:r>
    </w:p>
    <w:p>
      <w:pPr>
        <w:ind w:left="1726"/>
        <w:spacing w:before="255" w:line="221" w:lineRule="auto"/>
        <w:rPr>
          <w:rFonts w:ascii="FangSong" w:hAnsi="FangSong" w:eastAsia="FangSong" w:cs="FangSong"/>
          <w:sz w:val="23"/>
          <w:szCs w:val="23"/>
        </w:rPr>
      </w:pPr>
      <w:r>
        <w:rPr>
          <w:rFonts w:ascii="FangSong" w:hAnsi="FangSong" w:eastAsia="FangSong" w:cs="FangSong"/>
          <w:sz w:val="23"/>
          <w:szCs w:val="23"/>
          <w:spacing w:val="-1"/>
        </w:rPr>
        <w:t>本部门无政府购买服务指导性目录</w:t>
      </w:r>
    </w:p>
    <w:p>
      <w:pPr>
        <w:ind w:left="1725"/>
        <w:spacing w:before="265" w:line="222" w:lineRule="auto"/>
        <w:outlineLvl w:val="2"/>
        <w:rPr>
          <w:rFonts w:ascii="FangSong" w:hAnsi="FangSong" w:eastAsia="FangSong" w:cs="FangSong"/>
          <w:sz w:val="23"/>
          <w:szCs w:val="23"/>
        </w:rPr>
      </w:pPr>
      <w:bookmarkStart w:name="bookmark33" w:id="83"/>
      <w:bookmarkEnd w:id="83"/>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84"/>
          <w:footerReference w:type="default" r:id="rId85"/>
          <w:pgSz w:w="11900" w:h="16840"/>
          <w:pgMar w:top="611" w:right="0" w:bottom="312" w:left="0" w:header="357" w:footer="153" w:gutter="0"/>
        </w:sectPr>
        <w:rPr>
          <w:rFonts w:ascii="FangSong" w:hAnsi="FangSong" w:eastAsia="FangSong" w:cs="FangSong"/>
          <w:sz w:val="23"/>
          <w:szCs w:val="23"/>
        </w:rPr>
      </w:pPr>
    </w:p>
    <w:p>
      <w:pPr>
        <w:pStyle w:val="BodyText"/>
        <w:spacing w:line="293" w:lineRule="auto"/>
        <w:rPr/>
      </w:pPr>
      <w:r>
        <w:pict>
          <v:shape id="_x0000_s360"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pStyle w:val="BodyText"/>
        <w:spacing w:line="293" w:lineRule="auto"/>
        <w:rPr/>
      </w:pPr>
      <w:r/>
    </w:p>
    <w:p>
      <w:pPr>
        <w:ind w:firstLine="1205"/>
        <w:spacing w:line="13720" w:lineRule="exact"/>
        <w:rPr/>
      </w:pPr>
      <w:r>
        <w:pict>
          <v:shape id="_x0000_s362" style="position:absolute;margin-left:-13.08pt;margin-top:228.048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64" style="position:absolute;margin-left:391.92pt;margin-top:228.048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48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72.048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74"/>
        </w:rPr>
        <w:drawing>
          <wp:inline distT="0" distB="0" distL="0" distR="0">
            <wp:extent cx="6041461" cy="8712062"/>
            <wp:effectExtent l="0" t="0" r="0" b="0"/>
            <wp:docPr id="56" name="IM 56"/>
            <wp:cNvGraphicFramePr/>
            <a:graphic>
              <a:graphicData uri="http://schemas.openxmlformats.org/drawingml/2006/picture">
                <pic:pic>
                  <pic:nvPicPr>
                    <pic:cNvPr id="56" name="IM 56"/>
                    <pic:cNvPicPr/>
                  </pic:nvPicPr>
                  <pic:blipFill>
                    <a:blip r:embed="rId88"/>
                    <a:stretch>
                      <a:fillRect/>
                    </a:stretch>
                  </pic:blipFill>
                  <pic:spPr>
                    <a:xfrm rot="0">
                      <a:off x="0" y="0"/>
                      <a:ext cx="6041461" cy="8712062"/>
                    </a:xfrm>
                    <a:prstGeom prst="rect">
                      <a:avLst/>
                    </a:prstGeom>
                  </pic:spPr>
                </pic:pic>
              </a:graphicData>
            </a:graphic>
          </wp:inline>
        </w:drawing>
      </w:r>
    </w:p>
    <w:p>
      <w:pPr>
        <w:spacing w:line="13720" w:lineRule="exact"/>
        <w:sectPr>
          <w:headerReference w:type="default" r:id="rId86"/>
          <w:footerReference w:type="default" r:id="rId87"/>
          <w:pgSz w:w="11900" w:h="16840"/>
          <w:pgMar w:top="611" w:right="0" w:bottom="312" w:left="0" w:header="357" w:footer="153" w:gutter="0"/>
        </w:sectPr>
        <w:rPr/>
      </w:pPr>
    </w:p>
    <w:p>
      <w:pPr>
        <w:pStyle w:val="BodyText"/>
        <w:spacing w:line="285" w:lineRule="auto"/>
        <w:rPr/>
      </w:pPr>
      <w:r/>
    </w:p>
    <w:p>
      <w:pPr>
        <w:pStyle w:val="BodyText"/>
        <w:spacing w:line="285"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84"/>
      <w:bookmarkEnd w:id="84"/>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69"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3"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27"/>
      <w:footerReference w:type="default" r:id="rId89"/>
      <w:pgSz w:w="11900" w:h="16840"/>
      <w:pgMar w:top="611" w:right="0"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9" w:id="78"/>
    <w:bookmarkEnd w:id="78"/>
    <w:r>
      <w:rPr>
        <w:rFonts w:ascii="SimSun" w:hAnsi="SimSun" w:eastAsia="SimSun" w:cs="SimSun"/>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50" w:id="79"/>
    <w:bookmarkEnd w:id="79"/>
    <w:r>
      <w:rPr>
        <w:rFonts w:ascii="SimSun" w:hAnsi="SimSun" w:eastAsia="SimSun" w:cs="SimSun"/>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6" style="position:absolute;margin-left:86.92pt;margin-top:26.222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74" style="position:absolute;margin-left:86.92pt;margin-top:26.222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92" style="position:absolute;margin-left:86.92pt;margin-top:26.222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0" style="position:absolute;margin-left:86.92pt;margin-top:26.222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28" style="position:absolute;margin-left:86.92pt;margin-top:26.222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34" style="position:absolute;margin-left:86.92pt;margin-top:26.222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86.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_x0000_s35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52" style="position:absolute;margin-left:86.92pt;margin-top:26.2223pt;mso-position-vertical-relative:text;mso-position-horizontal-relative:text;width:119.4pt;height:18.85pt;z-index:-251523072;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_x0000_s358" style="position:absolute;margin-left:30pt;margin-top:29.5pt;mso-position-vertical-relative:page;mso-position-horizontal-relative:page;width:535pt;height:1pt;z-index:-2515240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6" style="position:absolute;margin-left:86.92pt;margin-top:26.222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4" style="position:absolute;margin-left:-13.08pt;margin-top:27.222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20" style="position:absolute;margin-left:86.92pt;margin-top:26.222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8" style="position:absolute;margin-left:86.92pt;margin-top:26.222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长治高新区综合服务中心2025年部门预算公开报告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styles" Target="styles.xml"/><Relationship Id="rId90" Type="http://schemas.openxmlformats.org/officeDocument/2006/relationships/settings" Target="settings.xml"/><Relationship Id="rId9" Type="http://schemas.openxmlformats.org/officeDocument/2006/relationships/header" Target="header6.xml"/><Relationship Id="rId89" Type="http://schemas.openxmlformats.org/officeDocument/2006/relationships/footer" Target="footer45.xml"/><Relationship Id="rId88" Type="http://schemas.openxmlformats.org/officeDocument/2006/relationships/image" Target="media/image28.jpeg"/><Relationship Id="rId87" Type="http://schemas.openxmlformats.org/officeDocument/2006/relationships/footer" Target="footer44.xml"/><Relationship Id="rId86" Type="http://schemas.openxmlformats.org/officeDocument/2006/relationships/header" Target="header16.xml"/><Relationship Id="rId85" Type="http://schemas.openxmlformats.org/officeDocument/2006/relationships/footer" Target="footer43.xml"/><Relationship Id="rId84" Type="http://schemas.openxmlformats.org/officeDocument/2006/relationships/header" Target="header15.xml"/><Relationship Id="rId83" Type="http://schemas.openxmlformats.org/officeDocument/2006/relationships/image" Target="media/image27.png"/><Relationship Id="rId82" Type="http://schemas.openxmlformats.org/officeDocument/2006/relationships/footer" Target="footer42.xml"/><Relationship Id="rId81" Type="http://schemas.openxmlformats.org/officeDocument/2006/relationships/image" Target="media/image26.png"/><Relationship Id="rId80" Type="http://schemas.openxmlformats.org/officeDocument/2006/relationships/footer" Target="footer41.xml"/><Relationship Id="rId8" Type="http://schemas.openxmlformats.org/officeDocument/2006/relationships/footer" Target="footer2.xml"/><Relationship Id="rId79" Type="http://schemas.openxmlformats.org/officeDocument/2006/relationships/image" Target="media/image25.png"/><Relationship Id="rId78" Type="http://schemas.openxmlformats.org/officeDocument/2006/relationships/footer" Target="footer40.xml"/><Relationship Id="rId77" Type="http://schemas.openxmlformats.org/officeDocument/2006/relationships/image" Target="media/image24.png"/><Relationship Id="rId76" Type="http://schemas.openxmlformats.org/officeDocument/2006/relationships/footer" Target="footer39.xml"/><Relationship Id="rId75" Type="http://schemas.openxmlformats.org/officeDocument/2006/relationships/image" Target="media/image23.png"/><Relationship Id="rId74" Type="http://schemas.openxmlformats.org/officeDocument/2006/relationships/footer" Target="footer38.xml"/><Relationship Id="rId73" Type="http://schemas.openxmlformats.org/officeDocument/2006/relationships/image" Target="media/image22.png"/><Relationship Id="rId72" Type="http://schemas.openxmlformats.org/officeDocument/2006/relationships/footer" Target="footer37.xml"/><Relationship Id="rId71" Type="http://schemas.openxmlformats.org/officeDocument/2006/relationships/image" Target="media/image21.png"/><Relationship Id="rId70" Type="http://schemas.openxmlformats.org/officeDocument/2006/relationships/footer" Target="footer36.xml"/><Relationship Id="rId7" Type="http://schemas.openxmlformats.org/officeDocument/2006/relationships/header" Target="header5.xml"/><Relationship Id="rId69" Type="http://schemas.openxmlformats.org/officeDocument/2006/relationships/image" Target="media/image20.png"/><Relationship Id="rId68" Type="http://schemas.openxmlformats.org/officeDocument/2006/relationships/footer" Target="footer35.xml"/><Relationship Id="rId67" Type="http://schemas.openxmlformats.org/officeDocument/2006/relationships/image" Target="media/image19.png"/><Relationship Id="rId66" Type="http://schemas.openxmlformats.org/officeDocument/2006/relationships/footer" Target="footer34.xml"/><Relationship Id="rId65" Type="http://schemas.openxmlformats.org/officeDocument/2006/relationships/image" Target="media/image18.png"/><Relationship Id="rId64" Type="http://schemas.openxmlformats.org/officeDocument/2006/relationships/footer" Target="footer33.xml"/><Relationship Id="rId63" Type="http://schemas.openxmlformats.org/officeDocument/2006/relationships/image" Target="media/image17.png"/><Relationship Id="rId62" Type="http://schemas.openxmlformats.org/officeDocument/2006/relationships/footer" Target="footer32.xml"/><Relationship Id="rId61" Type="http://schemas.openxmlformats.org/officeDocument/2006/relationships/image" Target="media/image16.png"/><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footer" Target="footer30.xml"/><Relationship Id="rId57" Type="http://schemas.openxmlformats.org/officeDocument/2006/relationships/image" Target="media/image14.png"/><Relationship Id="rId56" Type="http://schemas.openxmlformats.org/officeDocument/2006/relationships/footer" Target="footer29.xml"/><Relationship Id="rId55" Type="http://schemas.openxmlformats.org/officeDocument/2006/relationships/image" Target="media/image13.png"/><Relationship Id="rId54" Type="http://schemas.openxmlformats.org/officeDocument/2006/relationships/footer" Target="footer28.xml"/><Relationship Id="rId53" Type="http://schemas.openxmlformats.org/officeDocument/2006/relationships/image" Target="media/image12.png"/><Relationship Id="rId52" Type="http://schemas.openxmlformats.org/officeDocument/2006/relationships/footer" Target="footer27.xml"/><Relationship Id="rId51" Type="http://schemas.openxmlformats.org/officeDocument/2006/relationships/image" Target="media/image11.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image" Target="media/image10.png"/><Relationship Id="rId48" Type="http://schemas.openxmlformats.org/officeDocument/2006/relationships/footer" Target="footer25.xml"/><Relationship Id="rId47" Type="http://schemas.openxmlformats.org/officeDocument/2006/relationships/image" Target="media/image9.png"/><Relationship Id="rId46" Type="http://schemas.openxmlformats.org/officeDocument/2006/relationships/footer" Target="footer24.xml"/><Relationship Id="rId45" Type="http://schemas.openxmlformats.org/officeDocument/2006/relationships/image" Target="media/image8.png"/><Relationship Id="rId44" Type="http://schemas.openxmlformats.org/officeDocument/2006/relationships/footer" Target="footer23.xml"/><Relationship Id="rId43" Type="http://schemas.openxmlformats.org/officeDocument/2006/relationships/image" Target="media/image7.png"/><Relationship Id="rId42" Type="http://schemas.openxmlformats.org/officeDocument/2006/relationships/footer" Target="footer22.xml"/><Relationship Id="rId41" Type="http://schemas.openxmlformats.org/officeDocument/2006/relationships/image" Target="media/image6.png"/><Relationship Id="rId40" Type="http://schemas.openxmlformats.org/officeDocument/2006/relationships/footer" Target="footer21.xml"/><Relationship Id="rId4" Type="http://schemas.openxmlformats.org/officeDocument/2006/relationships/header" Target="header3.xml"/><Relationship Id="rId39" Type="http://schemas.openxmlformats.org/officeDocument/2006/relationships/image" Target="media/image5.png"/><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footer" Target="footer18.xml"/><Relationship Id="rId32" Type="http://schemas.openxmlformats.org/officeDocument/2006/relationships/image" Target="media/image2.png"/><Relationship Id="rId31" Type="http://schemas.openxmlformats.org/officeDocument/2006/relationships/footer" Target="footer17.xml"/><Relationship Id="rId30" Type="http://schemas.openxmlformats.org/officeDocument/2006/relationships/header" Target="header13.xml"/><Relationship Id="rId3" Type="http://schemas.openxmlformats.org/officeDocument/2006/relationships/image" Target="media/image1.png"/><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header" Target="header12.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1.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2025-03-27T10:46:27Z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2025-04-01T17:11:33</vt:filetime>
  </property>
</Properties>
</file>