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D43843">
      <w:pPr>
        <w:autoSpaceDE w:val="0"/>
        <w:autoSpaceDN w:val="0"/>
        <w:adjustRightInd w:val="0"/>
        <w:spacing w:line="600" w:lineRule="exact"/>
        <w:rPr>
          <w:rFonts w:ascii="仿宋_GB2312" w:eastAsia="仿宋_GB2312"/>
          <w:spacing w:val="-2"/>
          <w:sz w:val="56"/>
          <w:szCs w:val="56"/>
        </w:rPr>
      </w:pPr>
      <w:bookmarkStart w:id="0" w:name="_Toc1918375515"/>
      <w:bookmarkStart w:id="1" w:name="_Toc1052735689"/>
    </w:p>
    <w:p w14:paraId="567F39DB">
      <w:pPr>
        <w:autoSpaceDE w:val="0"/>
        <w:autoSpaceDN w:val="0"/>
        <w:adjustRightInd w:val="0"/>
        <w:spacing w:line="600" w:lineRule="exact"/>
        <w:jc w:val="center"/>
        <w:rPr>
          <w:rFonts w:eastAsia="方正大标宋简体"/>
          <w:spacing w:val="-2"/>
          <w:sz w:val="56"/>
          <w:szCs w:val="56"/>
        </w:rPr>
      </w:pPr>
    </w:p>
    <w:p w14:paraId="69DB6664">
      <w:pPr>
        <w:autoSpaceDE w:val="0"/>
        <w:autoSpaceDN w:val="0"/>
        <w:adjustRightInd w:val="0"/>
        <w:spacing w:line="600" w:lineRule="exact"/>
        <w:jc w:val="center"/>
        <w:outlineLvl w:val="0"/>
        <w:rPr>
          <w:rFonts w:eastAsia="方正大标宋简体"/>
          <w:spacing w:val="-2"/>
          <w:sz w:val="56"/>
          <w:szCs w:val="56"/>
        </w:rPr>
      </w:pPr>
      <w:bookmarkStart w:id="2" w:name="_Toc1659"/>
      <w:bookmarkStart w:id="3" w:name="_Toc9393"/>
      <w:bookmarkStart w:id="4" w:name="_Toc24202"/>
      <w:bookmarkStart w:id="5" w:name="_Toc7769"/>
      <w:bookmarkStart w:id="6" w:name="_Toc29737"/>
      <w:bookmarkStart w:id="7" w:name="_Toc10469"/>
      <w:bookmarkStart w:id="8" w:name="_Toc3632"/>
      <w:bookmarkStart w:id="9" w:name="_Toc219877161"/>
      <w:bookmarkStart w:id="10" w:name="_Toc22208"/>
      <w:bookmarkStart w:id="11" w:name="_Toc223176529"/>
      <w:bookmarkStart w:id="12" w:name="_Toc3571"/>
      <w:bookmarkStart w:id="13" w:name="_Toc29748"/>
      <w:bookmarkStart w:id="14" w:name="_Tocxtpnb7"/>
      <w:bookmarkStart w:id="15" w:name="_Toc15201"/>
      <w:bookmarkStart w:id="16" w:name="_Toc478123168"/>
      <w:r>
        <w:rPr>
          <w:rFonts w:hint="eastAsia" w:ascii="Arial Unicode MS" w:hAnsi="Arial Unicode MS" w:eastAsia="Arial Unicode MS" w:cs="Arial Unicode MS"/>
          <w:spacing w:val="-2"/>
          <w:sz w:val="56"/>
          <w:szCs w:val="56"/>
        </w:rPr>
        <w:t>长治高新技术产业开发区</w:t>
      </w:r>
      <w:r>
        <w:rPr>
          <w:rFonts w:ascii="Arial Unicode MS" w:hAnsi="Arial Unicode MS" w:eastAsia="Arial Unicode MS" w:cs="Arial Unicode MS"/>
          <w:spacing w:val="-2"/>
          <w:sz w:val="56"/>
          <w:szCs w:val="56"/>
        </w:rPr>
        <w:br w:type="textWrapping"/>
      </w:r>
      <w:r>
        <w:rPr>
          <w:rFonts w:hint="eastAsia" w:ascii="Arial Unicode MS" w:hAnsi="Arial Unicode MS" w:eastAsia="Arial Unicode MS" w:cs="Arial Unicode MS"/>
          <w:spacing w:val="-2"/>
          <w:sz w:val="56"/>
          <w:szCs w:val="56"/>
        </w:rPr>
        <w:t>“十五五”发展规划</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20F3F062">
      <w:pPr>
        <w:pStyle w:val="14"/>
        <w:spacing w:line="600" w:lineRule="exact"/>
        <w:ind w:left="0"/>
      </w:pPr>
    </w:p>
    <w:p w14:paraId="4959A236">
      <w:pPr>
        <w:pStyle w:val="14"/>
        <w:spacing w:line="600" w:lineRule="exact"/>
        <w:ind w:left="0"/>
      </w:pPr>
    </w:p>
    <w:p w14:paraId="0EB0DDD1">
      <w:pPr>
        <w:pStyle w:val="14"/>
        <w:spacing w:line="600" w:lineRule="exact"/>
        <w:ind w:left="0"/>
      </w:pPr>
    </w:p>
    <w:p w14:paraId="323A597E">
      <w:pPr>
        <w:pStyle w:val="14"/>
        <w:spacing w:line="600" w:lineRule="exact"/>
        <w:ind w:left="0"/>
      </w:pPr>
    </w:p>
    <w:p w14:paraId="038803F4">
      <w:pPr>
        <w:pStyle w:val="14"/>
        <w:spacing w:line="600" w:lineRule="exact"/>
        <w:ind w:left="0"/>
      </w:pPr>
    </w:p>
    <w:p w14:paraId="140C5E91">
      <w:pPr>
        <w:pStyle w:val="14"/>
        <w:spacing w:line="600" w:lineRule="exact"/>
        <w:ind w:left="0"/>
      </w:pPr>
    </w:p>
    <w:p w14:paraId="3994999F">
      <w:pPr>
        <w:pStyle w:val="14"/>
        <w:spacing w:line="600" w:lineRule="exact"/>
        <w:ind w:left="0"/>
      </w:pPr>
    </w:p>
    <w:p w14:paraId="14D64467">
      <w:pPr>
        <w:pStyle w:val="14"/>
        <w:spacing w:line="600" w:lineRule="exact"/>
        <w:ind w:left="0"/>
      </w:pPr>
    </w:p>
    <w:p w14:paraId="7B0ADC83">
      <w:pPr>
        <w:pStyle w:val="14"/>
        <w:spacing w:line="600" w:lineRule="exact"/>
        <w:ind w:left="0"/>
      </w:pPr>
    </w:p>
    <w:p w14:paraId="6ABA7729">
      <w:pPr>
        <w:pStyle w:val="14"/>
        <w:spacing w:line="600" w:lineRule="exact"/>
        <w:ind w:left="0"/>
      </w:pPr>
    </w:p>
    <w:p w14:paraId="0E7A5D8D">
      <w:pPr>
        <w:pStyle w:val="14"/>
        <w:spacing w:line="600" w:lineRule="exact"/>
        <w:ind w:left="0"/>
      </w:pPr>
    </w:p>
    <w:p w14:paraId="0763B528">
      <w:pPr>
        <w:pStyle w:val="14"/>
        <w:spacing w:line="600" w:lineRule="exact"/>
        <w:ind w:left="0"/>
      </w:pPr>
    </w:p>
    <w:p w14:paraId="17296539">
      <w:pPr>
        <w:pStyle w:val="14"/>
        <w:spacing w:line="600" w:lineRule="exact"/>
        <w:ind w:left="0"/>
      </w:pPr>
    </w:p>
    <w:p w14:paraId="2A1CFD32">
      <w:pPr>
        <w:pStyle w:val="14"/>
        <w:spacing w:line="600" w:lineRule="exact"/>
        <w:ind w:left="0"/>
      </w:pPr>
    </w:p>
    <w:p w14:paraId="352A3790">
      <w:pPr>
        <w:pStyle w:val="14"/>
        <w:spacing w:line="600" w:lineRule="exact"/>
        <w:ind w:left="0"/>
      </w:pPr>
    </w:p>
    <w:p w14:paraId="2FA26555">
      <w:pPr>
        <w:spacing w:line="600" w:lineRule="exact"/>
        <w:ind w:right="283"/>
        <w:jc w:val="center"/>
        <w:rPr>
          <w:rFonts w:ascii="Arial Unicode MS" w:hAnsi="Arial Unicode MS" w:eastAsia="Arial Unicode MS" w:cs="Arial Unicode MS"/>
          <w:spacing w:val="-4"/>
          <w:sz w:val="28"/>
          <w:szCs w:val="32"/>
        </w:rPr>
      </w:pPr>
      <w:bookmarkStart w:id="17" w:name="_Toc3706"/>
      <w:bookmarkStart w:id="18" w:name="_Toc29597"/>
      <w:bookmarkStart w:id="19" w:name="_Toc28424"/>
      <w:bookmarkStart w:id="20" w:name="_Toc28729"/>
      <w:bookmarkStart w:id="21" w:name="_Toc18298"/>
      <w:bookmarkStart w:id="22" w:name="_Toc24882"/>
      <w:bookmarkStart w:id="23" w:name="_Toc11260"/>
      <w:bookmarkStart w:id="24" w:name="_Toc27491"/>
      <w:bookmarkStart w:id="25" w:name="_Toc16367"/>
      <w:bookmarkStart w:id="26" w:name="_Toc19795"/>
      <w:bookmarkStart w:id="27" w:name="_Toc9882"/>
      <w:bookmarkStart w:id="28" w:name="_Toc22744"/>
      <w:bookmarkStart w:id="29" w:name="_Toc5596"/>
      <w:bookmarkStart w:id="30" w:name="_Toc18306"/>
      <w:bookmarkStart w:id="31" w:name="_Toc22251"/>
      <w:bookmarkStart w:id="32" w:name="_Toc31992"/>
      <w:bookmarkStart w:id="33" w:name="_Toc25629"/>
      <w:bookmarkStart w:id="34" w:name="_Toc32344"/>
      <w:r>
        <w:rPr>
          <w:rFonts w:hint="eastAsia" w:ascii="Arial Unicode MS" w:hAnsi="Arial Unicode MS" w:eastAsia="Arial Unicode MS" w:cs="Arial Unicode MS"/>
          <w:spacing w:val="-2"/>
          <w:sz w:val="28"/>
          <w:szCs w:val="32"/>
        </w:rPr>
        <w:t>二〇二六年</w:t>
      </w:r>
      <w:r>
        <w:rPr>
          <w:rFonts w:hint="eastAsia" w:ascii="宋体" w:hAnsi="宋体" w:cs="宋体"/>
          <w:spacing w:val="-4"/>
          <w:sz w:val="28"/>
          <w:szCs w:val="32"/>
        </w:rPr>
        <w:t>三</w:t>
      </w:r>
      <w:r>
        <w:rPr>
          <w:rFonts w:hint="eastAsia" w:ascii="Arial Unicode MS" w:hAnsi="Arial Unicode MS" w:eastAsia="Arial Unicode MS" w:cs="Arial Unicode MS"/>
          <w:spacing w:val="-4"/>
          <w:sz w:val="28"/>
          <w:szCs w:val="32"/>
        </w:rPr>
        <w:t>月</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6931504D">
      <w:pPr>
        <w:pStyle w:val="2"/>
      </w:pPr>
      <w:r>
        <w:rPr>
          <w:rFonts w:hint="eastAsia"/>
        </w:rPr>
        <w:br w:type="page"/>
      </w:r>
    </w:p>
    <w:p w14:paraId="491F97FD">
      <w:pPr>
        <w:spacing w:line="600" w:lineRule="exact"/>
        <w:ind w:right="283"/>
        <w:jc w:val="center"/>
        <w:rPr>
          <w:rFonts w:ascii="Arial Unicode MS" w:hAnsi="Arial Unicode MS" w:eastAsia="Arial Unicode MS" w:cs="Arial Unicode MS"/>
          <w:spacing w:val="-4"/>
        </w:rPr>
      </w:pPr>
      <w:r>
        <w:rPr>
          <w:rFonts w:ascii="宋体" w:hAnsi="宋体"/>
          <w:b/>
          <w:bCs/>
          <w:sz w:val="40"/>
          <w:szCs w:val="44"/>
        </w:rPr>
        <w:drawing>
          <wp:anchor distT="0" distB="0" distL="114300" distR="114300" simplePos="0" relativeHeight="251661312" behindDoc="0" locked="0" layoutInCell="1" allowOverlap="1">
            <wp:simplePos x="0" y="0"/>
            <wp:positionH relativeFrom="column">
              <wp:posOffset>-289560</wp:posOffset>
            </wp:positionH>
            <wp:positionV relativeFrom="paragraph">
              <wp:posOffset>0</wp:posOffset>
            </wp:positionV>
            <wp:extent cx="6256020" cy="8341360"/>
            <wp:effectExtent l="0" t="0" r="0" b="2540"/>
            <wp:wrapTopAndBottom/>
            <wp:docPr id="15720438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43895"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256020" cy="8341360"/>
                    </a:xfrm>
                    <a:prstGeom prst="rect">
                      <a:avLst/>
                    </a:prstGeom>
                  </pic:spPr>
                </pic:pic>
              </a:graphicData>
            </a:graphic>
          </wp:anchor>
        </w:drawing>
      </w:r>
    </w:p>
    <w:p w14:paraId="7DBF24C7">
      <w:pPr>
        <w:pStyle w:val="2"/>
      </w:pPr>
      <w:r>
        <w:drawing>
          <wp:anchor distT="0" distB="0" distL="114300" distR="114300" simplePos="0" relativeHeight="251662336" behindDoc="0" locked="0" layoutInCell="1" allowOverlap="1">
            <wp:simplePos x="0" y="0"/>
            <wp:positionH relativeFrom="column">
              <wp:posOffset>-419100</wp:posOffset>
            </wp:positionH>
            <wp:positionV relativeFrom="paragraph">
              <wp:posOffset>0</wp:posOffset>
            </wp:positionV>
            <wp:extent cx="6324600" cy="6553200"/>
            <wp:effectExtent l="0" t="0" r="0" b="0"/>
            <wp:wrapTopAndBottom/>
            <wp:docPr id="1242025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25824"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324912" cy="6553200"/>
                    </a:xfrm>
                    <a:prstGeom prst="rect">
                      <a:avLst/>
                    </a:prstGeom>
                  </pic:spPr>
                </pic:pic>
              </a:graphicData>
            </a:graphic>
          </wp:anchor>
        </w:drawing>
      </w:r>
      <w:r>
        <w:rPr>
          <w:rFonts w:hint="eastAsia"/>
        </w:rPr>
        <w:br w:type="page"/>
      </w:r>
    </w:p>
    <w:p w14:paraId="42513B04">
      <w:pPr>
        <w:spacing w:line="600" w:lineRule="exact"/>
        <w:ind w:right="283"/>
        <w:jc w:val="center"/>
        <w:rPr>
          <w:rFonts w:ascii="Arial Unicode MS" w:hAnsi="Arial Unicode MS" w:eastAsia="Arial Unicode MS" w:cs="Arial Unicode MS"/>
          <w:spacing w:val="-4"/>
        </w:rPr>
        <w:sectPr>
          <w:footerReference r:id="rId3" w:type="default"/>
          <w:footerReference r:id="rId4" w:type="even"/>
          <w:pgSz w:w="11910" w:h="16840"/>
          <w:pgMar w:top="2098" w:right="1531" w:bottom="1984" w:left="1531" w:header="0" w:footer="1423" w:gutter="0"/>
          <w:pgNumType w:start="1"/>
          <w:cols w:space="720" w:num="1"/>
        </w:sectPr>
      </w:pPr>
    </w:p>
    <w:p w14:paraId="04163570">
      <w:pPr>
        <w:spacing w:line="600" w:lineRule="exact"/>
        <w:jc w:val="center"/>
        <w:rPr>
          <w:b/>
          <w:bCs/>
          <w:sz w:val="40"/>
          <w:szCs w:val="44"/>
        </w:rPr>
      </w:pPr>
      <w:r>
        <w:rPr>
          <w:rFonts w:hint="eastAsia" w:ascii="宋体" w:hAnsi="宋体"/>
          <w:b/>
          <w:bCs/>
          <w:sz w:val="40"/>
          <w:szCs w:val="44"/>
        </w:rPr>
        <w:t>目录</w:t>
      </w:r>
    </w:p>
    <w:p w14:paraId="630CCF12">
      <w:pPr>
        <w:pStyle w:val="18"/>
        <w:tabs>
          <w:tab w:val="right" w:leader="dot" w:pos="9026"/>
        </w:tabs>
        <w:rPr>
          <w:rFonts w:ascii="宋体" w:hAnsi="宋体" w:cs="宋体"/>
          <w:sz w:val="32"/>
          <w:szCs w:val="32"/>
        </w:rPr>
      </w:pPr>
      <w:r>
        <w:rPr>
          <w:rFonts w:hint="eastAsia" w:ascii="宋体" w:hAnsi="宋体" w:cs="宋体"/>
          <w:snapToGrid w:val="0"/>
          <w:color w:val="000000"/>
          <w:sz w:val="32"/>
          <w:szCs w:val="32"/>
        </w:rPr>
        <w:fldChar w:fldCharType="begin"/>
      </w:r>
      <w:r>
        <w:rPr>
          <w:rFonts w:hint="eastAsia" w:ascii="宋体" w:hAnsi="宋体" w:cs="宋体"/>
          <w:snapToGrid w:val="0"/>
          <w:color w:val="000000"/>
          <w:sz w:val="32"/>
          <w:szCs w:val="32"/>
        </w:rPr>
        <w:instrText xml:space="preserve">TOC \o "1-2" \h \u </w:instrText>
      </w:r>
      <w:r>
        <w:rPr>
          <w:rFonts w:hint="eastAsia" w:ascii="宋体" w:hAnsi="宋体" w:cs="宋体"/>
          <w:snapToGrid w:val="0"/>
          <w:color w:val="000000"/>
          <w:sz w:val="32"/>
          <w:szCs w:val="32"/>
        </w:rPr>
        <w:fldChar w:fldCharType="separate"/>
      </w:r>
      <w:r>
        <w:fldChar w:fldCharType="begin"/>
      </w:r>
      <w:r>
        <w:instrText xml:space="preserve"> HYPERLINK \l "_Toc991" </w:instrText>
      </w:r>
      <w:r>
        <w:fldChar w:fldCharType="separate"/>
      </w:r>
      <w:r>
        <w:rPr>
          <w:rFonts w:hint="eastAsia" w:ascii="宋体" w:hAnsi="宋体" w:cs="宋体"/>
          <w:bCs/>
          <w:sz w:val="32"/>
          <w:szCs w:val="32"/>
        </w:rPr>
        <w:t>前  言</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_Toc991 \h </w:instrText>
      </w:r>
      <w:r>
        <w:rPr>
          <w:rFonts w:hint="eastAsia" w:ascii="宋体" w:hAnsi="宋体" w:cs="宋体"/>
          <w:sz w:val="32"/>
          <w:szCs w:val="32"/>
        </w:rPr>
        <w:fldChar w:fldCharType="separate"/>
      </w:r>
      <w:r>
        <w:rPr>
          <w:rFonts w:hint="eastAsia" w:ascii="宋体" w:hAnsi="宋体" w:cs="宋体"/>
          <w:sz w:val="32"/>
          <w:szCs w:val="32"/>
        </w:rPr>
        <w:t>1</w:t>
      </w:r>
      <w:r>
        <w:rPr>
          <w:rFonts w:hint="eastAsia" w:ascii="宋体" w:hAnsi="宋体" w:cs="宋体"/>
          <w:sz w:val="32"/>
          <w:szCs w:val="32"/>
        </w:rPr>
        <w:fldChar w:fldCharType="end"/>
      </w:r>
      <w:r>
        <w:rPr>
          <w:rFonts w:hint="eastAsia" w:ascii="宋体" w:hAnsi="宋体" w:cs="宋体"/>
          <w:sz w:val="32"/>
          <w:szCs w:val="32"/>
        </w:rPr>
        <w:fldChar w:fldCharType="end"/>
      </w:r>
    </w:p>
    <w:p w14:paraId="7D70C704">
      <w:pPr>
        <w:pStyle w:val="18"/>
        <w:tabs>
          <w:tab w:val="right" w:leader="dot" w:pos="9026"/>
        </w:tabs>
        <w:rPr>
          <w:rFonts w:ascii="宋体" w:hAnsi="宋体" w:cs="宋体"/>
          <w:sz w:val="32"/>
          <w:szCs w:val="32"/>
        </w:rPr>
      </w:pPr>
      <w:r>
        <w:fldChar w:fldCharType="begin"/>
      </w:r>
      <w:r>
        <w:instrText xml:space="preserve"> HYPERLINK \l "_Toc19642" </w:instrText>
      </w:r>
      <w:r>
        <w:fldChar w:fldCharType="separate"/>
      </w:r>
      <w:r>
        <w:rPr>
          <w:rFonts w:hint="eastAsia" w:ascii="宋体" w:hAnsi="宋体" w:cs="宋体"/>
          <w:sz w:val="32"/>
          <w:szCs w:val="32"/>
        </w:rPr>
        <w:t>第一章 发展基础与形势研判</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_Toc19642 \h </w:instrText>
      </w:r>
      <w:r>
        <w:rPr>
          <w:rFonts w:hint="eastAsia" w:ascii="宋体" w:hAnsi="宋体" w:cs="宋体"/>
          <w:sz w:val="32"/>
          <w:szCs w:val="32"/>
        </w:rPr>
        <w:fldChar w:fldCharType="separate"/>
      </w:r>
      <w:r>
        <w:rPr>
          <w:rFonts w:hint="eastAsia" w:ascii="宋体" w:hAnsi="宋体" w:cs="宋体"/>
          <w:sz w:val="32"/>
          <w:szCs w:val="32"/>
        </w:rPr>
        <w:t>2</w:t>
      </w:r>
      <w:r>
        <w:rPr>
          <w:rFonts w:hint="eastAsia" w:ascii="宋体" w:hAnsi="宋体" w:cs="宋体"/>
          <w:sz w:val="32"/>
          <w:szCs w:val="32"/>
        </w:rPr>
        <w:fldChar w:fldCharType="end"/>
      </w:r>
      <w:r>
        <w:rPr>
          <w:rFonts w:hint="eastAsia" w:ascii="宋体" w:hAnsi="宋体" w:cs="宋体"/>
          <w:sz w:val="32"/>
          <w:szCs w:val="32"/>
        </w:rPr>
        <w:fldChar w:fldCharType="end"/>
      </w:r>
    </w:p>
    <w:p w14:paraId="6A8FF0B7">
      <w:pPr>
        <w:pStyle w:val="20"/>
        <w:tabs>
          <w:tab w:val="right" w:leader="dot" w:pos="9026"/>
        </w:tabs>
        <w:rPr>
          <w:rFonts w:ascii="宋体" w:hAnsi="宋体" w:cs="宋体"/>
          <w:sz w:val="32"/>
          <w:szCs w:val="32"/>
        </w:rPr>
      </w:pPr>
      <w:r>
        <w:fldChar w:fldCharType="begin"/>
      </w:r>
      <w:r>
        <w:instrText xml:space="preserve"> HYPERLINK \l "_Toc3283" </w:instrText>
      </w:r>
      <w:r>
        <w:fldChar w:fldCharType="separate"/>
      </w:r>
      <w:r>
        <w:rPr>
          <w:rFonts w:hint="eastAsia" w:ascii="宋体" w:hAnsi="宋体" w:cs="宋体"/>
          <w:sz w:val="32"/>
          <w:szCs w:val="32"/>
        </w:rPr>
        <w:t>第一节 “十四五”时期发展成就</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_Toc3283 \h </w:instrText>
      </w:r>
      <w:r>
        <w:rPr>
          <w:rFonts w:hint="eastAsia" w:ascii="宋体" w:hAnsi="宋体" w:cs="宋体"/>
          <w:sz w:val="32"/>
          <w:szCs w:val="32"/>
        </w:rPr>
        <w:fldChar w:fldCharType="separate"/>
      </w:r>
      <w:r>
        <w:rPr>
          <w:rFonts w:hint="eastAsia" w:ascii="宋体" w:hAnsi="宋体" w:cs="宋体"/>
          <w:sz w:val="32"/>
          <w:szCs w:val="32"/>
        </w:rPr>
        <w:t>2</w:t>
      </w:r>
      <w:r>
        <w:rPr>
          <w:rFonts w:hint="eastAsia" w:ascii="宋体" w:hAnsi="宋体" w:cs="宋体"/>
          <w:sz w:val="32"/>
          <w:szCs w:val="32"/>
        </w:rPr>
        <w:fldChar w:fldCharType="end"/>
      </w:r>
      <w:r>
        <w:rPr>
          <w:rFonts w:hint="eastAsia" w:ascii="宋体" w:hAnsi="宋体" w:cs="宋体"/>
          <w:sz w:val="32"/>
          <w:szCs w:val="32"/>
        </w:rPr>
        <w:fldChar w:fldCharType="end"/>
      </w:r>
    </w:p>
    <w:p w14:paraId="2F129DE2">
      <w:pPr>
        <w:pStyle w:val="20"/>
        <w:tabs>
          <w:tab w:val="right" w:leader="dot" w:pos="9026"/>
        </w:tabs>
        <w:rPr>
          <w:rFonts w:ascii="宋体" w:hAnsi="宋体" w:cs="宋体"/>
          <w:sz w:val="32"/>
          <w:szCs w:val="32"/>
        </w:rPr>
      </w:pPr>
      <w:r>
        <w:fldChar w:fldCharType="begin"/>
      </w:r>
      <w:r>
        <w:instrText xml:space="preserve"> HYPERLINK \l "_Toc29375" </w:instrText>
      </w:r>
      <w:r>
        <w:fldChar w:fldCharType="separate"/>
      </w:r>
      <w:r>
        <w:rPr>
          <w:rFonts w:hint="eastAsia" w:ascii="宋体" w:hAnsi="宋体" w:cs="宋体"/>
          <w:sz w:val="32"/>
          <w:szCs w:val="32"/>
        </w:rPr>
        <w:t>第二节 “十五五”面临的新机遇和新挑战</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_Toc29375 \h </w:instrText>
      </w:r>
      <w:r>
        <w:rPr>
          <w:rFonts w:hint="eastAsia" w:ascii="宋体" w:hAnsi="宋体" w:cs="宋体"/>
          <w:sz w:val="32"/>
          <w:szCs w:val="32"/>
        </w:rPr>
        <w:fldChar w:fldCharType="separate"/>
      </w:r>
      <w:r>
        <w:rPr>
          <w:rFonts w:hint="eastAsia" w:ascii="宋体" w:hAnsi="宋体" w:cs="宋体"/>
          <w:sz w:val="32"/>
          <w:szCs w:val="32"/>
        </w:rPr>
        <w:t>5</w:t>
      </w:r>
      <w:r>
        <w:rPr>
          <w:rFonts w:hint="eastAsia" w:ascii="宋体" w:hAnsi="宋体" w:cs="宋体"/>
          <w:sz w:val="32"/>
          <w:szCs w:val="32"/>
        </w:rPr>
        <w:fldChar w:fldCharType="end"/>
      </w:r>
      <w:r>
        <w:rPr>
          <w:rFonts w:hint="eastAsia" w:ascii="宋体" w:hAnsi="宋体" w:cs="宋体"/>
          <w:sz w:val="32"/>
          <w:szCs w:val="32"/>
        </w:rPr>
        <w:fldChar w:fldCharType="end"/>
      </w:r>
    </w:p>
    <w:p w14:paraId="783FB52C">
      <w:pPr>
        <w:pStyle w:val="18"/>
        <w:tabs>
          <w:tab w:val="right" w:leader="dot" w:pos="9026"/>
        </w:tabs>
        <w:rPr>
          <w:rFonts w:ascii="宋体" w:hAnsi="宋体" w:cs="宋体"/>
          <w:sz w:val="32"/>
          <w:szCs w:val="32"/>
        </w:rPr>
      </w:pPr>
      <w:r>
        <w:fldChar w:fldCharType="begin"/>
      </w:r>
      <w:r>
        <w:instrText xml:space="preserve"> HYPERLINK \l "_Toc11202" </w:instrText>
      </w:r>
      <w:r>
        <w:fldChar w:fldCharType="separate"/>
      </w:r>
      <w:r>
        <w:rPr>
          <w:rFonts w:hint="eastAsia" w:ascii="宋体" w:hAnsi="宋体" w:cs="宋体"/>
          <w:sz w:val="32"/>
          <w:szCs w:val="32"/>
        </w:rPr>
        <w:t>第二章 总体思路与战略定位</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_Toc11202 \h </w:instrText>
      </w:r>
      <w:r>
        <w:rPr>
          <w:rFonts w:hint="eastAsia" w:ascii="宋体" w:hAnsi="宋体" w:cs="宋体"/>
          <w:sz w:val="32"/>
          <w:szCs w:val="32"/>
        </w:rPr>
        <w:fldChar w:fldCharType="separate"/>
      </w:r>
      <w:r>
        <w:rPr>
          <w:rFonts w:hint="eastAsia" w:ascii="宋体" w:hAnsi="宋体" w:cs="宋体"/>
          <w:sz w:val="32"/>
          <w:szCs w:val="32"/>
        </w:rPr>
        <w:t>8</w:t>
      </w:r>
      <w:r>
        <w:rPr>
          <w:rFonts w:hint="eastAsia" w:ascii="宋体" w:hAnsi="宋体" w:cs="宋体"/>
          <w:sz w:val="32"/>
          <w:szCs w:val="32"/>
        </w:rPr>
        <w:fldChar w:fldCharType="end"/>
      </w:r>
      <w:r>
        <w:rPr>
          <w:rFonts w:hint="eastAsia" w:ascii="宋体" w:hAnsi="宋体" w:cs="宋体"/>
          <w:sz w:val="32"/>
          <w:szCs w:val="32"/>
        </w:rPr>
        <w:fldChar w:fldCharType="end"/>
      </w:r>
    </w:p>
    <w:p w14:paraId="3F166387">
      <w:pPr>
        <w:pStyle w:val="20"/>
        <w:tabs>
          <w:tab w:val="right" w:leader="dot" w:pos="9026"/>
        </w:tabs>
        <w:rPr>
          <w:rFonts w:ascii="宋体" w:hAnsi="宋体" w:cs="宋体"/>
          <w:sz w:val="32"/>
          <w:szCs w:val="32"/>
        </w:rPr>
      </w:pPr>
      <w:r>
        <w:fldChar w:fldCharType="begin"/>
      </w:r>
      <w:r>
        <w:instrText xml:space="preserve"> HYPERLINK \l "_Toc26647" </w:instrText>
      </w:r>
      <w:r>
        <w:fldChar w:fldCharType="separate"/>
      </w:r>
      <w:r>
        <w:rPr>
          <w:rFonts w:hint="eastAsia" w:ascii="宋体" w:hAnsi="宋体" w:cs="宋体"/>
          <w:sz w:val="32"/>
          <w:szCs w:val="32"/>
        </w:rPr>
        <w:t>第一节 指导思想</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_Toc26647 \h </w:instrText>
      </w:r>
      <w:r>
        <w:rPr>
          <w:rFonts w:hint="eastAsia" w:ascii="宋体" w:hAnsi="宋体" w:cs="宋体"/>
          <w:sz w:val="32"/>
          <w:szCs w:val="32"/>
        </w:rPr>
        <w:fldChar w:fldCharType="separate"/>
      </w:r>
      <w:r>
        <w:rPr>
          <w:rFonts w:hint="eastAsia" w:ascii="宋体" w:hAnsi="宋体" w:cs="宋体"/>
          <w:sz w:val="32"/>
          <w:szCs w:val="32"/>
        </w:rPr>
        <w:t>8</w:t>
      </w:r>
      <w:r>
        <w:rPr>
          <w:rFonts w:hint="eastAsia" w:ascii="宋体" w:hAnsi="宋体" w:cs="宋体"/>
          <w:sz w:val="32"/>
          <w:szCs w:val="32"/>
        </w:rPr>
        <w:fldChar w:fldCharType="end"/>
      </w:r>
      <w:r>
        <w:rPr>
          <w:rFonts w:hint="eastAsia" w:ascii="宋体" w:hAnsi="宋体" w:cs="宋体"/>
          <w:sz w:val="32"/>
          <w:szCs w:val="32"/>
        </w:rPr>
        <w:fldChar w:fldCharType="end"/>
      </w:r>
    </w:p>
    <w:p w14:paraId="58F50656">
      <w:pPr>
        <w:pStyle w:val="20"/>
        <w:tabs>
          <w:tab w:val="right" w:leader="dot" w:pos="9026"/>
        </w:tabs>
        <w:rPr>
          <w:rFonts w:ascii="宋体" w:hAnsi="宋体" w:cs="宋体"/>
          <w:sz w:val="32"/>
          <w:szCs w:val="32"/>
        </w:rPr>
      </w:pPr>
      <w:r>
        <w:fldChar w:fldCharType="begin"/>
      </w:r>
      <w:r>
        <w:instrText xml:space="preserve"> HYPERLINK \l "_Toc17904" </w:instrText>
      </w:r>
      <w:r>
        <w:fldChar w:fldCharType="separate"/>
      </w:r>
      <w:r>
        <w:rPr>
          <w:rFonts w:hint="eastAsia" w:ascii="宋体" w:hAnsi="宋体" w:cs="宋体"/>
          <w:sz w:val="32"/>
          <w:szCs w:val="32"/>
        </w:rPr>
        <w:t>第二节 基本原则</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_Toc17904 \h </w:instrText>
      </w:r>
      <w:r>
        <w:rPr>
          <w:rFonts w:hint="eastAsia" w:ascii="宋体" w:hAnsi="宋体" w:cs="宋体"/>
          <w:sz w:val="32"/>
          <w:szCs w:val="32"/>
        </w:rPr>
        <w:fldChar w:fldCharType="separate"/>
      </w:r>
      <w:r>
        <w:rPr>
          <w:rFonts w:hint="eastAsia" w:ascii="宋体" w:hAnsi="宋体" w:cs="宋体"/>
          <w:sz w:val="32"/>
          <w:szCs w:val="32"/>
        </w:rPr>
        <w:t>9</w:t>
      </w:r>
      <w:r>
        <w:rPr>
          <w:rFonts w:hint="eastAsia" w:ascii="宋体" w:hAnsi="宋体" w:cs="宋体"/>
          <w:sz w:val="32"/>
          <w:szCs w:val="32"/>
        </w:rPr>
        <w:fldChar w:fldCharType="end"/>
      </w:r>
      <w:r>
        <w:rPr>
          <w:rFonts w:hint="eastAsia" w:ascii="宋体" w:hAnsi="宋体" w:cs="宋体"/>
          <w:sz w:val="32"/>
          <w:szCs w:val="32"/>
        </w:rPr>
        <w:fldChar w:fldCharType="end"/>
      </w:r>
    </w:p>
    <w:p w14:paraId="4B00F858">
      <w:pPr>
        <w:pStyle w:val="20"/>
        <w:tabs>
          <w:tab w:val="right" w:leader="dot" w:pos="9026"/>
        </w:tabs>
        <w:rPr>
          <w:rFonts w:ascii="宋体" w:hAnsi="宋体" w:cs="宋体"/>
          <w:sz w:val="32"/>
          <w:szCs w:val="32"/>
        </w:rPr>
      </w:pPr>
      <w:r>
        <w:fldChar w:fldCharType="begin"/>
      </w:r>
      <w:r>
        <w:instrText xml:space="preserve"> HYPERLINK \l "_Toc22798" </w:instrText>
      </w:r>
      <w:r>
        <w:fldChar w:fldCharType="separate"/>
      </w:r>
      <w:r>
        <w:rPr>
          <w:rFonts w:hint="eastAsia" w:ascii="宋体" w:hAnsi="宋体" w:cs="宋体"/>
          <w:sz w:val="32"/>
          <w:szCs w:val="32"/>
        </w:rPr>
        <w:t>第三节 战略定位</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_Toc22798 \h </w:instrText>
      </w:r>
      <w:r>
        <w:rPr>
          <w:rFonts w:hint="eastAsia" w:ascii="宋体" w:hAnsi="宋体" w:cs="宋体"/>
          <w:sz w:val="32"/>
          <w:szCs w:val="32"/>
        </w:rPr>
        <w:fldChar w:fldCharType="separate"/>
      </w:r>
      <w:r>
        <w:rPr>
          <w:rFonts w:hint="eastAsia" w:ascii="宋体" w:hAnsi="宋体" w:cs="宋体"/>
          <w:sz w:val="32"/>
          <w:szCs w:val="32"/>
        </w:rPr>
        <w:t>10</w:t>
      </w:r>
      <w:r>
        <w:rPr>
          <w:rFonts w:hint="eastAsia" w:ascii="宋体" w:hAnsi="宋体" w:cs="宋体"/>
          <w:sz w:val="32"/>
          <w:szCs w:val="32"/>
        </w:rPr>
        <w:fldChar w:fldCharType="end"/>
      </w:r>
      <w:r>
        <w:rPr>
          <w:rFonts w:hint="eastAsia" w:ascii="宋体" w:hAnsi="宋体" w:cs="宋体"/>
          <w:sz w:val="32"/>
          <w:szCs w:val="32"/>
        </w:rPr>
        <w:fldChar w:fldCharType="end"/>
      </w:r>
    </w:p>
    <w:p w14:paraId="7F441F68">
      <w:pPr>
        <w:pStyle w:val="20"/>
        <w:tabs>
          <w:tab w:val="right" w:leader="dot" w:pos="9026"/>
        </w:tabs>
        <w:rPr>
          <w:rFonts w:ascii="宋体" w:hAnsi="宋体" w:cs="宋体"/>
          <w:sz w:val="32"/>
          <w:szCs w:val="32"/>
        </w:rPr>
      </w:pPr>
      <w:r>
        <w:fldChar w:fldCharType="begin"/>
      </w:r>
      <w:r>
        <w:instrText xml:space="preserve"> HYPERLINK \l "_Toc10791" </w:instrText>
      </w:r>
      <w:r>
        <w:fldChar w:fldCharType="separate"/>
      </w:r>
      <w:r>
        <w:rPr>
          <w:rFonts w:hint="eastAsia" w:ascii="宋体" w:hAnsi="宋体" w:cs="宋体"/>
          <w:sz w:val="32"/>
          <w:szCs w:val="32"/>
        </w:rPr>
        <w:t>第四节 发展目标</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_Toc10791 \h </w:instrText>
      </w:r>
      <w:r>
        <w:rPr>
          <w:rFonts w:hint="eastAsia" w:ascii="宋体" w:hAnsi="宋体" w:cs="宋体"/>
          <w:sz w:val="32"/>
          <w:szCs w:val="32"/>
        </w:rPr>
        <w:fldChar w:fldCharType="separate"/>
      </w:r>
      <w:r>
        <w:rPr>
          <w:rFonts w:hint="eastAsia" w:ascii="宋体" w:hAnsi="宋体" w:cs="宋体"/>
          <w:sz w:val="32"/>
          <w:szCs w:val="32"/>
        </w:rPr>
        <w:t>12</w:t>
      </w:r>
      <w:r>
        <w:rPr>
          <w:rFonts w:hint="eastAsia" w:ascii="宋体" w:hAnsi="宋体" w:cs="宋体"/>
          <w:sz w:val="32"/>
          <w:szCs w:val="32"/>
        </w:rPr>
        <w:fldChar w:fldCharType="end"/>
      </w:r>
      <w:r>
        <w:rPr>
          <w:rFonts w:hint="eastAsia" w:ascii="宋体" w:hAnsi="宋体" w:cs="宋体"/>
          <w:sz w:val="32"/>
          <w:szCs w:val="32"/>
        </w:rPr>
        <w:fldChar w:fldCharType="end"/>
      </w:r>
    </w:p>
    <w:p w14:paraId="7375D802">
      <w:pPr>
        <w:pStyle w:val="18"/>
        <w:tabs>
          <w:tab w:val="right" w:leader="dot" w:pos="9026"/>
        </w:tabs>
        <w:rPr>
          <w:rFonts w:ascii="宋体" w:hAnsi="宋体" w:cs="宋体"/>
          <w:sz w:val="32"/>
          <w:szCs w:val="32"/>
        </w:rPr>
      </w:pPr>
      <w:r>
        <w:fldChar w:fldCharType="begin"/>
      </w:r>
      <w:r>
        <w:instrText xml:space="preserve"> HYPERLINK \l "_Toc9776" </w:instrText>
      </w:r>
      <w:r>
        <w:fldChar w:fldCharType="separate"/>
      </w:r>
      <w:r>
        <w:rPr>
          <w:rFonts w:hint="eastAsia" w:ascii="宋体" w:hAnsi="宋体" w:cs="宋体"/>
          <w:sz w:val="32"/>
          <w:szCs w:val="32"/>
        </w:rPr>
        <w:t>第三章 培育千亿级产业园  打造新质生产力先导区</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_Toc9776 \h </w:instrText>
      </w:r>
      <w:r>
        <w:rPr>
          <w:rFonts w:hint="eastAsia" w:ascii="宋体" w:hAnsi="宋体" w:cs="宋体"/>
          <w:sz w:val="32"/>
          <w:szCs w:val="32"/>
        </w:rPr>
        <w:fldChar w:fldCharType="separate"/>
      </w:r>
      <w:r>
        <w:rPr>
          <w:rFonts w:hint="eastAsia" w:ascii="宋体" w:hAnsi="宋体" w:cs="宋体"/>
          <w:sz w:val="32"/>
          <w:szCs w:val="32"/>
        </w:rPr>
        <w:t>15</w:t>
      </w:r>
      <w:r>
        <w:rPr>
          <w:rFonts w:hint="eastAsia" w:ascii="宋体" w:hAnsi="宋体" w:cs="宋体"/>
          <w:sz w:val="32"/>
          <w:szCs w:val="32"/>
        </w:rPr>
        <w:fldChar w:fldCharType="end"/>
      </w:r>
      <w:r>
        <w:rPr>
          <w:rFonts w:hint="eastAsia" w:ascii="宋体" w:hAnsi="宋体" w:cs="宋体"/>
          <w:sz w:val="32"/>
          <w:szCs w:val="32"/>
        </w:rPr>
        <w:fldChar w:fldCharType="end"/>
      </w:r>
    </w:p>
    <w:p w14:paraId="0AECAF0E">
      <w:pPr>
        <w:pStyle w:val="20"/>
        <w:tabs>
          <w:tab w:val="right" w:leader="dot" w:pos="9026"/>
        </w:tabs>
        <w:rPr>
          <w:rFonts w:ascii="宋体" w:hAnsi="宋体" w:cs="宋体"/>
          <w:sz w:val="32"/>
          <w:szCs w:val="32"/>
        </w:rPr>
      </w:pPr>
      <w:r>
        <w:fldChar w:fldCharType="begin"/>
      </w:r>
      <w:r>
        <w:instrText xml:space="preserve"> HYPERLINK \l "_Toc30727" </w:instrText>
      </w:r>
      <w:r>
        <w:fldChar w:fldCharType="separate"/>
      </w:r>
      <w:r>
        <w:rPr>
          <w:rFonts w:hint="eastAsia" w:ascii="宋体" w:hAnsi="宋体" w:cs="宋体"/>
          <w:sz w:val="32"/>
          <w:szCs w:val="32"/>
        </w:rPr>
        <w:t>第一节 壮大四大新兴产业集群</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_Toc30727 \h </w:instrText>
      </w:r>
      <w:r>
        <w:rPr>
          <w:rFonts w:hint="eastAsia" w:ascii="宋体" w:hAnsi="宋体" w:cs="宋体"/>
          <w:sz w:val="32"/>
          <w:szCs w:val="32"/>
        </w:rPr>
        <w:fldChar w:fldCharType="separate"/>
      </w:r>
      <w:r>
        <w:rPr>
          <w:rFonts w:hint="eastAsia" w:ascii="宋体" w:hAnsi="宋体" w:cs="宋体"/>
          <w:sz w:val="32"/>
          <w:szCs w:val="32"/>
        </w:rPr>
        <w:t>15</w:t>
      </w:r>
      <w:r>
        <w:rPr>
          <w:rFonts w:hint="eastAsia" w:ascii="宋体" w:hAnsi="宋体" w:cs="宋体"/>
          <w:sz w:val="32"/>
          <w:szCs w:val="32"/>
        </w:rPr>
        <w:fldChar w:fldCharType="end"/>
      </w:r>
      <w:r>
        <w:rPr>
          <w:rFonts w:hint="eastAsia" w:ascii="宋体" w:hAnsi="宋体" w:cs="宋体"/>
          <w:sz w:val="32"/>
          <w:szCs w:val="32"/>
        </w:rPr>
        <w:fldChar w:fldCharType="end"/>
      </w:r>
    </w:p>
    <w:p w14:paraId="350455F9">
      <w:pPr>
        <w:pStyle w:val="20"/>
        <w:tabs>
          <w:tab w:val="right" w:leader="dot" w:pos="9026"/>
        </w:tabs>
        <w:rPr>
          <w:rFonts w:ascii="宋体" w:hAnsi="宋体" w:cs="宋体"/>
          <w:sz w:val="32"/>
          <w:szCs w:val="32"/>
        </w:rPr>
      </w:pPr>
      <w:r>
        <w:fldChar w:fldCharType="begin"/>
      </w:r>
      <w:r>
        <w:instrText xml:space="preserve"> HYPERLINK \l "_Toc13528" </w:instrText>
      </w:r>
      <w:r>
        <w:fldChar w:fldCharType="separate"/>
      </w:r>
      <w:r>
        <w:rPr>
          <w:rFonts w:hint="eastAsia" w:ascii="宋体" w:hAnsi="宋体" w:cs="宋体"/>
          <w:sz w:val="32"/>
          <w:szCs w:val="32"/>
        </w:rPr>
        <w:t>第二节 前瞻布局未来产业</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_Toc13528 \h </w:instrText>
      </w:r>
      <w:r>
        <w:rPr>
          <w:rFonts w:hint="eastAsia" w:ascii="宋体" w:hAnsi="宋体" w:cs="宋体"/>
          <w:sz w:val="32"/>
          <w:szCs w:val="32"/>
        </w:rPr>
        <w:fldChar w:fldCharType="separate"/>
      </w:r>
      <w:r>
        <w:rPr>
          <w:rFonts w:hint="eastAsia" w:ascii="宋体" w:hAnsi="宋体" w:cs="宋体"/>
          <w:sz w:val="32"/>
          <w:szCs w:val="32"/>
        </w:rPr>
        <w:t>23</w:t>
      </w:r>
      <w:r>
        <w:rPr>
          <w:rFonts w:hint="eastAsia" w:ascii="宋体" w:hAnsi="宋体" w:cs="宋体"/>
          <w:sz w:val="32"/>
          <w:szCs w:val="32"/>
        </w:rPr>
        <w:fldChar w:fldCharType="end"/>
      </w:r>
      <w:r>
        <w:rPr>
          <w:rFonts w:hint="eastAsia" w:ascii="宋体" w:hAnsi="宋体" w:cs="宋体"/>
          <w:sz w:val="32"/>
          <w:szCs w:val="32"/>
        </w:rPr>
        <w:fldChar w:fldCharType="end"/>
      </w:r>
    </w:p>
    <w:p w14:paraId="0262F98B">
      <w:pPr>
        <w:pStyle w:val="20"/>
        <w:tabs>
          <w:tab w:val="right" w:leader="dot" w:pos="9026"/>
        </w:tabs>
        <w:rPr>
          <w:rFonts w:ascii="宋体" w:hAnsi="宋体" w:cs="宋体"/>
          <w:sz w:val="32"/>
          <w:szCs w:val="32"/>
        </w:rPr>
      </w:pPr>
      <w:r>
        <w:fldChar w:fldCharType="begin"/>
      </w:r>
      <w:r>
        <w:instrText xml:space="preserve"> HYPERLINK \l "_Toc6867" </w:instrText>
      </w:r>
      <w:r>
        <w:fldChar w:fldCharType="separate"/>
      </w:r>
      <w:r>
        <w:rPr>
          <w:rFonts w:hint="eastAsia" w:ascii="宋体" w:hAnsi="宋体" w:cs="宋体"/>
          <w:sz w:val="32"/>
          <w:szCs w:val="32"/>
        </w:rPr>
        <w:t>第三节 建设现代服务业集聚区</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_Toc6867 \h </w:instrText>
      </w:r>
      <w:r>
        <w:rPr>
          <w:rFonts w:hint="eastAsia" w:ascii="宋体" w:hAnsi="宋体" w:cs="宋体"/>
          <w:sz w:val="32"/>
          <w:szCs w:val="32"/>
        </w:rPr>
        <w:fldChar w:fldCharType="separate"/>
      </w:r>
      <w:r>
        <w:rPr>
          <w:rFonts w:hint="eastAsia" w:ascii="宋体" w:hAnsi="宋体" w:cs="宋体"/>
          <w:sz w:val="32"/>
          <w:szCs w:val="32"/>
        </w:rPr>
        <w:t>24</w:t>
      </w:r>
      <w:r>
        <w:rPr>
          <w:rFonts w:hint="eastAsia" w:ascii="宋体" w:hAnsi="宋体" w:cs="宋体"/>
          <w:sz w:val="32"/>
          <w:szCs w:val="32"/>
        </w:rPr>
        <w:fldChar w:fldCharType="end"/>
      </w:r>
      <w:r>
        <w:rPr>
          <w:rFonts w:hint="eastAsia" w:ascii="宋体" w:hAnsi="宋体" w:cs="宋体"/>
          <w:sz w:val="32"/>
          <w:szCs w:val="32"/>
        </w:rPr>
        <w:fldChar w:fldCharType="end"/>
      </w:r>
    </w:p>
    <w:p w14:paraId="2A0BF2EF">
      <w:pPr>
        <w:pStyle w:val="18"/>
        <w:tabs>
          <w:tab w:val="right" w:leader="dot" w:pos="9026"/>
        </w:tabs>
        <w:rPr>
          <w:rFonts w:ascii="宋体" w:hAnsi="宋体" w:cs="宋体"/>
          <w:sz w:val="32"/>
          <w:szCs w:val="32"/>
        </w:rPr>
      </w:pPr>
      <w:r>
        <w:fldChar w:fldCharType="begin"/>
      </w:r>
      <w:r>
        <w:instrText xml:space="preserve"> HYPERLINK \l "_Toc14666" </w:instrText>
      </w:r>
      <w:r>
        <w:fldChar w:fldCharType="separate"/>
      </w:r>
      <w:r>
        <w:rPr>
          <w:rFonts w:hint="eastAsia" w:ascii="宋体" w:hAnsi="宋体" w:cs="宋体"/>
          <w:sz w:val="32"/>
          <w:szCs w:val="32"/>
        </w:rPr>
        <w:t>第四章 强化创新驱动，引领产业转型升级</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_Toc14666 \h </w:instrText>
      </w:r>
      <w:r>
        <w:rPr>
          <w:rFonts w:hint="eastAsia" w:ascii="宋体" w:hAnsi="宋体" w:cs="宋体"/>
          <w:sz w:val="32"/>
          <w:szCs w:val="32"/>
        </w:rPr>
        <w:fldChar w:fldCharType="separate"/>
      </w:r>
      <w:r>
        <w:rPr>
          <w:rFonts w:hint="eastAsia" w:ascii="宋体" w:hAnsi="宋体" w:cs="宋体"/>
          <w:sz w:val="32"/>
          <w:szCs w:val="32"/>
        </w:rPr>
        <w:t>27</w:t>
      </w:r>
      <w:r>
        <w:rPr>
          <w:rFonts w:hint="eastAsia" w:ascii="宋体" w:hAnsi="宋体" w:cs="宋体"/>
          <w:sz w:val="32"/>
          <w:szCs w:val="32"/>
        </w:rPr>
        <w:fldChar w:fldCharType="end"/>
      </w:r>
      <w:r>
        <w:rPr>
          <w:rFonts w:hint="eastAsia" w:ascii="宋体" w:hAnsi="宋体" w:cs="宋体"/>
          <w:sz w:val="32"/>
          <w:szCs w:val="32"/>
        </w:rPr>
        <w:fldChar w:fldCharType="end"/>
      </w:r>
    </w:p>
    <w:p w14:paraId="27737F76">
      <w:pPr>
        <w:pStyle w:val="20"/>
        <w:tabs>
          <w:tab w:val="right" w:leader="dot" w:pos="9026"/>
        </w:tabs>
        <w:rPr>
          <w:rFonts w:ascii="宋体" w:hAnsi="宋体" w:cs="宋体"/>
          <w:sz w:val="32"/>
          <w:szCs w:val="32"/>
        </w:rPr>
      </w:pPr>
      <w:r>
        <w:fldChar w:fldCharType="begin"/>
      </w:r>
      <w:r>
        <w:instrText xml:space="preserve"> HYPERLINK \l "_Toc15264" </w:instrText>
      </w:r>
      <w:r>
        <w:fldChar w:fldCharType="separate"/>
      </w:r>
      <w:r>
        <w:rPr>
          <w:rFonts w:hint="eastAsia" w:ascii="宋体" w:hAnsi="宋体" w:cs="宋体"/>
          <w:sz w:val="32"/>
          <w:szCs w:val="32"/>
        </w:rPr>
        <w:t>第一节 多层次培育创新主体</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_Toc15264 \h </w:instrText>
      </w:r>
      <w:r>
        <w:rPr>
          <w:rFonts w:hint="eastAsia" w:ascii="宋体" w:hAnsi="宋体" w:cs="宋体"/>
          <w:sz w:val="32"/>
          <w:szCs w:val="32"/>
        </w:rPr>
        <w:fldChar w:fldCharType="separate"/>
      </w:r>
      <w:r>
        <w:rPr>
          <w:rFonts w:hint="eastAsia" w:ascii="宋体" w:hAnsi="宋体" w:cs="宋体"/>
          <w:sz w:val="32"/>
          <w:szCs w:val="32"/>
        </w:rPr>
        <w:t>28</w:t>
      </w:r>
      <w:r>
        <w:rPr>
          <w:rFonts w:hint="eastAsia" w:ascii="宋体" w:hAnsi="宋体" w:cs="宋体"/>
          <w:sz w:val="32"/>
          <w:szCs w:val="32"/>
        </w:rPr>
        <w:fldChar w:fldCharType="end"/>
      </w:r>
      <w:r>
        <w:rPr>
          <w:rFonts w:hint="eastAsia" w:ascii="宋体" w:hAnsi="宋体" w:cs="宋体"/>
          <w:sz w:val="32"/>
          <w:szCs w:val="32"/>
        </w:rPr>
        <w:fldChar w:fldCharType="end"/>
      </w:r>
    </w:p>
    <w:p w14:paraId="14EDAB09">
      <w:pPr>
        <w:pStyle w:val="20"/>
        <w:tabs>
          <w:tab w:val="right" w:leader="dot" w:pos="9026"/>
        </w:tabs>
        <w:rPr>
          <w:rFonts w:ascii="宋体" w:hAnsi="宋体" w:cs="宋体"/>
          <w:sz w:val="32"/>
          <w:szCs w:val="32"/>
        </w:rPr>
      </w:pPr>
      <w:r>
        <w:fldChar w:fldCharType="begin"/>
      </w:r>
      <w:r>
        <w:instrText xml:space="preserve"> HYPERLINK \l "_Toc28318" </w:instrText>
      </w:r>
      <w:r>
        <w:fldChar w:fldCharType="separate"/>
      </w:r>
      <w:r>
        <w:rPr>
          <w:rFonts w:hint="eastAsia" w:ascii="宋体" w:hAnsi="宋体" w:cs="宋体"/>
          <w:sz w:val="32"/>
          <w:szCs w:val="32"/>
        </w:rPr>
        <w:t>第二节 集聚高能级创新要素</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_Toc28318 \h </w:instrText>
      </w:r>
      <w:r>
        <w:rPr>
          <w:rFonts w:hint="eastAsia" w:ascii="宋体" w:hAnsi="宋体" w:cs="宋体"/>
          <w:sz w:val="32"/>
          <w:szCs w:val="32"/>
        </w:rPr>
        <w:fldChar w:fldCharType="separate"/>
      </w:r>
      <w:r>
        <w:rPr>
          <w:rFonts w:hint="eastAsia" w:ascii="宋体" w:hAnsi="宋体" w:cs="宋体"/>
          <w:sz w:val="32"/>
          <w:szCs w:val="32"/>
        </w:rPr>
        <w:t>30</w:t>
      </w:r>
      <w:r>
        <w:rPr>
          <w:rFonts w:hint="eastAsia" w:ascii="宋体" w:hAnsi="宋体" w:cs="宋体"/>
          <w:sz w:val="32"/>
          <w:szCs w:val="32"/>
        </w:rPr>
        <w:fldChar w:fldCharType="end"/>
      </w:r>
      <w:r>
        <w:rPr>
          <w:rFonts w:hint="eastAsia" w:ascii="宋体" w:hAnsi="宋体" w:cs="宋体"/>
          <w:sz w:val="32"/>
          <w:szCs w:val="32"/>
        </w:rPr>
        <w:fldChar w:fldCharType="end"/>
      </w:r>
    </w:p>
    <w:p w14:paraId="7CC73196">
      <w:pPr>
        <w:pStyle w:val="20"/>
        <w:tabs>
          <w:tab w:val="right" w:leader="dot" w:pos="9026"/>
        </w:tabs>
        <w:rPr>
          <w:rFonts w:ascii="宋体" w:hAnsi="宋体" w:cs="宋体"/>
          <w:sz w:val="32"/>
          <w:szCs w:val="32"/>
        </w:rPr>
      </w:pPr>
      <w:r>
        <w:fldChar w:fldCharType="begin"/>
      </w:r>
      <w:r>
        <w:instrText xml:space="preserve"> HYPERLINK \l "_Toc28181" </w:instrText>
      </w:r>
      <w:r>
        <w:fldChar w:fldCharType="separate"/>
      </w:r>
      <w:r>
        <w:rPr>
          <w:rFonts w:hint="eastAsia" w:ascii="宋体" w:hAnsi="宋体" w:cs="宋体"/>
          <w:sz w:val="32"/>
          <w:szCs w:val="32"/>
        </w:rPr>
        <w:t>第三节 加强科技自主创新</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_Toc28181 \h </w:instrText>
      </w:r>
      <w:r>
        <w:rPr>
          <w:rFonts w:hint="eastAsia" w:ascii="宋体" w:hAnsi="宋体" w:cs="宋体"/>
          <w:sz w:val="32"/>
          <w:szCs w:val="32"/>
        </w:rPr>
        <w:fldChar w:fldCharType="separate"/>
      </w:r>
      <w:r>
        <w:rPr>
          <w:rFonts w:hint="eastAsia" w:ascii="宋体" w:hAnsi="宋体" w:cs="宋体"/>
          <w:sz w:val="32"/>
          <w:szCs w:val="32"/>
        </w:rPr>
        <w:t>31</w:t>
      </w:r>
      <w:r>
        <w:rPr>
          <w:rFonts w:hint="eastAsia" w:ascii="宋体" w:hAnsi="宋体" w:cs="宋体"/>
          <w:sz w:val="32"/>
          <w:szCs w:val="32"/>
        </w:rPr>
        <w:fldChar w:fldCharType="end"/>
      </w:r>
      <w:r>
        <w:rPr>
          <w:rFonts w:hint="eastAsia" w:ascii="宋体" w:hAnsi="宋体" w:cs="宋体"/>
          <w:sz w:val="32"/>
          <w:szCs w:val="32"/>
        </w:rPr>
        <w:fldChar w:fldCharType="end"/>
      </w:r>
    </w:p>
    <w:p w14:paraId="00C645FA">
      <w:pPr>
        <w:pStyle w:val="18"/>
        <w:tabs>
          <w:tab w:val="right" w:leader="dot" w:pos="9026"/>
        </w:tabs>
        <w:rPr>
          <w:rFonts w:ascii="宋体" w:hAnsi="宋体" w:cs="宋体"/>
          <w:sz w:val="32"/>
          <w:szCs w:val="32"/>
        </w:rPr>
      </w:pPr>
      <w:r>
        <w:fldChar w:fldCharType="begin"/>
      </w:r>
      <w:r>
        <w:instrText xml:space="preserve"> HYPERLINK \l "_Toc4870" </w:instrText>
      </w:r>
      <w:r>
        <w:fldChar w:fldCharType="separate"/>
      </w:r>
      <w:r>
        <w:rPr>
          <w:rFonts w:hint="eastAsia" w:ascii="宋体" w:hAnsi="宋体" w:cs="宋体"/>
          <w:sz w:val="32"/>
          <w:szCs w:val="32"/>
        </w:rPr>
        <w:t>第五章 促进产城融合，打造城市发展增长极</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_Toc4870 \h </w:instrText>
      </w:r>
      <w:r>
        <w:rPr>
          <w:rFonts w:hint="eastAsia" w:ascii="宋体" w:hAnsi="宋体" w:cs="宋体"/>
          <w:sz w:val="32"/>
          <w:szCs w:val="32"/>
        </w:rPr>
        <w:fldChar w:fldCharType="separate"/>
      </w:r>
      <w:r>
        <w:rPr>
          <w:rFonts w:hint="eastAsia" w:ascii="宋体" w:hAnsi="宋体" w:cs="宋体"/>
          <w:sz w:val="32"/>
          <w:szCs w:val="32"/>
        </w:rPr>
        <w:t>33</w:t>
      </w:r>
      <w:r>
        <w:rPr>
          <w:rFonts w:hint="eastAsia" w:ascii="宋体" w:hAnsi="宋体" w:cs="宋体"/>
          <w:sz w:val="32"/>
          <w:szCs w:val="32"/>
        </w:rPr>
        <w:fldChar w:fldCharType="end"/>
      </w:r>
      <w:r>
        <w:rPr>
          <w:rFonts w:hint="eastAsia" w:ascii="宋体" w:hAnsi="宋体" w:cs="宋体"/>
          <w:sz w:val="32"/>
          <w:szCs w:val="32"/>
        </w:rPr>
        <w:fldChar w:fldCharType="end"/>
      </w:r>
    </w:p>
    <w:p w14:paraId="51772C4F">
      <w:pPr>
        <w:pStyle w:val="20"/>
        <w:tabs>
          <w:tab w:val="right" w:leader="dot" w:pos="9026"/>
        </w:tabs>
        <w:rPr>
          <w:rFonts w:ascii="宋体" w:hAnsi="宋体" w:cs="宋体"/>
          <w:sz w:val="32"/>
          <w:szCs w:val="32"/>
        </w:rPr>
      </w:pPr>
      <w:r>
        <w:fldChar w:fldCharType="begin"/>
      </w:r>
      <w:r>
        <w:instrText xml:space="preserve"> HYPERLINK \l "_Toc13347" </w:instrText>
      </w:r>
      <w:r>
        <w:fldChar w:fldCharType="separate"/>
      </w:r>
      <w:r>
        <w:rPr>
          <w:rFonts w:hint="eastAsia" w:ascii="宋体" w:hAnsi="宋体" w:cs="宋体"/>
          <w:sz w:val="32"/>
          <w:szCs w:val="32"/>
        </w:rPr>
        <w:t>第一节 优化空间布局</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_Toc13347 \h </w:instrText>
      </w:r>
      <w:r>
        <w:rPr>
          <w:rFonts w:hint="eastAsia" w:ascii="宋体" w:hAnsi="宋体" w:cs="宋体"/>
          <w:sz w:val="32"/>
          <w:szCs w:val="32"/>
        </w:rPr>
        <w:fldChar w:fldCharType="separate"/>
      </w:r>
      <w:r>
        <w:rPr>
          <w:rFonts w:hint="eastAsia" w:ascii="宋体" w:hAnsi="宋体" w:cs="宋体"/>
          <w:sz w:val="32"/>
          <w:szCs w:val="32"/>
        </w:rPr>
        <w:t>33</w:t>
      </w:r>
      <w:r>
        <w:rPr>
          <w:rFonts w:hint="eastAsia" w:ascii="宋体" w:hAnsi="宋体" w:cs="宋体"/>
          <w:sz w:val="32"/>
          <w:szCs w:val="32"/>
        </w:rPr>
        <w:fldChar w:fldCharType="end"/>
      </w:r>
      <w:r>
        <w:rPr>
          <w:rFonts w:hint="eastAsia" w:ascii="宋体" w:hAnsi="宋体" w:cs="宋体"/>
          <w:sz w:val="32"/>
          <w:szCs w:val="32"/>
        </w:rPr>
        <w:fldChar w:fldCharType="end"/>
      </w:r>
    </w:p>
    <w:p w14:paraId="63EBBE25">
      <w:pPr>
        <w:pStyle w:val="20"/>
        <w:tabs>
          <w:tab w:val="right" w:leader="dot" w:pos="9026"/>
        </w:tabs>
        <w:rPr>
          <w:rFonts w:ascii="宋体" w:hAnsi="宋体" w:cs="宋体"/>
          <w:sz w:val="32"/>
          <w:szCs w:val="32"/>
        </w:rPr>
      </w:pPr>
      <w:r>
        <w:fldChar w:fldCharType="begin"/>
      </w:r>
      <w:r>
        <w:instrText xml:space="preserve"> HYPERLINK \l "_Toc29488" </w:instrText>
      </w:r>
      <w:r>
        <w:fldChar w:fldCharType="separate"/>
      </w:r>
      <w:r>
        <w:rPr>
          <w:rFonts w:hint="eastAsia" w:ascii="宋体" w:hAnsi="宋体" w:cs="宋体"/>
          <w:sz w:val="32"/>
          <w:szCs w:val="32"/>
        </w:rPr>
        <w:t>第二节 推进各片区产业协同发展</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_Toc29488 \h </w:instrText>
      </w:r>
      <w:r>
        <w:rPr>
          <w:rFonts w:hint="eastAsia" w:ascii="宋体" w:hAnsi="宋体" w:cs="宋体"/>
          <w:sz w:val="32"/>
          <w:szCs w:val="32"/>
        </w:rPr>
        <w:fldChar w:fldCharType="separate"/>
      </w:r>
      <w:r>
        <w:rPr>
          <w:rFonts w:hint="eastAsia" w:ascii="宋体" w:hAnsi="宋体" w:cs="宋体"/>
          <w:sz w:val="32"/>
          <w:szCs w:val="32"/>
        </w:rPr>
        <w:t>36</w:t>
      </w:r>
      <w:r>
        <w:rPr>
          <w:rFonts w:hint="eastAsia" w:ascii="宋体" w:hAnsi="宋体" w:cs="宋体"/>
          <w:sz w:val="32"/>
          <w:szCs w:val="32"/>
        </w:rPr>
        <w:fldChar w:fldCharType="end"/>
      </w:r>
      <w:r>
        <w:rPr>
          <w:rFonts w:hint="eastAsia" w:ascii="宋体" w:hAnsi="宋体" w:cs="宋体"/>
          <w:sz w:val="32"/>
          <w:szCs w:val="32"/>
        </w:rPr>
        <w:fldChar w:fldCharType="end"/>
      </w:r>
    </w:p>
    <w:p w14:paraId="65EA88E0">
      <w:pPr>
        <w:pStyle w:val="20"/>
        <w:tabs>
          <w:tab w:val="right" w:leader="dot" w:pos="9026"/>
        </w:tabs>
        <w:rPr>
          <w:rFonts w:ascii="宋体" w:hAnsi="宋体" w:cs="宋体"/>
          <w:sz w:val="32"/>
          <w:szCs w:val="32"/>
        </w:rPr>
      </w:pPr>
      <w:r>
        <w:fldChar w:fldCharType="begin"/>
      </w:r>
      <w:r>
        <w:instrText xml:space="preserve"> HYPERLINK \l "_Toc6221" </w:instrText>
      </w:r>
      <w:r>
        <w:fldChar w:fldCharType="separate"/>
      </w:r>
      <w:r>
        <w:rPr>
          <w:rFonts w:hint="eastAsia" w:ascii="宋体" w:hAnsi="宋体" w:cs="宋体"/>
          <w:sz w:val="32"/>
          <w:szCs w:val="32"/>
        </w:rPr>
        <w:t>第三节 提质升级基础设施能级</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_Toc6221 \h </w:instrText>
      </w:r>
      <w:r>
        <w:rPr>
          <w:rFonts w:hint="eastAsia" w:ascii="宋体" w:hAnsi="宋体" w:cs="宋体"/>
          <w:sz w:val="32"/>
          <w:szCs w:val="32"/>
        </w:rPr>
        <w:fldChar w:fldCharType="separate"/>
      </w:r>
      <w:r>
        <w:rPr>
          <w:rFonts w:hint="eastAsia" w:ascii="宋体" w:hAnsi="宋体" w:cs="宋体"/>
          <w:sz w:val="32"/>
          <w:szCs w:val="32"/>
        </w:rPr>
        <w:t>37</w:t>
      </w:r>
      <w:r>
        <w:rPr>
          <w:rFonts w:hint="eastAsia" w:ascii="宋体" w:hAnsi="宋体" w:cs="宋体"/>
          <w:sz w:val="32"/>
          <w:szCs w:val="32"/>
        </w:rPr>
        <w:fldChar w:fldCharType="end"/>
      </w:r>
      <w:r>
        <w:rPr>
          <w:rFonts w:hint="eastAsia" w:ascii="宋体" w:hAnsi="宋体" w:cs="宋体"/>
          <w:sz w:val="32"/>
          <w:szCs w:val="32"/>
        </w:rPr>
        <w:fldChar w:fldCharType="end"/>
      </w:r>
    </w:p>
    <w:p w14:paraId="7191E7BE">
      <w:pPr>
        <w:pStyle w:val="20"/>
        <w:tabs>
          <w:tab w:val="right" w:leader="dot" w:pos="9026"/>
        </w:tabs>
        <w:rPr>
          <w:rFonts w:ascii="宋体" w:hAnsi="宋体" w:cs="宋体"/>
          <w:sz w:val="32"/>
          <w:szCs w:val="32"/>
        </w:rPr>
      </w:pPr>
      <w:r>
        <w:fldChar w:fldCharType="begin"/>
      </w:r>
      <w:r>
        <w:instrText xml:space="preserve"> HYPERLINK \l "_Toc26072" </w:instrText>
      </w:r>
      <w:r>
        <w:fldChar w:fldCharType="separate"/>
      </w:r>
      <w:r>
        <w:rPr>
          <w:rFonts w:hint="eastAsia" w:ascii="宋体" w:hAnsi="宋体" w:cs="宋体"/>
          <w:sz w:val="32"/>
          <w:szCs w:val="32"/>
        </w:rPr>
        <w:t>第四节 完善公共服务与生活配套</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_Toc26072 \h </w:instrText>
      </w:r>
      <w:r>
        <w:rPr>
          <w:rFonts w:hint="eastAsia" w:ascii="宋体" w:hAnsi="宋体" w:cs="宋体"/>
          <w:sz w:val="32"/>
          <w:szCs w:val="32"/>
        </w:rPr>
        <w:fldChar w:fldCharType="separate"/>
      </w:r>
      <w:r>
        <w:rPr>
          <w:rFonts w:hint="eastAsia" w:ascii="宋体" w:hAnsi="宋体" w:cs="宋体"/>
          <w:sz w:val="32"/>
          <w:szCs w:val="32"/>
        </w:rPr>
        <w:t>39</w:t>
      </w:r>
      <w:r>
        <w:rPr>
          <w:rFonts w:hint="eastAsia" w:ascii="宋体" w:hAnsi="宋体" w:cs="宋体"/>
          <w:sz w:val="32"/>
          <w:szCs w:val="32"/>
        </w:rPr>
        <w:fldChar w:fldCharType="end"/>
      </w:r>
      <w:r>
        <w:rPr>
          <w:rFonts w:hint="eastAsia" w:ascii="宋体" w:hAnsi="宋体" w:cs="宋体"/>
          <w:sz w:val="32"/>
          <w:szCs w:val="32"/>
        </w:rPr>
        <w:fldChar w:fldCharType="end"/>
      </w:r>
    </w:p>
    <w:p w14:paraId="05745339">
      <w:pPr>
        <w:pStyle w:val="18"/>
        <w:tabs>
          <w:tab w:val="right" w:leader="dot" w:pos="9026"/>
        </w:tabs>
        <w:rPr>
          <w:rFonts w:ascii="宋体" w:hAnsi="宋体" w:cs="宋体"/>
          <w:sz w:val="32"/>
          <w:szCs w:val="32"/>
        </w:rPr>
      </w:pPr>
      <w:r>
        <w:fldChar w:fldCharType="begin"/>
      </w:r>
      <w:r>
        <w:instrText xml:space="preserve"> HYPERLINK \l "_Toc23429" </w:instrText>
      </w:r>
      <w:r>
        <w:fldChar w:fldCharType="separate"/>
      </w:r>
      <w:r>
        <w:rPr>
          <w:rFonts w:hint="eastAsia" w:ascii="宋体" w:hAnsi="宋体" w:cs="宋体"/>
          <w:sz w:val="32"/>
          <w:szCs w:val="32"/>
        </w:rPr>
        <w:t>第六章 坚持双碳引领，积极推进能源革命</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_Toc23429 \h </w:instrText>
      </w:r>
      <w:r>
        <w:rPr>
          <w:rFonts w:hint="eastAsia" w:ascii="宋体" w:hAnsi="宋体" w:cs="宋体"/>
          <w:sz w:val="32"/>
          <w:szCs w:val="32"/>
        </w:rPr>
        <w:fldChar w:fldCharType="separate"/>
      </w:r>
      <w:r>
        <w:rPr>
          <w:rFonts w:hint="eastAsia" w:ascii="宋体" w:hAnsi="宋体" w:cs="宋体"/>
          <w:sz w:val="32"/>
          <w:szCs w:val="32"/>
        </w:rPr>
        <w:t>40</w:t>
      </w:r>
      <w:r>
        <w:rPr>
          <w:rFonts w:hint="eastAsia" w:ascii="宋体" w:hAnsi="宋体" w:cs="宋体"/>
          <w:sz w:val="32"/>
          <w:szCs w:val="32"/>
        </w:rPr>
        <w:fldChar w:fldCharType="end"/>
      </w:r>
      <w:r>
        <w:rPr>
          <w:rFonts w:hint="eastAsia" w:ascii="宋体" w:hAnsi="宋体" w:cs="宋体"/>
          <w:sz w:val="32"/>
          <w:szCs w:val="32"/>
        </w:rPr>
        <w:fldChar w:fldCharType="end"/>
      </w:r>
    </w:p>
    <w:p w14:paraId="5AA95419">
      <w:pPr>
        <w:pStyle w:val="20"/>
        <w:tabs>
          <w:tab w:val="right" w:leader="dot" w:pos="9026"/>
        </w:tabs>
        <w:rPr>
          <w:rFonts w:ascii="宋体" w:hAnsi="宋体" w:cs="宋体"/>
          <w:sz w:val="32"/>
          <w:szCs w:val="32"/>
        </w:rPr>
      </w:pPr>
      <w:r>
        <w:fldChar w:fldCharType="begin"/>
      </w:r>
      <w:r>
        <w:instrText xml:space="preserve"> HYPERLINK \l "_Toc24771" </w:instrText>
      </w:r>
      <w:r>
        <w:fldChar w:fldCharType="separate"/>
      </w:r>
      <w:r>
        <w:rPr>
          <w:rFonts w:hint="eastAsia" w:ascii="宋体" w:hAnsi="宋体" w:cs="宋体"/>
          <w:sz w:val="32"/>
          <w:szCs w:val="32"/>
        </w:rPr>
        <w:t>第一节 高质量建设碳达峰试点园区</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_Toc24771 \h </w:instrText>
      </w:r>
      <w:r>
        <w:rPr>
          <w:rFonts w:hint="eastAsia" w:ascii="宋体" w:hAnsi="宋体" w:cs="宋体"/>
          <w:sz w:val="32"/>
          <w:szCs w:val="32"/>
        </w:rPr>
        <w:fldChar w:fldCharType="separate"/>
      </w:r>
      <w:r>
        <w:rPr>
          <w:rFonts w:hint="eastAsia" w:ascii="宋体" w:hAnsi="宋体" w:cs="宋体"/>
          <w:sz w:val="32"/>
          <w:szCs w:val="32"/>
        </w:rPr>
        <w:t>41</w:t>
      </w:r>
      <w:r>
        <w:rPr>
          <w:rFonts w:hint="eastAsia" w:ascii="宋体" w:hAnsi="宋体" w:cs="宋体"/>
          <w:sz w:val="32"/>
          <w:szCs w:val="32"/>
        </w:rPr>
        <w:fldChar w:fldCharType="end"/>
      </w:r>
      <w:r>
        <w:rPr>
          <w:rFonts w:hint="eastAsia" w:ascii="宋体" w:hAnsi="宋体" w:cs="宋体"/>
          <w:sz w:val="32"/>
          <w:szCs w:val="32"/>
        </w:rPr>
        <w:fldChar w:fldCharType="end"/>
      </w:r>
    </w:p>
    <w:p w14:paraId="2D0C2B3C">
      <w:pPr>
        <w:pStyle w:val="20"/>
        <w:tabs>
          <w:tab w:val="right" w:leader="dot" w:pos="9026"/>
        </w:tabs>
        <w:rPr>
          <w:rFonts w:ascii="宋体" w:hAnsi="宋体" w:cs="宋体"/>
          <w:sz w:val="32"/>
          <w:szCs w:val="32"/>
        </w:rPr>
      </w:pPr>
      <w:r>
        <w:fldChar w:fldCharType="begin"/>
      </w:r>
      <w:r>
        <w:instrText xml:space="preserve"> HYPERLINK \l "_Toc23211" </w:instrText>
      </w:r>
      <w:r>
        <w:fldChar w:fldCharType="separate"/>
      </w:r>
      <w:r>
        <w:rPr>
          <w:rFonts w:hint="eastAsia" w:ascii="宋体" w:hAnsi="宋体" w:cs="宋体"/>
          <w:sz w:val="32"/>
          <w:szCs w:val="32"/>
        </w:rPr>
        <w:t>第二节 高效率建设省级绿电园区</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_Toc23211 \h </w:instrText>
      </w:r>
      <w:r>
        <w:rPr>
          <w:rFonts w:hint="eastAsia" w:ascii="宋体" w:hAnsi="宋体" w:cs="宋体"/>
          <w:sz w:val="32"/>
          <w:szCs w:val="32"/>
        </w:rPr>
        <w:fldChar w:fldCharType="separate"/>
      </w:r>
      <w:r>
        <w:rPr>
          <w:rFonts w:hint="eastAsia" w:ascii="宋体" w:hAnsi="宋体" w:cs="宋体"/>
          <w:sz w:val="32"/>
          <w:szCs w:val="32"/>
        </w:rPr>
        <w:t>43</w:t>
      </w:r>
      <w:r>
        <w:rPr>
          <w:rFonts w:hint="eastAsia" w:ascii="宋体" w:hAnsi="宋体" w:cs="宋体"/>
          <w:sz w:val="32"/>
          <w:szCs w:val="32"/>
        </w:rPr>
        <w:fldChar w:fldCharType="end"/>
      </w:r>
      <w:r>
        <w:rPr>
          <w:rFonts w:hint="eastAsia" w:ascii="宋体" w:hAnsi="宋体" w:cs="宋体"/>
          <w:sz w:val="32"/>
          <w:szCs w:val="32"/>
        </w:rPr>
        <w:fldChar w:fldCharType="end"/>
      </w:r>
    </w:p>
    <w:p w14:paraId="46E362B4">
      <w:pPr>
        <w:pStyle w:val="20"/>
        <w:tabs>
          <w:tab w:val="right" w:leader="dot" w:pos="9026"/>
        </w:tabs>
        <w:rPr>
          <w:rFonts w:ascii="宋体" w:hAnsi="宋体" w:cs="宋体"/>
          <w:sz w:val="32"/>
          <w:szCs w:val="32"/>
        </w:rPr>
      </w:pPr>
      <w:r>
        <w:fldChar w:fldCharType="begin"/>
      </w:r>
      <w:r>
        <w:instrText xml:space="preserve"> HYPERLINK \l "_Toc23226" </w:instrText>
      </w:r>
      <w:r>
        <w:fldChar w:fldCharType="separate"/>
      </w:r>
      <w:r>
        <w:rPr>
          <w:rFonts w:hint="eastAsia" w:ascii="宋体" w:hAnsi="宋体" w:cs="宋体"/>
          <w:sz w:val="32"/>
          <w:szCs w:val="32"/>
        </w:rPr>
        <w:t>第三节 全方位加强环境治理</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_Toc23226 \h </w:instrText>
      </w:r>
      <w:r>
        <w:rPr>
          <w:rFonts w:hint="eastAsia" w:ascii="宋体" w:hAnsi="宋体" w:cs="宋体"/>
          <w:sz w:val="32"/>
          <w:szCs w:val="32"/>
        </w:rPr>
        <w:fldChar w:fldCharType="separate"/>
      </w:r>
      <w:r>
        <w:rPr>
          <w:rFonts w:hint="eastAsia" w:ascii="宋体" w:hAnsi="宋体" w:cs="宋体"/>
          <w:sz w:val="32"/>
          <w:szCs w:val="32"/>
        </w:rPr>
        <w:t>45</w:t>
      </w:r>
      <w:r>
        <w:rPr>
          <w:rFonts w:hint="eastAsia" w:ascii="宋体" w:hAnsi="宋体" w:cs="宋体"/>
          <w:sz w:val="32"/>
          <w:szCs w:val="32"/>
        </w:rPr>
        <w:fldChar w:fldCharType="end"/>
      </w:r>
      <w:r>
        <w:rPr>
          <w:rFonts w:hint="eastAsia" w:ascii="宋体" w:hAnsi="宋体" w:cs="宋体"/>
          <w:sz w:val="32"/>
          <w:szCs w:val="32"/>
        </w:rPr>
        <w:fldChar w:fldCharType="end"/>
      </w:r>
    </w:p>
    <w:p w14:paraId="1C4E7F4A">
      <w:pPr>
        <w:pStyle w:val="18"/>
        <w:tabs>
          <w:tab w:val="right" w:leader="dot" w:pos="9026"/>
        </w:tabs>
        <w:rPr>
          <w:rFonts w:ascii="宋体" w:hAnsi="宋体" w:cs="宋体"/>
          <w:sz w:val="32"/>
          <w:szCs w:val="32"/>
        </w:rPr>
      </w:pPr>
      <w:r>
        <w:fldChar w:fldCharType="begin"/>
      </w:r>
      <w:r>
        <w:instrText xml:space="preserve"> HYPERLINK \l "_Toc12582" </w:instrText>
      </w:r>
      <w:r>
        <w:fldChar w:fldCharType="separate"/>
      </w:r>
      <w:r>
        <w:rPr>
          <w:rFonts w:hint="eastAsia" w:ascii="宋体" w:hAnsi="宋体" w:cs="宋体"/>
          <w:sz w:val="32"/>
          <w:szCs w:val="32"/>
        </w:rPr>
        <w:t>第七章 深化改革开放，打造开放合作新高地</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_Toc12582 \h </w:instrText>
      </w:r>
      <w:r>
        <w:rPr>
          <w:rFonts w:hint="eastAsia" w:ascii="宋体" w:hAnsi="宋体" w:cs="宋体"/>
          <w:sz w:val="32"/>
          <w:szCs w:val="32"/>
        </w:rPr>
        <w:fldChar w:fldCharType="separate"/>
      </w:r>
      <w:r>
        <w:rPr>
          <w:rFonts w:hint="eastAsia" w:ascii="宋体" w:hAnsi="宋体" w:cs="宋体"/>
          <w:sz w:val="32"/>
          <w:szCs w:val="32"/>
        </w:rPr>
        <w:t>47</w:t>
      </w:r>
      <w:r>
        <w:rPr>
          <w:rFonts w:hint="eastAsia" w:ascii="宋体" w:hAnsi="宋体" w:cs="宋体"/>
          <w:sz w:val="32"/>
          <w:szCs w:val="32"/>
        </w:rPr>
        <w:fldChar w:fldCharType="end"/>
      </w:r>
      <w:r>
        <w:rPr>
          <w:rFonts w:hint="eastAsia" w:ascii="宋体" w:hAnsi="宋体" w:cs="宋体"/>
          <w:sz w:val="32"/>
          <w:szCs w:val="32"/>
        </w:rPr>
        <w:fldChar w:fldCharType="end"/>
      </w:r>
    </w:p>
    <w:p w14:paraId="0A7602F1">
      <w:pPr>
        <w:pStyle w:val="20"/>
        <w:tabs>
          <w:tab w:val="right" w:leader="dot" w:pos="9026"/>
        </w:tabs>
        <w:rPr>
          <w:rFonts w:ascii="宋体" w:hAnsi="宋体" w:cs="宋体"/>
          <w:sz w:val="32"/>
          <w:szCs w:val="32"/>
        </w:rPr>
      </w:pPr>
      <w:r>
        <w:fldChar w:fldCharType="begin"/>
      </w:r>
      <w:r>
        <w:instrText xml:space="preserve"> HYPERLINK \l "_Toc2627" </w:instrText>
      </w:r>
      <w:r>
        <w:fldChar w:fldCharType="separate"/>
      </w:r>
      <w:r>
        <w:rPr>
          <w:rFonts w:hint="eastAsia" w:ascii="宋体" w:hAnsi="宋体" w:cs="宋体"/>
          <w:sz w:val="32"/>
          <w:szCs w:val="32"/>
        </w:rPr>
        <w:t>第一节 深化重点领域改革</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_Toc2627 \h </w:instrText>
      </w:r>
      <w:r>
        <w:rPr>
          <w:rFonts w:hint="eastAsia" w:ascii="宋体" w:hAnsi="宋体" w:cs="宋体"/>
          <w:sz w:val="32"/>
          <w:szCs w:val="32"/>
        </w:rPr>
        <w:fldChar w:fldCharType="separate"/>
      </w:r>
      <w:r>
        <w:rPr>
          <w:rFonts w:hint="eastAsia" w:ascii="宋体" w:hAnsi="宋体" w:cs="宋体"/>
          <w:sz w:val="32"/>
          <w:szCs w:val="32"/>
        </w:rPr>
        <w:t>47</w:t>
      </w:r>
      <w:r>
        <w:rPr>
          <w:rFonts w:hint="eastAsia" w:ascii="宋体" w:hAnsi="宋体" w:cs="宋体"/>
          <w:sz w:val="32"/>
          <w:szCs w:val="32"/>
        </w:rPr>
        <w:fldChar w:fldCharType="end"/>
      </w:r>
      <w:r>
        <w:rPr>
          <w:rFonts w:hint="eastAsia" w:ascii="宋体" w:hAnsi="宋体" w:cs="宋体"/>
          <w:sz w:val="32"/>
          <w:szCs w:val="32"/>
        </w:rPr>
        <w:fldChar w:fldCharType="end"/>
      </w:r>
    </w:p>
    <w:p w14:paraId="6C5B8ED8">
      <w:pPr>
        <w:pStyle w:val="20"/>
        <w:tabs>
          <w:tab w:val="right" w:leader="dot" w:pos="9026"/>
        </w:tabs>
        <w:rPr>
          <w:rFonts w:ascii="宋体" w:hAnsi="宋体" w:cs="宋体"/>
          <w:sz w:val="32"/>
          <w:szCs w:val="32"/>
        </w:rPr>
      </w:pPr>
      <w:r>
        <w:fldChar w:fldCharType="begin"/>
      </w:r>
      <w:r>
        <w:instrText xml:space="preserve"> HYPERLINK \l "_Toc2361" </w:instrText>
      </w:r>
      <w:r>
        <w:fldChar w:fldCharType="separate"/>
      </w:r>
      <w:r>
        <w:rPr>
          <w:rFonts w:hint="eastAsia" w:ascii="宋体" w:hAnsi="宋体" w:cs="宋体"/>
          <w:sz w:val="32"/>
          <w:szCs w:val="32"/>
        </w:rPr>
        <w:t>第二节 打造一流营商环境</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_Toc2361 \h </w:instrText>
      </w:r>
      <w:r>
        <w:rPr>
          <w:rFonts w:hint="eastAsia" w:ascii="宋体" w:hAnsi="宋体" w:cs="宋体"/>
          <w:sz w:val="32"/>
          <w:szCs w:val="32"/>
        </w:rPr>
        <w:fldChar w:fldCharType="separate"/>
      </w:r>
      <w:r>
        <w:rPr>
          <w:rFonts w:hint="eastAsia" w:ascii="宋体" w:hAnsi="宋体" w:cs="宋体"/>
          <w:sz w:val="32"/>
          <w:szCs w:val="32"/>
        </w:rPr>
        <w:t>50</w:t>
      </w:r>
      <w:r>
        <w:rPr>
          <w:rFonts w:hint="eastAsia" w:ascii="宋体" w:hAnsi="宋体" w:cs="宋体"/>
          <w:sz w:val="32"/>
          <w:szCs w:val="32"/>
        </w:rPr>
        <w:fldChar w:fldCharType="end"/>
      </w:r>
      <w:r>
        <w:rPr>
          <w:rFonts w:hint="eastAsia" w:ascii="宋体" w:hAnsi="宋体" w:cs="宋体"/>
          <w:sz w:val="32"/>
          <w:szCs w:val="32"/>
        </w:rPr>
        <w:fldChar w:fldCharType="end"/>
      </w:r>
    </w:p>
    <w:p w14:paraId="0F83F69F">
      <w:pPr>
        <w:pStyle w:val="20"/>
        <w:tabs>
          <w:tab w:val="right" w:leader="dot" w:pos="9026"/>
        </w:tabs>
        <w:rPr>
          <w:rFonts w:ascii="宋体" w:hAnsi="宋体" w:cs="宋体"/>
          <w:sz w:val="32"/>
          <w:szCs w:val="32"/>
        </w:rPr>
      </w:pPr>
      <w:r>
        <w:fldChar w:fldCharType="begin"/>
      </w:r>
      <w:r>
        <w:instrText xml:space="preserve"> HYPERLINK \l "_Toc20258" </w:instrText>
      </w:r>
      <w:r>
        <w:fldChar w:fldCharType="separate"/>
      </w:r>
      <w:r>
        <w:rPr>
          <w:rFonts w:hint="eastAsia" w:ascii="宋体" w:hAnsi="宋体" w:cs="宋体"/>
          <w:sz w:val="32"/>
          <w:szCs w:val="32"/>
        </w:rPr>
        <w:t>第三节 推动高水平对外开放</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_Toc20258 \h </w:instrText>
      </w:r>
      <w:r>
        <w:rPr>
          <w:rFonts w:hint="eastAsia" w:ascii="宋体" w:hAnsi="宋体" w:cs="宋体"/>
          <w:sz w:val="32"/>
          <w:szCs w:val="32"/>
        </w:rPr>
        <w:fldChar w:fldCharType="separate"/>
      </w:r>
      <w:r>
        <w:rPr>
          <w:rFonts w:hint="eastAsia" w:ascii="宋体" w:hAnsi="宋体" w:cs="宋体"/>
          <w:sz w:val="32"/>
          <w:szCs w:val="32"/>
        </w:rPr>
        <w:t>51</w:t>
      </w:r>
      <w:r>
        <w:rPr>
          <w:rFonts w:hint="eastAsia" w:ascii="宋体" w:hAnsi="宋体" w:cs="宋体"/>
          <w:sz w:val="32"/>
          <w:szCs w:val="32"/>
        </w:rPr>
        <w:fldChar w:fldCharType="end"/>
      </w:r>
      <w:r>
        <w:rPr>
          <w:rFonts w:hint="eastAsia" w:ascii="宋体" w:hAnsi="宋体" w:cs="宋体"/>
          <w:sz w:val="32"/>
          <w:szCs w:val="32"/>
        </w:rPr>
        <w:fldChar w:fldCharType="end"/>
      </w:r>
    </w:p>
    <w:p w14:paraId="5498F8DE">
      <w:pPr>
        <w:pStyle w:val="20"/>
        <w:tabs>
          <w:tab w:val="right" w:leader="dot" w:pos="9026"/>
        </w:tabs>
        <w:rPr>
          <w:rFonts w:ascii="宋体" w:hAnsi="宋体" w:cs="宋体"/>
          <w:sz w:val="32"/>
          <w:szCs w:val="32"/>
        </w:rPr>
      </w:pPr>
      <w:r>
        <w:fldChar w:fldCharType="begin"/>
      </w:r>
      <w:r>
        <w:instrText xml:space="preserve"> HYPERLINK \l "_Toc20474" </w:instrText>
      </w:r>
      <w:r>
        <w:fldChar w:fldCharType="separate"/>
      </w:r>
      <w:r>
        <w:rPr>
          <w:rFonts w:hint="eastAsia" w:ascii="宋体" w:hAnsi="宋体" w:cs="宋体"/>
          <w:sz w:val="32"/>
          <w:szCs w:val="32"/>
        </w:rPr>
        <w:t>第四节 全方位提升招商引资能效</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_Toc20474 \h </w:instrText>
      </w:r>
      <w:r>
        <w:rPr>
          <w:rFonts w:hint="eastAsia" w:ascii="宋体" w:hAnsi="宋体" w:cs="宋体"/>
          <w:sz w:val="32"/>
          <w:szCs w:val="32"/>
        </w:rPr>
        <w:fldChar w:fldCharType="separate"/>
      </w:r>
      <w:r>
        <w:rPr>
          <w:rFonts w:hint="eastAsia" w:ascii="宋体" w:hAnsi="宋体" w:cs="宋体"/>
          <w:sz w:val="32"/>
          <w:szCs w:val="32"/>
        </w:rPr>
        <w:t>52</w:t>
      </w:r>
      <w:r>
        <w:rPr>
          <w:rFonts w:hint="eastAsia" w:ascii="宋体" w:hAnsi="宋体" w:cs="宋体"/>
          <w:sz w:val="32"/>
          <w:szCs w:val="32"/>
        </w:rPr>
        <w:fldChar w:fldCharType="end"/>
      </w:r>
      <w:r>
        <w:rPr>
          <w:rFonts w:hint="eastAsia" w:ascii="宋体" w:hAnsi="宋体" w:cs="宋体"/>
          <w:sz w:val="32"/>
          <w:szCs w:val="32"/>
        </w:rPr>
        <w:fldChar w:fldCharType="end"/>
      </w:r>
    </w:p>
    <w:p w14:paraId="0B9044F4">
      <w:pPr>
        <w:pStyle w:val="18"/>
        <w:tabs>
          <w:tab w:val="right" w:leader="dot" w:pos="9026"/>
        </w:tabs>
        <w:rPr>
          <w:rFonts w:ascii="宋体" w:hAnsi="宋体" w:cs="宋体"/>
          <w:sz w:val="32"/>
          <w:szCs w:val="32"/>
        </w:rPr>
      </w:pPr>
      <w:r>
        <w:fldChar w:fldCharType="begin"/>
      </w:r>
      <w:r>
        <w:instrText xml:space="preserve"> HYPERLINK \l "_Toc17643" </w:instrText>
      </w:r>
      <w:r>
        <w:fldChar w:fldCharType="separate"/>
      </w:r>
      <w:r>
        <w:rPr>
          <w:rFonts w:hint="eastAsia" w:ascii="宋体" w:hAnsi="宋体" w:cs="宋体"/>
          <w:sz w:val="32"/>
          <w:szCs w:val="32"/>
        </w:rPr>
        <w:t>第八章 探索治理新模式，树立共建共治共享典范</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_Toc17643 \h </w:instrText>
      </w:r>
      <w:r>
        <w:rPr>
          <w:rFonts w:hint="eastAsia" w:ascii="宋体" w:hAnsi="宋体" w:cs="宋体"/>
          <w:sz w:val="32"/>
          <w:szCs w:val="32"/>
        </w:rPr>
        <w:fldChar w:fldCharType="separate"/>
      </w:r>
      <w:r>
        <w:rPr>
          <w:rFonts w:hint="eastAsia" w:ascii="宋体" w:hAnsi="宋体" w:cs="宋体"/>
          <w:sz w:val="32"/>
          <w:szCs w:val="32"/>
        </w:rPr>
        <w:t>54</w:t>
      </w:r>
      <w:r>
        <w:rPr>
          <w:rFonts w:hint="eastAsia" w:ascii="宋体" w:hAnsi="宋体" w:cs="宋体"/>
          <w:sz w:val="32"/>
          <w:szCs w:val="32"/>
        </w:rPr>
        <w:fldChar w:fldCharType="end"/>
      </w:r>
      <w:r>
        <w:rPr>
          <w:rFonts w:hint="eastAsia" w:ascii="宋体" w:hAnsi="宋体" w:cs="宋体"/>
          <w:sz w:val="32"/>
          <w:szCs w:val="32"/>
        </w:rPr>
        <w:fldChar w:fldCharType="end"/>
      </w:r>
    </w:p>
    <w:p w14:paraId="38B1F21F">
      <w:pPr>
        <w:pStyle w:val="20"/>
        <w:tabs>
          <w:tab w:val="right" w:leader="dot" w:pos="9026"/>
        </w:tabs>
        <w:rPr>
          <w:rFonts w:ascii="宋体" w:hAnsi="宋体" w:cs="宋体"/>
          <w:sz w:val="32"/>
          <w:szCs w:val="32"/>
        </w:rPr>
      </w:pPr>
      <w:r>
        <w:fldChar w:fldCharType="begin"/>
      </w:r>
      <w:r>
        <w:instrText xml:space="preserve"> HYPERLINK \l "_Toc29212" </w:instrText>
      </w:r>
      <w:r>
        <w:fldChar w:fldCharType="separate"/>
      </w:r>
      <w:r>
        <w:rPr>
          <w:rFonts w:hint="eastAsia" w:ascii="宋体" w:hAnsi="宋体" w:cs="宋体"/>
          <w:sz w:val="32"/>
          <w:szCs w:val="32"/>
        </w:rPr>
        <w:t>第一节 推进园区治理法治化</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_Toc29212 \h </w:instrText>
      </w:r>
      <w:r>
        <w:rPr>
          <w:rFonts w:hint="eastAsia" w:ascii="宋体" w:hAnsi="宋体" w:cs="宋体"/>
          <w:sz w:val="32"/>
          <w:szCs w:val="32"/>
        </w:rPr>
        <w:fldChar w:fldCharType="separate"/>
      </w:r>
      <w:r>
        <w:rPr>
          <w:rFonts w:hint="eastAsia" w:ascii="宋体" w:hAnsi="宋体" w:cs="宋体"/>
          <w:sz w:val="32"/>
          <w:szCs w:val="32"/>
        </w:rPr>
        <w:t>54</w:t>
      </w:r>
      <w:r>
        <w:rPr>
          <w:rFonts w:hint="eastAsia" w:ascii="宋体" w:hAnsi="宋体" w:cs="宋体"/>
          <w:sz w:val="32"/>
          <w:szCs w:val="32"/>
        </w:rPr>
        <w:fldChar w:fldCharType="end"/>
      </w:r>
      <w:r>
        <w:rPr>
          <w:rFonts w:hint="eastAsia" w:ascii="宋体" w:hAnsi="宋体" w:cs="宋体"/>
          <w:sz w:val="32"/>
          <w:szCs w:val="32"/>
        </w:rPr>
        <w:fldChar w:fldCharType="end"/>
      </w:r>
    </w:p>
    <w:p w14:paraId="1DA272EB">
      <w:pPr>
        <w:pStyle w:val="20"/>
        <w:tabs>
          <w:tab w:val="right" w:leader="dot" w:pos="9026"/>
        </w:tabs>
        <w:rPr>
          <w:rFonts w:ascii="宋体" w:hAnsi="宋体" w:cs="宋体"/>
          <w:sz w:val="32"/>
          <w:szCs w:val="32"/>
        </w:rPr>
      </w:pPr>
      <w:r>
        <w:fldChar w:fldCharType="begin"/>
      </w:r>
      <w:r>
        <w:instrText xml:space="preserve"> HYPERLINK \l "_Toc12081" </w:instrText>
      </w:r>
      <w:r>
        <w:fldChar w:fldCharType="separate"/>
      </w:r>
      <w:r>
        <w:rPr>
          <w:rFonts w:hint="eastAsia" w:ascii="宋体" w:hAnsi="宋体" w:cs="宋体"/>
          <w:sz w:val="32"/>
          <w:szCs w:val="32"/>
        </w:rPr>
        <w:t>第二节 维护园区公共安全</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_Toc12081 \h </w:instrText>
      </w:r>
      <w:r>
        <w:rPr>
          <w:rFonts w:hint="eastAsia" w:ascii="宋体" w:hAnsi="宋体" w:cs="宋体"/>
          <w:sz w:val="32"/>
          <w:szCs w:val="32"/>
        </w:rPr>
        <w:fldChar w:fldCharType="separate"/>
      </w:r>
      <w:r>
        <w:rPr>
          <w:rFonts w:hint="eastAsia" w:ascii="宋体" w:hAnsi="宋体" w:cs="宋体"/>
          <w:sz w:val="32"/>
          <w:szCs w:val="32"/>
        </w:rPr>
        <w:t>55</w:t>
      </w:r>
      <w:r>
        <w:rPr>
          <w:rFonts w:hint="eastAsia" w:ascii="宋体" w:hAnsi="宋体" w:cs="宋体"/>
          <w:sz w:val="32"/>
          <w:szCs w:val="32"/>
        </w:rPr>
        <w:fldChar w:fldCharType="end"/>
      </w:r>
      <w:r>
        <w:rPr>
          <w:rFonts w:hint="eastAsia" w:ascii="宋体" w:hAnsi="宋体" w:cs="宋体"/>
          <w:sz w:val="32"/>
          <w:szCs w:val="32"/>
        </w:rPr>
        <w:fldChar w:fldCharType="end"/>
      </w:r>
    </w:p>
    <w:p w14:paraId="7C1F6B2C">
      <w:pPr>
        <w:pStyle w:val="20"/>
        <w:tabs>
          <w:tab w:val="right" w:leader="dot" w:pos="9026"/>
        </w:tabs>
        <w:rPr>
          <w:rFonts w:ascii="宋体" w:hAnsi="宋体" w:cs="宋体"/>
          <w:sz w:val="32"/>
          <w:szCs w:val="32"/>
        </w:rPr>
      </w:pPr>
      <w:r>
        <w:fldChar w:fldCharType="begin"/>
      </w:r>
      <w:r>
        <w:instrText xml:space="preserve"> HYPERLINK \l "_Toc12264" </w:instrText>
      </w:r>
      <w:r>
        <w:fldChar w:fldCharType="separate"/>
      </w:r>
      <w:r>
        <w:rPr>
          <w:rFonts w:hint="eastAsia" w:ascii="宋体" w:hAnsi="宋体" w:cs="宋体"/>
          <w:sz w:val="32"/>
          <w:szCs w:val="32"/>
        </w:rPr>
        <w:t>第三节 强化智慧治理支撑</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_Toc12264 \h </w:instrText>
      </w:r>
      <w:r>
        <w:rPr>
          <w:rFonts w:hint="eastAsia" w:ascii="宋体" w:hAnsi="宋体" w:cs="宋体"/>
          <w:sz w:val="32"/>
          <w:szCs w:val="32"/>
        </w:rPr>
        <w:fldChar w:fldCharType="separate"/>
      </w:r>
      <w:r>
        <w:rPr>
          <w:rFonts w:hint="eastAsia" w:ascii="宋体" w:hAnsi="宋体" w:cs="宋体"/>
          <w:sz w:val="32"/>
          <w:szCs w:val="32"/>
        </w:rPr>
        <w:t>57</w:t>
      </w:r>
      <w:r>
        <w:rPr>
          <w:rFonts w:hint="eastAsia" w:ascii="宋体" w:hAnsi="宋体" w:cs="宋体"/>
          <w:sz w:val="32"/>
          <w:szCs w:val="32"/>
        </w:rPr>
        <w:fldChar w:fldCharType="end"/>
      </w:r>
      <w:r>
        <w:rPr>
          <w:rFonts w:hint="eastAsia" w:ascii="宋体" w:hAnsi="宋体" w:cs="宋体"/>
          <w:sz w:val="32"/>
          <w:szCs w:val="32"/>
        </w:rPr>
        <w:fldChar w:fldCharType="end"/>
      </w:r>
    </w:p>
    <w:p w14:paraId="5C5F73F7">
      <w:pPr>
        <w:pStyle w:val="18"/>
        <w:tabs>
          <w:tab w:val="right" w:leader="dot" w:pos="9026"/>
        </w:tabs>
        <w:rPr>
          <w:rFonts w:ascii="宋体" w:hAnsi="宋体" w:cs="宋体"/>
          <w:sz w:val="32"/>
          <w:szCs w:val="32"/>
        </w:rPr>
      </w:pPr>
      <w:r>
        <w:fldChar w:fldCharType="begin"/>
      </w:r>
      <w:r>
        <w:instrText xml:space="preserve"> HYPERLINK \l "_Toc13330" </w:instrText>
      </w:r>
      <w:r>
        <w:fldChar w:fldCharType="separate"/>
      </w:r>
      <w:r>
        <w:rPr>
          <w:rFonts w:hint="eastAsia" w:ascii="宋体" w:hAnsi="宋体" w:cs="宋体"/>
          <w:sz w:val="32"/>
          <w:szCs w:val="32"/>
        </w:rPr>
        <w:t>第九章 保障措施与实施机制</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_Toc13330 \h </w:instrText>
      </w:r>
      <w:r>
        <w:rPr>
          <w:rFonts w:hint="eastAsia" w:ascii="宋体" w:hAnsi="宋体" w:cs="宋体"/>
          <w:sz w:val="32"/>
          <w:szCs w:val="32"/>
        </w:rPr>
        <w:fldChar w:fldCharType="separate"/>
      </w:r>
      <w:r>
        <w:rPr>
          <w:rFonts w:hint="eastAsia" w:ascii="宋体" w:hAnsi="宋体" w:cs="宋体"/>
          <w:sz w:val="32"/>
          <w:szCs w:val="32"/>
        </w:rPr>
        <w:t>57</w:t>
      </w:r>
      <w:r>
        <w:rPr>
          <w:rFonts w:hint="eastAsia" w:ascii="宋体" w:hAnsi="宋体" w:cs="宋体"/>
          <w:sz w:val="32"/>
          <w:szCs w:val="32"/>
        </w:rPr>
        <w:fldChar w:fldCharType="end"/>
      </w:r>
      <w:r>
        <w:rPr>
          <w:rFonts w:hint="eastAsia" w:ascii="宋体" w:hAnsi="宋体" w:cs="宋体"/>
          <w:sz w:val="32"/>
          <w:szCs w:val="32"/>
        </w:rPr>
        <w:fldChar w:fldCharType="end"/>
      </w:r>
    </w:p>
    <w:p w14:paraId="54F0A3AB">
      <w:pPr>
        <w:pStyle w:val="20"/>
        <w:tabs>
          <w:tab w:val="right" w:leader="dot" w:pos="9026"/>
        </w:tabs>
        <w:rPr>
          <w:rFonts w:ascii="宋体" w:hAnsi="宋体" w:cs="宋体"/>
          <w:sz w:val="32"/>
          <w:szCs w:val="32"/>
        </w:rPr>
      </w:pPr>
      <w:r>
        <w:fldChar w:fldCharType="begin"/>
      </w:r>
      <w:r>
        <w:instrText xml:space="preserve"> HYPERLINK \l "_Toc18967" </w:instrText>
      </w:r>
      <w:r>
        <w:fldChar w:fldCharType="separate"/>
      </w:r>
      <w:r>
        <w:rPr>
          <w:rFonts w:hint="eastAsia" w:ascii="宋体" w:hAnsi="宋体" w:cs="宋体"/>
          <w:sz w:val="32"/>
          <w:szCs w:val="32"/>
        </w:rPr>
        <w:t>第一节 强化组织保障</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_Toc18967 \h </w:instrText>
      </w:r>
      <w:r>
        <w:rPr>
          <w:rFonts w:hint="eastAsia" w:ascii="宋体" w:hAnsi="宋体" w:cs="宋体"/>
          <w:sz w:val="32"/>
          <w:szCs w:val="32"/>
        </w:rPr>
        <w:fldChar w:fldCharType="separate"/>
      </w:r>
      <w:r>
        <w:rPr>
          <w:rFonts w:hint="eastAsia" w:ascii="宋体" w:hAnsi="宋体" w:cs="宋体"/>
          <w:sz w:val="32"/>
          <w:szCs w:val="32"/>
        </w:rPr>
        <w:t>57</w:t>
      </w:r>
      <w:r>
        <w:rPr>
          <w:rFonts w:hint="eastAsia" w:ascii="宋体" w:hAnsi="宋体" w:cs="宋体"/>
          <w:sz w:val="32"/>
          <w:szCs w:val="32"/>
        </w:rPr>
        <w:fldChar w:fldCharType="end"/>
      </w:r>
      <w:r>
        <w:rPr>
          <w:rFonts w:hint="eastAsia" w:ascii="宋体" w:hAnsi="宋体" w:cs="宋体"/>
          <w:sz w:val="32"/>
          <w:szCs w:val="32"/>
        </w:rPr>
        <w:fldChar w:fldCharType="end"/>
      </w:r>
    </w:p>
    <w:p w14:paraId="2EC3C844">
      <w:pPr>
        <w:pStyle w:val="20"/>
        <w:tabs>
          <w:tab w:val="right" w:leader="dot" w:pos="9026"/>
        </w:tabs>
        <w:rPr>
          <w:rFonts w:ascii="宋体" w:hAnsi="宋体" w:cs="宋体"/>
          <w:sz w:val="32"/>
          <w:szCs w:val="32"/>
        </w:rPr>
      </w:pPr>
      <w:r>
        <w:fldChar w:fldCharType="begin"/>
      </w:r>
      <w:r>
        <w:instrText xml:space="preserve"> HYPERLINK \l "_Toc16429" </w:instrText>
      </w:r>
      <w:r>
        <w:fldChar w:fldCharType="separate"/>
      </w:r>
      <w:r>
        <w:rPr>
          <w:rFonts w:hint="eastAsia" w:ascii="宋体" w:hAnsi="宋体" w:cs="宋体"/>
          <w:sz w:val="32"/>
          <w:szCs w:val="32"/>
        </w:rPr>
        <w:t>第二节 强化项目和资金保障</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_Toc16429 \h </w:instrText>
      </w:r>
      <w:r>
        <w:rPr>
          <w:rFonts w:hint="eastAsia" w:ascii="宋体" w:hAnsi="宋体" w:cs="宋体"/>
          <w:sz w:val="32"/>
          <w:szCs w:val="32"/>
        </w:rPr>
        <w:fldChar w:fldCharType="separate"/>
      </w:r>
      <w:r>
        <w:rPr>
          <w:rFonts w:hint="eastAsia" w:ascii="宋体" w:hAnsi="宋体" w:cs="宋体"/>
          <w:sz w:val="32"/>
          <w:szCs w:val="32"/>
        </w:rPr>
        <w:t>58</w:t>
      </w:r>
      <w:r>
        <w:rPr>
          <w:rFonts w:hint="eastAsia" w:ascii="宋体" w:hAnsi="宋体" w:cs="宋体"/>
          <w:sz w:val="32"/>
          <w:szCs w:val="32"/>
        </w:rPr>
        <w:fldChar w:fldCharType="end"/>
      </w:r>
      <w:r>
        <w:rPr>
          <w:rFonts w:hint="eastAsia" w:ascii="宋体" w:hAnsi="宋体" w:cs="宋体"/>
          <w:sz w:val="32"/>
          <w:szCs w:val="32"/>
        </w:rPr>
        <w:fldChar w:fldCharType="end"/>
      </w:r>
    </w:p>
    <w:p w14:paraId="27E696D2">
      <w:pPr>
        <w:pStyle w:val="20"/>
        <w:tabs>
          <w:tab w:val="right" w:leader="dot" w:pos="9026"/>
        </w:tabs>
        <w:rPr>
          <w:rFonts w:ascii="宋体" w:hAnsi="宋体" w:cs="宋体"/>
          <w:sz w:val="32"/>
          <w:szCs w:val="32"/>
        </w:rPr>
      </w:pPr>
      <w:r>
        <w:fldChar w:fldCharType="begin"/>
      </w:r>
      <w:r>
        <w:instrText xml:space="preserve"> HYPERLINK \l "_Toc5743" </w:instrText>
      </w:r>
      <w:r>
        <w:fldChar w:fldCharType="separate"/>
      </w:r>
      <w:r>
        <w:rPr>
          <w:rFonts w:hint="eastAsia" w:ascii="宋体" w:hAnsi="宋体" w:cs="宋体"/>
          <w:sz w:val="32"/>
          <w:szCs w:val="32"/>
          <w:lang w:bidi="ar"/>
        </w:rPr>
        <w:t>第</w:t>
      </w:r>
      <w:r>
        <w:rPr>
          <w:rFonts w:hint="eastAsia" w:ascii="宋体" w:hAnsi="宋体" w:cs="宋体"/>
          <w:sz w:val="32"/>
          <w:szCs w:val="32"/>
        </w:rPr>
        <w:t>三节 完善规划实施体制机制</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_Toc5743 \h </w:instrText>
      </w:r>
      <w:r>
        <w:rPr>
          <w:rFonts w:hint="eastAsia" w:ascii="宋体" w:hAnsi="宋体" w:cs="宋体"/>
          <w:sz w:val="32"/>
          <w:szCs w:val="32"/>
        </w:rPr>
        <w:fldChar w:fldCharType="separate"/>
      </w:r>
      <w:r>
        <w:rPr>
          <w:rFonts w:hint="eastAsia" w:ascii="宋体" w:hAnsi="宋体" w:cs="宋体"/>
          <w:sz w:val="32"/>
          <w:szCs w:val="32"/>
        </w:rPr>
        <w:t>59</w:t>
      </w:r>
      <w:r>
        <w:rPr>
          <w:rFonts w:hint="eastAsia" w:ascii="宋体" w:hAnsi="宋体" w:cs="宋体"/>
          <w:sz w:val="32"/>
          <w:szCs w:val="32"/>
        </w:rPr>
        <w:fldChar w:fldCharType="end"/>
      </w:r>
      <w:r>
        <w:rPr>
          <w:rFonts w:hint="eastAsia" w:ascii="宋体" w:hAnsi="宋体" w:cs="宋体"/>
          <w:sz w:val="32"/>
          <w:szCs w:val="32"/>
        </w:rPr>
        <w:fldChar w:fldCharType="end"/>
      </w:r>
    </w:p>
    <w:p w14:paraId="5434C005">
      <w:pPr>
        <w:pStyle w:val="20"/>
        <w:tabs>
          <w:tab w:val="right" w:leader="dot" w:pos="9026"/>
        </w:tabs>
        <w:rPr>
          <w:rFonts w:ascii="宋体" w:hAnsi="宋体" w:cs="宋体"/>
          <w:sz w:val="32"/>
          <w:szCs w:val="32"/>
        </w:rPr>
      </w:pPr>
      <w:r>
        <w:fldChar w:fldCharType="begin"/>
      </w:r>
      <w:r>
        <w:instrText xml:space="preserve"> HYPERLINK \l "_Toc1864" </w:instrText>
      </w:r>
      <w:r>
        <w:fldChar w:fldCharType="separate"/>
      </w:r>
      <w:r>
        <w:rPr>
          <w:rFonts w:hint="eastAsia" w:ascii="宋体" w:hAnsi="宋体" w:cs="宋体"/>
          <w:sz w:val="32"/>
          <w:szCs w:val="32"/>
        </w:rPr>
        <w:t>第四节 健全考核评估体系</w:t>
      </w:r>
      <w:r>
        <w:rPr>
          <w:rFonts w:hint="eastAsia" w:ascii="宋体" w:hAnsi="宋体" w:cs="宋体"/>
          <w:sz w:val="32"/>
          <w:szCs w:val="32"/>
        </w:rPr>
        <w:tab/>
      </w:r>
      <w:r>
        <w:rPr>
          <w:rFonts w:hint="eastAsia" w:ascii="宋体" w:hAnsi="宋体" w:cs="宋体"/>
          <w:sz w:val="32"/>
          <w:szCs w:val="32"/>
        </w:rPr>
        <w:fldChar w:fldCharType="begin"/>
      </w:r>
      <w:r>
        <w:rPr>
          <w:rFonts w:hint="eastAsia" w:ascii="宋体" w:hAnsi="宋体" w:cs="宋体"/>
          <w:sz w:val="32"/>
          <w:szCs w:val="32"/>
        </w:rPr>
        <w:instrText xml:space="preserve"> PAGEREF _Toc1864 \h </w:instrText>
      </w:r>
      <w:r>
        <w:rPr>
          <w:rFonts w:hint="eastAsia" w:ascii="宋体" w:hAnsi="宋体" w:cs="宋体"/>
          <w:sz w:val="32"/>
          <w:szCs w:val="32"/>
        </w:rPr>
        <w:fldChar w:fldCharType="separate"/>
      </w:r>
      <w:r>
        <w:rPr>
          <w:rFonts w:hint="eastAsia" w:ascii="宋体" w:hAnsi="宋体" w:cs="宋体"/>
          <w:sz w:val="32"/>
          <w:szCs w:val="32"/>
        </w:rPr>
        <w:t>60</w:t>
      </w:r>
      <w:r>
        <w:rPr>
          <w:rFonts w:hint="eastAsia" w:ascii="宋体" w:hAnsi="宋体" w:cs="宋体"/>
          <w:sz w:val="32"/>
          <w:szCs w:val="32"/>
        </w:rPr>
        <w:fldChar w:fldCharType="end"/>
      </w:r>
      <w:r>
        <w:rPr>
          <w:rFonts w:hint="eastAsia" w:ascii="宋体" w:hAnsi="宋体" w:cs="宋体"/>
          <w:sz w:val="32"/>
          <w:szCs w:val="32"/>
        </w:rPr>
        <w:fldChar w:fldCharType="end"/>
      </w:r>
    </w:p>
    <w:p w14:paraId="06B74F78">
      <w:pPr>
        <w:spacing w:line="600" w:lineRule="atLeast"/>
        <w:rPr>
          <w:rFonts w:ascii="仿宋_GB2312" w:hAnsi="仿宋_GB2312" w:eastAsia="仿宋_GB2312" w:cs="仿宋_GB2312"/>
          <w:snapToGrid w:val="0"/>
          <w:color w:val="000000"/>
          <w:sz w:val="32"/>
          <w:szCs w:val="32"/>
        </w:rPr>
        <w:sectPr>
          <w:footerReference r:id="rId5" w:type="default"/>
          <w:pgSz w:w="11906" w:h="16838"/>
          <w:pgMar w:top="1440" w:right="1440" w:bottom="1440" w:left="1440" w:header="708" w:footer="708" w:gutter="0"/>
          <w:pgNumType w:start="1"/>
          <w:cols w:space="720" w:num="1"/>
          <w:docGrid w:linePitch="360" w:charSpace="0"/>
        </w:sectPr>
      </w:pPr>
      <w:r>
        <w:rPr>
          <w:rFonts w:hint="eastAsia" w:ascii="宋体" w:hAnsi="宋体" w:cs="宋体"/>
          <w:snapToGrid w:val="0"/>
          <w:color w:val="000000"/>
          <w:sz w:val="32"/>
          <w:szCs w:val="32"/>
        </w:rPr>
        <w:fldChar w:fldCharType="end"/>
      </w:r>
    </w:p>
    <w:p w14:paraId="4170654B">
      <w:pPr>
        <w:adjustRightInd w:val="0"/>
        <w:snapToGrid w:val="0"/>
        <w:spacing w:line="600" w:lineRule="exact"/>
        <w:jc w:val="center"/>
        <w:outlineLvl w:val="0"/>
        <w:rPr>
          <w:rFonts w:ascii="黑体" w:hAnsi="黑体" w:eastAsia="黑体" w:cs="黑体"/>
          <w:bCs/>
          <w:sz w:val="32"/>
          <w:szCs w:val="32"/>
        </w:rPr>
      </w:pPr>
      <w:bookmarkStart w:id="35" w:name="_Toc28351"/>
      <w:bookmarkStart w:id="36" w:name="_Toc10554"/>
      <w:bookmarkStart w:id="37" w:name="_Toc32658"/>
      <w:bookmarkStart w:id="38" w:name="_Toc223176530"/>
      <w:bookmarkStart w:id="39" w:name="_Toc26481"/>
      <w:bookmarkStart w:id="40" w:name="_Toc9560"/>
      <w:bookmarkStart w:id="41" w:name="_Toc991"/>
      <w:bookmarkStart w:id="42" w:name="_Toc30928"/>
      <w:r>
        <w:rPr>
          <w:rFonts w:hint="eastAsia" w:ascii="黑体" w:hAnsi="黑体" w:eastAsia="黑体" w:cs="黑体"/>
          <w:bCs/>
          <w:sz w:val="32"/>
          <w:szCs w:val="32"/>
        </w:rPr>
        <w:t>前  言</w:t>
      </w:r>
      <w:bookmarkEnd w:id="35"/>
      <w:bookmarkEnd w:id="36"/>
      <w:bookmarkEnd w:id="37"/>
      <w:bookmarkEnd w:id="38"/>
      <w:bookmarkEnd w:id="39"/>
      <w:bookmarkEnd w:id="40"/>
      <w:bookmarkEnd w:id="41"/>
      <w:bookmarkEnd w:id="42"/>
    </w:p>
    <w:p w14:paraId="0FEAB8A7">
      <w:pPr>
        <w:spacing w:line="600" w:lineRule="exact"/>
        <w:jc w:val="center"/>
        <w:rPr>
          <w:rFonts w:ascii="仿宋_GB2312" w:hAnsi="仿宋_GB2312" w:eastAsia="仿宋_GB2312" w:cs="仿宋_GB2312"/>
          <w:kern w:val="2"/>
          <w:sz w:val="32"/>
          <w:szCs w:val="32"/>
        </w:rPr>
      </w:pPr>
    </w:p>
    <w:p w14:paraId="3ABAA04E">
      <w:pP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snapToGrid w:val="0"/>
          <w:color w:val="000000"/>
          <w:sz w:val="32"/>
          <w:szCs w:val="32"/>
        </w:rPr>
        <w:t>“十五五”时期是我国基本实现社会主义现代化夯实基础、承前</w:t>
      </w:r>
      <w:r>
        <w:rPr>
          <w:rFonts w:hint="eastAsia" w:ascii="方正仿宋_GB2312" w:hAnsi="方正仿宋_GB2312" w:eastAsia="方正仿宋_GB2312" w:cs="方正仿宋_GB2312"/>
          <w:snapToGrid w:val="0"/>
          <w:color w:val="000000"/>
          <w:sz w:val="32"/>
          <w:szCs w:val="32"/>
        </w:rPr>
        <w:t>启</w:t>
      </w:r>
      <w:r>
        <w:rPr>
          <w:rFonts w:hint="eastAsia" w:ascii="仿宋_GB2312" w:hAnsi="仿宋_GB2312" w:eastAsia="仿宋_GB2312" w:cs="仿宋_GB2312"/>
          <w:snapToGrid w:val="0"/>
          <w:color w:val="000000"/>
          <w:sz w:val="32"/>
          <w:szCs w:val="32"/>
        </w:rPr>
        <w:t>后、全面发力的关键时期，是全省推动高质量发展、深化全方位转型取得突破性进展的宝贵窗口期，是全市建设“两区两城两高地”</w:t>
      </w:r>
      <w:r>
        <w:rPr>
          <w:rFonts w:ascii="仿宋_GB2312" w:hAnsi="仿宋_GB2312" w:eastAsia="仿宋_GB2312" w:cs="仿宋_GB2312"/>
          <w:snapToGrid w:val="0"/>
          <w:color w:val="000000"/>
          <w:sz w:val="32"/>
          <w:szCs w:val="32"/>
          <w:vertAlign w:val="superscript"/>
        </w:rPr>
        <w:fldChar w:fldCharType="begin"/>
      </w:r>
      <w:r>
        <w:instrText xml:space="preserve"> REF _Ref223540616 \n \h  \* MERGEFORMAT</w:instrText>
      </w:r>
      <w:r>
        <w:rPr>
          <w:rFonts w:ascii="仿宋_GB2312" w:hAnsi="仿宋_GB2312" w:eastAsia="仿宋_GB2312" w:cs="仿宋_GB2312"/>
          <w:snapToGrid w:val="0"/>
          <w:color w:val="000000"/>
          <w:sz w:val="32"/>
          <w:szCs w:val="32"/>
          <w:vertAlign w:val="superscript"/>
        </w:rPr>
        <w:fldChar w:fldCharType="separate"/>
      </w:r>
      <w:r>
        <w:rPr>
          <w:rFonts w:ascii="仿宋_GB2312" w:hAnsi="仿宋_GB2312" w:eastAsia="仿宋_GB2312" w:cs="仿宋_GB2312"/>
          <w:snapToGrid w:val="0"/>
          <w:color w:val="000000"/>
          <w:sz w:val="32"/>
          <w:szCs w:val="32"/>
          <w:vertAlign w:val="superscript"/>
        </w:rPr>
        <w:t>[1]</w:t>
      </w:r>
      <w:r>
        <w:rPr>
          <w:rFonts w:ascii="仿宋_GB2312" w:hAnsi="仿宋_GB2312" w:eastAsia="仿宋_GB2312" w:cs="仿宋_GB2312"/>
          <w:snapToGrid w:val="0"/>
          <w:color w:val="000000"/>
          <w:sz w:val="32"/>
          <w:szCs w:val="32"/>
          <w:vertAlign w:val="superscript"/>
        </w:rPr>
        <w:fldChar w:fldCharType="end"/>
      </w:r>
      <w:r>
        <w:rPr>
          <w:rFonts w:hint="eastAsia" w:ascii="仿宋_GB2312" w:hAnsi="仿宋_GB2312" w:eastAsia="仿宋_GB2312" w:cs="仿宋_GB2312"/>
          <w:snapToGrid w:val="0"/>
          <w:color w:val="000000"/>
          <w:sz w:val="32"/>
          <w:szCs w:val="32"/>
        </w:rPr>
        <w:t>、奋力谱写中国式现代化长治篇章的关键五年，是长治高新区贯彻落实国家和省市战略、冲刺国家百强高新区的决胜五年。经过多年发展，长治高新区在产业培育、创新驱动、园区建设等方面积累了坚实基础，成为引领全市产业升级、支撑全市资源型经济转型的重要增长极。本规划根据国家和省市国民经济和社会发展第十五个五年规划纲要要求，系统总结“十四五”长治高新区发展成效，精准研判“十五五”时期面临的新形势、新机遇与新挑战，明确未来五年发展的指导思想、基本原则、战略定位和核心目标，旨在构建“目标可量化、任务可落地、保障可追溯”的行动体系，推动高新区实现从要素驱动向创新驱动、从产业集聚向产业集群、从园区发展向产城融合的跨越式转变，为打造千</w:t>
      </w:r>
      <w:r>
        <w:rPr>
          <w:rFonts w:hint="eastAsia" w:ascii="仿宋_GB2312" w:hAnsi="仿宋_GB2312" w:eastAsia="仿宋_GB2312" w:cs="仿宋_GB2312"/>
          <w:kern w:val="2"/>
          <w:sz w:val="32"/>
          <w:szCs w:val="32"/>
        </w:rPr>
        <w:t>亿级产业园区、跻身国家百强高新区提供科学指引。</w:t>
      </w:r>
    </w:p>
    <w:p w14:paraId="24A4AEAC">
      <w:pPr>
        <w:spacing w:line="600" w:lineRule="exact"/>
        <w:ind w:firstLine="420" w:firstLineChars="200"/>
        <w:rPr>
          <w:rFonts w:ascii="仿宋_GB2312" w:hAnsi="仿宋_GB2312" w:eastAsia="仿宋_GB2312" w:cs="仿宋_GB2312"/>
          <w:kern w:val="2"/>
          <w:szCs w:val="32"/>
        </w:rPr>
      </w:pPr>
    </w:p>
    <w:p w14:paraId="5CCDCA42">
      <w:pPr>
        <w:spacing w:line="600" w:lineRule="exact"/>
        <w:ind w:firstLine="420" w:firstLineChars="200"/>
        <w:rPr>
          <w:rFonts w:ascii="仿宋_GB2312" w:hAnsi="仿宋_GB2312" w:eastAsia="仿宋_GB2312" w:cs="仿宋_GB2312"/>
          <w:kern w:val="2"/>
          <w:szCs w:val="32"/>
        </w:rPr>
      </w:pPr>
    </w:p>
    <w:p w14:paraId="5DD534A5">
      <w:pPr>
        <w:pStyle w:val="2"/>
      </w:pPr>
    </w:p>
    <w:p w14:paraId="575182A5">
      <w:pPr>
        <w:pStyle w:val="2"/>
      </w:pPr>
    </w:p>
    <w:p w14:paraId="6D0DD293">
      <w:pPr>
        <w:pStyle w:val="2"/>
      </w:pPr>
    </w:p>
    <w:p w14:paraId="46543B0D">
      <w:pPr>
        <w:pStyle w:val="2"/>
      </w:pPr>
    </w:p>
    <w:p w14:paraId="286A400F">
      <w:pPr>
        <w:pStyle w:val="2"/>
      </w:pPr>
    </w:p>
    <w:p w14:paraId="0F284D3A">
      <w:pPr>
        <w:pStyle w:val="2"/>
      </w:pPr>
    </w:p>
    <w:p w14:paraId="18277261">
      <w:pPr>
        <w:pStyle w:val="2"/>
      </w:pPr>
    </w:p>
    <w:p w14:paraId="3C5BB194">
      <w:pPr>
        <w:pStyle w:val="2"/>
      </w:pPr>
    </w:p>
    <w:p w14:paraId="24B85967">
      <w:pPr>
        <w:pStyle w:val="3"/>
        <w:widowControl/>
        <w:autoSpaceDE w:val="0"/>
        <w:autoSpaceDN w:val="0"/>
        <w:adjustRightInd w:val="0"/>
        <w:snapToGrid w:val="0"/>
        <w:spacing w:before="0" w:after="0" w:line="600" w:lineRule="exact"/>
        <w:rPr>
          <w:rFonts w:ascii="黑体" w:hAnsi="黑体" w:cs="黑体"/>
          <w:szCs w:val="32"/>
        </w:rPr>
      </w:pPr>
      <w:bookmarkStart w:id="43" w:name="_Toc5306"/>
      <w:bookmarkStart w:id="44" w:name="_Toc5257"/>
      <w:bookmarkStart w:id="45" w:name="_Toc223176531"/>
      <w:bookmarkStart w:id="46" w:name="_Toc20108"/>
      <w:bookmarkStart w:id="47" w:name="_Toc19642"/>
      <w:bookmarkStart w:id="48" w:name="_Toc2183"/>
      <w:bookmarkStart w:id="49" w:name="_Toc5730"/>
      <w:bookmarkStart w:id="50" w:name="_Toc30412"/>
      <w:bookmarkStart w:id="51" w:name="_Toc5493"/>
      <w:r>
        <w:rPr>
          <w:rFonts w:hint="eastAsia" w:ascii="黑体" w:hAnsi="黑体" w:cs="黑体"/>
          <w:szCs w:val="32"/>
        </w:rPr>
        <w:t>第一章 发展基础与形势研判</w:t>
      </w:r>
      <w:bookmarkEnd w:id="43"/>
      <w:bookmarkEnd w:id="44"/>
      <w:bookmarkEnd w:id="45"/>
      <w:bookmarkEnd w:id="46"/>
      <w:bookmarkEnd w:id="47"/>
      <w:bookmarkEnd w:id="48"/>
      <w:bookmarkEnd w:id="49"/>
      <w:bookmarkEnd w:id="50"/>
      <w:bookmarkEnd w:id="51"/>
    </w:p>
    <w:p w14:paraId="4F4A87B4">
      <w:pPr>
        <w:widowControl/>
        <w:autoSpaceDE w:val="0"/>
        <w:autoSpaceDN w:val="0"/>
        <w:adjustRightInd w:val="0"/>
        <w:snapToGrid w:val="0"/>
        <w:spacing w:line="600" w:lineRule="exact"/>
        <w:ind w:firstLine="420" w:firstLineChars="200"/>
        <w:jc w:val="center"/>
      </w:pPr>
      <w:bookmarkStart w:id="52" w:name="_Toc1845558041"/>
      <w:bookmarkStart w:id="53" w:name="_Toc27715"/>
      <w:bookmarkStart w:id="54" w:name="_Toc1015878514"/>
      <w:bookmarkStart w:id="55" w:name="_Toc419541148"/>
      <w:bookmarkStart w:id="56" w:name="_Toc220412992"/>
    </w:p>
    <w:p w14:paraId="7944E293">
      <w:pPr>
        <w:pStyle w:val="4"/>
        <w:adjustRightInd w:val="0"/>
        <w:snapToGrid w:val="0"/>
        <w:spacing w:line="600" w:lineRule="exact"/>
        <w:rPr>
          <w:rFonts w:ascii="楷体_GB2312" w:hAnsi="楷体_GB2312" w:eastAsia="楷体_GB2312" w:cs="楷体_GB2312"/>
          <w:bCs w:val="0"/>
        </w:rPr>
      </w:pPr>
      <w:bookmarkStart w:id="57" w:name="_Toc21770"/>
      <w:bookmarkStart w:id="58" w:name="_Toc18662"/>
      <w:bookmarkStart w:id="59" w:name="_Toc13168"/>
      <w:bookmarkStart w:id="60" w:name="_Toc20218"/>
      <w:bookmarkStart w:id="61" w:name="_Toc223176532"/>
      <w:bookmarkStart w:id="62" w:name="_Toc8440"/>
      <w:bookmarkStart w:id="63" w:name="_Toc30865"/>
      <w:bookmarkStart w:id="64" w:name="_Toc3283"/>
      <w:r>
        <w:rPr>
          <w:rFonts w:hint="eastAsia" w:ascii="楷体_GB2312" w:hAnsi="楷体_GB2312" w:eastAsia="楷体_GB2312" w:cs="楷体_GB2312"/>
          <w:bCs w:val="0"/>
        </w:rPr>
        <w:t>第一节 “十四五”时期发展成就</w:t>
      </w:r>
      <w:bookmarkEnd w:id="52"/>
      <w:bookmarkEnd w:id="53"/>
      <w:bookmarkEnd w:id="54"/>
      <w:bookmarkEnd w:id="55"/>
      <w:bookmarkEnd w:id="56"/>
      <w:bookmarkEnd w:id="57"/>
      <w:bookmarkEnd w:id="58"/>
      <w:bookmarkEnd w:id="59"/>
      <w:bookmarkEnd w:id="60"/>
      <w:bookmarkEnd w:id="61"/>
      <w:bookmarkEnd w:id="62"/>
      <w:bookmarkEnd w:id="63"/>
      <w:bookmarkEnd w:id="64"/>
    </w:p>
    <w:p w14:paraId="62B5079A">
      <w:pPr>
        <w:spacing w:line="600" w:lineRule="exact"/>
        <w:jc w:val="left"/>
        <w:rPr>
          <w:sz w:val="32"/>
          <w:szCs w:val="36"/>
        </w:rPr>
      </w:pPr>
    </w:p>
    <w:p w14:paraId="55F195DB">
      <w:pP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“十四五”期间，长治高新区实现经济质效、产业能级、创新动能的全面提升，荣获国家</w:t>
      </w:r>
      <w:r>
        <w:rPr>
          <w:rFonts w:ascii="仿宋_GB2312" w:hAnsi="仿宋_GB2312" w:eastAsia="仿宋_GB2312" w:cs="仿宋_GB2312"/>
          <w:sz w:val="32"/>
          <w:szCs w:val="32"/>
        </w:rPr>
        <w:t>真抓实干成效明显的产业转型升级示范园区</w:t>
      </w:r>
      <w:r>
        <w:rPr>
          <w:rFonts w:hint="eastAsia" w:ascii="仿宋_GB2312" w:hAnsi="仿宋_GB2312" w:eastAsia="仿宋_GB2312" w:cs="仿宋_GB2312"/>
          <w:sz w:val="32"/>
          <w:szCs w:val="32"/>
        </w:rPr>
        <w:t>、</w:t>
      </w:r>
      <w:r>
        <w:rPr>
          <w:rFonts w:hint="eastAsia" w:ascii="仿宋_GB2312" w:hAnsi="仿宋_GB2312" w:eastAsia="仿宋_GB2312" w:cs="仿宋_GB2312"/>
          <w:kern w:val="2"/>
          <w:sz w:val="32"/>
          <w:szCs w:val="32"/>
        </w:rPr>
        <w:t>国家碳达峰试点园区、“科创中国”山西试点园区、全国科技金融创新服务“十百千万”专项行动首批实施单位、第三批全国“企业创新积分制”实施单位、山西省绿色工业园区、山西省绿电园区、山西省转型综改示范区、山西省科技成果转化示范基地、山西省第一批省级数字化转型促进中心（区域型）等省级以上荣誉，为“十五五”高质量发展奠定了坚实基础。</w:t>
      </w:r>
    </w:p>
    <w:p w14:paraId="300ED684">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经济发展量质齐升，综合实力稳步增强。</w:t>
      </w:r>
      <w:r>
        <w:rPr>
          <w:rFonts w:hint="eastAsia" w:ascii="仿宋_GB2312" w:hAnsi="仿宋_GB2312" w:eastAsia="仿宋_GB2312" w:cs="仿宋_GB2312"/>
          <w:kern w:val="2"/>
          <w:sz w:val="32"/>
          <w:szCs w:val="32"/>
        </w:rPr>
        <w:t>“十四五”期间，全区企业数量由0.9万户增加到1.2万户，“四上”企业由268家增加到462家，规模以上工业企业由37家增加到82家，</w:t>
      </w:r>
      <w:r>
        <w:rPr>
          <w:rFonts w:hint="eastAsia" w:ascii="Calibri" w:hAnsi="Calibri" w:eastAsia="仿宋_GB2312" w:cs="Calibri"/>
          <w:kern w:val="2"/>
          <w:sz w:val="32"/>
          <w:szCs w:val="32"/>
        </w:rPr>
        <w:t>工业投资</w:t>
      </w:r>
      <w:r>
        <w:rPr>
          <w:rFonts w:hint="eastAsia" w:ascii="仿宋_GB2312" w:hAnsi="仿宋_GB2312" w:eastAsia="仿宋_GB2312" w:cs="仿宋_GB2312"/>
          <w:kern w:val="2"/>
          <w:sz w:val="32"/>
          <w:szCs w:val="32"/>
        </w:rPr>
        <w:t>由42亿元增加到最高峰的70亿元，规上工业产值达到130亿元。2025年当年有效期内高新技术企业达到118家，专精特新企业达到54家。</w:t>
      </w:r>
    </w:p>
    <w:p w14:paraId="44484545">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政策叠加优势凸显，发展动能持续集聚。</w:t>
      </w:r>
      <w:r>
        <w:rPr>
          <w:rFonts w:hint="eastAsia" w:ascii="仿宋_GB2312" w:hAnsi="仿宋_GB2312" w:eastAsia="仿宋_GB2312" w:cs="仿宋_GB2312"/>
          <w:kern w:val="2"/>
          <w:sz w:val="32"/>
          <w:szCs w:val="32"/>
        </w:rPr>
        <w:t>作为国家级高新区与省级转型综改示范区“双载体”，累计争取多项国家级政策试点、省级改革授权，在项目审批、要素保障、人才引进、财税支持等方面形成了独特的政策洼地效应。依托相关政策试点和改革授权，高新区在项目审批提速、产业项目落地、科技企业培育等方面取得明显成效，特瓦时正极材料、安博泰克创新药物研发与产业化等一批重大产业项目加快落地实施，高新技术企业和科技型中小企业数量持续增长，园区产业规模和创新能力不断提升。通过政策集成和制度创新，推动资金、人才、技术等创新要素加快集聚，形成一批可复制推广的改革经验，为全省资源型经济转型和高新区高质量发展提供了示范。</w:t>
      </w:r>
    </w:p>
    <w:p w14:paraId="23962E34">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产业集群初具规模，“高”“新”特征日益鲜明。</w:t>
      </w:r>
      <w:r>
        <w:rPr>
          <w:rFonts w:hint="eastAsia" w:ascii="仿宋_GB2312" w:hAnsi="仿宋_GB2312" w:eastAsia="仿宋_GB2312" w:cs="仿宋_GB2312"/>
          <w:kern w:val="2"/>
          <w:sz w:val="32"/>
          <w:szCs w:val="32"/>
        </w:rPr>
        <w:t>经过多年培育，已形成电子信息、新能源、装备制造、生物医药与大健康四大主导产业集群，产业集聚度得到提高。电子信息产业集聚立讯、凯松、卓怡恒通等20多家企业，深紫外LED领域技术优势明显；新能源产业形成动力锂电池新材料与光伏产业双轮驱动格局，磷酸锰铁锂正极材料产能位居全省前列；装备制造产业集聚宏达聚益、钜星锻压等20多家企业，智能装备市场竞争力逐步提升；生物医药与大健康产业拥有康宝生物、安博泰克等重点企业，创新药研发与产业化取得积极进展，四大产业均具备向更大规模集群跃升的潜力。</w:t>
      </w:r>
    </w:p>
    <w:p w14:paraId="537734F7">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载体平台能级持续提升，</w:t>
      </w:r>
      <w:r>
        <w:rPr>
          <w:rFonts w:hint="eastAsia" w:ascii="仿宋_GB2312" w:eastAsia="仿宋_GB2312"/>
          <w:b/>
          <w:bCs/>
          <w:sz w:val="32"/>
          <w:szCs w:val="32"/>
        </w:rPr>
        <w:t>产业承载能力不断增强</w:t>
      </w:r>
      <w:r>
        <w:rPr>
          <w:rFonts w:hint="eastAsia" w:ascii="仿宋_GB2312" w:hAnsi="仿宋_GB2312" w:eastAsia="仿宋_GB2312" w:cs="仿宋_GB2312"/>
          <w:b/>
          <w:bCs/>
          <w:kern w:val="2"/>
          <w:sz w:val="32"/>
          <w:szCs w:val="32"/>
        </w:rPr>
        <w:t>。</w:t>
      </w:r>
      <w:r>
        <w:rPr>
          <w:rFonts w:hint="eastAsia" w:ascii="仿宋_GB2312" w:hAnsi="仿宋_GB2312" w:eastAsia="仿宋_GB2312" w:cs="仿宋_GB2312"/>
          <w:kern w:val="2"/>
          <w:sz w:val="32"/>
          <w:szCs w:val="32"/>
        </w:rPr>
        <w:t>晋创谷、省级绿电园区、国际合作园区、消费品特色园区等省级重点平台相继批复，建成各类厂房及办公用房152万平方米，为产业承接、项目落地提供了优质空间。</w:t>
      </w:r>
      <w:r>
        <w:rPr>
          <w:rFonts w:hint="eastAsia" w:ascii="仿宋_GB2312" w:eastAsia="仿宋_GB2312"/>
          <w:sz w:val="32"/>
          <w:szCs w:val="32"/>
        </w:rPr>
        <w:t>依托晋创谷创新平台和国际合作园区，加快推进电子信息、生物医药、新能源装备等领域重点项目落地，一批科技型企业和产业项目加快集聚，园区产业承载能力显著提升。</w:t>
      </w:r>
      <w:r>
        <w:rPr>
          <w:rFonts w:hint="eastAsia" w:ascii="仿宋_GB2312" w:hAnsi="仿宋_GB2312" w:eastAsia="仿宋_GB2312" w:cs="仿宋_GB2312"/>
          <w:kern w:val="2"/>
          <w:sz w:val="32"/>
          <w:szCs w:val="32"/>
        </w:rPr>
        <w:t>创新平台建设成效显著，建成省级以上研发</w:t>
      </w:r>
      <w:r>
        <w:rPr>
          <w:rFonts w:hint="eastAsia" w:ascii="方正仿宋_GB2312" w:hAnsi="方正仿宋_GB2312" w:eastAsia="方正仿宋_GB2312" w:cs="方正仿宋_GB2312"/>
          <w:kern w:val="2"/>
          <w:sz w:val="32"/>
          <w:szCs w:val="32"/>
        </w:rPr>
        <w:t>平台</w:t>
      </w:r>
      <w:r>
        <w:rPr>
          <w:rFonts w:hint="eastAsia" w:ascii="仿宋_GB2312" w:hAnsi="仿宋_GB2312" w:eastAsia="仿宋_GB2312" w:cs="仿宋_GB2312"/>
          <w:kern w:val="2"/>
          <w:sz w:val="32"/>
          <w:szCs w:val="32"/>
        </w:rPr>
        <w:t>21家，市级以上研发平台</w:t>
      </w:r>
      <w:r>
        <w:rPr>
          <w:rFonts w:ascii="仿宋_GB2312" w:hAnsi="仿宋_GB2312" w:eastAsia="仿宋_GB2312" w:cs="仿宋_GB2312"/>
          <w:kern w:val="2"/>
          <w:sz w:val="32"/>
          <w:szCs w:val="32"/>
        </w:rPr>
        <w:t>80多家</w:t>
      </w:r>
      <w:r>
        <w:rPr>
          <w:rFonts w:hint="eastAsia" w:ascii="仿宋_GB2312" w:hAnsi="仿宋_GB2312" w:eastAsia="仿宋_GB2312" w:cs="仿宋_GB2312"/>
          <w:kern w:val="2"/>
          <w:sz w:val="32"/>
          <w:szCs w:val="32"/>
        </w:rPr>
        <w:t>，研发经费投入强度、技术合同成交额均实现稳步增长，创新支撑能力持续增强。</w:t>
      </w:r>
    </w:p>
    <w:p w14:paraId="1F37CACA">
      <w:pPr>
        <w:adjustRightInd w:val="0"/>
        <w:snapToGrid w:val="0"/>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产城融合稳步推进，功能品质全面提升。</w:t>
      </w:r>
      <w:r>
        <w:rPr>
          <w:rFonts w:hint="eastAsia" w:ascii="仿宋_GB2312" w:hAnsi="仿宋_GB2312" w:eastAsia="仿宋_GB2312" w:cs="仿宋_GB2312"/>
          <w:kern w:val="2"/>
          <w:sz w:val="32"/>
          <w:szCs w:val="32"/>
        </w:rPr>
        <w:t>园区路网、供水、供电、燃气等配套设施不断完善，漳泽工业园、老顶山物流园、翟店工业园等重点片区骨干道路加快建设，多条主次干道建成通车，与市区交通网络实现无缝衔接，形成内畅外联的交通格局。综合管廊建设有序推进，污水处理厂提标改造完成，有力保障园区生产生活需求。园区承载能力和综合服务水平不断提升，产城协同发展成效逐步显现。</w:t>
      </w:r>
    </w:p>
    <w:p w14:paraId="3A6B5FCE">
      <w:pPr>
        <w:adjustRightInd w:val="0"/>
        <w:snapToGrid w:val="0"/>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安全治理系统推进，发展与安全协同提升。</w:t>
      </w:r>
      <w:r>
        <w:rPr>
          <w:rFonts w:hint="eastAsia" w:ascii="仿宋_GB2312" w:hAnsi="仿宋_GB2312" w:eastAsia="仿宋_GB2312" w:cs="仿宋_GB2312"/>
          <w:kern w:val="2"/>
          <w:sz w:val="32"/>
          <w:szCs w:val="32"/>
        </w:rPr>
        <w:t>聚焦园区企业生产、基础设施运行等关键领域，常态化开展消防、特种设备、危化品存储使用等专项安全隐患排查整治行动，建立“排查—整改—复查—销号”闭环管理机制。强化安全宣传培训与应急演练，提升企业主体责任意识和应急处置能力，有效防范化解重大安全风险，安全生产形势持续稳定向好。积极解决企业发展和项目建设的历史遗留问题，严厉打击各类违法犯罪行为，推动高新区实现高质量发展和高水平安全良性互动。</w:t>
      </w:r>
    </w:p>
    <w:p w14:paraId="4447330F">
      <w:pPr>
        <w:adjustRightInd w:val="0"/>
        <w:snapToGrid w:val="0"/>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营商环境稳步提质，服务效能全面升级。</w:t>
      </w:r>
      <w:r>
        <w:rPr>
          <w:rFonts w:hint="eastAsia" w:ascii="仿宋_GB2312" w:hAnsi="仿宋_GB2312" w:eastAsia="仿宋_GB2312" w:cs="仿宋_GB2312"/>
          <w:kern w:val="2"/>
          <w:sz w:val="32"/>
          <w:szCs w:val="32"/>
        </w:rPr>
        <w:t>共承接省级审批权限4项、市级审批权限737项、县级审批权限658项，进一步实现了“区内事、区内办”。深化“承诺制+标准地+全代办”改革，同步推进“综窗改革+独任制审批+全程帮办”，将行政审批审查与核准职责合并，政务服务效率大幅提升。通过打造一站式人才服务平台、完善金融服务体系、争取政策性资金、升级园区配套等举措，构建起全方位服务生态，为企业发展营造了高效便捷、保障有力的良好环境。</w:t>
      </w:r>
    </w:p>
    <w:p w14:paraId="7A7E9C64">
      <w:pPr>
        <w:spacing w:line="6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kern w:val="2"/>
          <w:sz w:val="32"/>
          <w:szCs w:val="32"/>
        </w:rPr>
        <w:t>从严治党纵深推进，党建引领赋能发展。</w:t>
      </w:r>
      <w:bookmarkStart w:id="65" w:name="_Toc1375191148"/>
      <w:bookmarkStart w:id="66" w:name="_Toc1039261335"/>
      <w:bookmarkStart w:id="67" w:name="_Toc71865469"/>
      <w:bookmarkStart w:id="68" w:name="_Toc40197819"/>
      <w:r>
        <w:rPr>
          <w:rFonts w:hint="eastAsia" w:ascii="仿宋_GB2312" w:hAnsi="仿宋_GB2312" w:eastAsia="仿宋_GB2312" w:cs="仿宋_GB2312"/>
          <w:kern w:val="2"/>
          <w:sz w:val="32"/>
          <w:szCs w:val="32"/>
        </w:rPr>
        <w:t>坚持以高质量党建引领高质量发展，聚焦学习贯彻</w:t>
      </w:r>
      <w:r>
        <w:rPr>
          <w:rFonts w:ascii="仿宋_GB2312" w:eastAsia="仿宋_GB2312"/>
          <w:sz w:val="32"/>
          <w:szCs w:val="32"/>
        </w:rPr>
        <w:t>习近平新时代中国特色社会主义思想，深入落实党的二十大</w:t>
      </w:r>
      <w:r>
        <w:rPr>
          <w:rFonts w:hint="eastAsia" w:ascii="仿宋_GB2312" w:eastAsia="仿宋_GB2312"/>
          <w:sz w:val="32"/>
          <w:szCs w:val="32"/>
        </w:rPr>
        <w:t>和二十届历次全会精神</w:t>
      </w:r>
      <w:r>
        <w:rPr>
          <w:rFonts w:ascii="仿宋_GB2312" w:eastAsia="仿宋_GB2312"/>
          <w:sz w:val="32"/>
          <w:szCs w:val="32"/>
        </w:rPr>
        <w:t>，</w:t>
      </w:r>
      <w:r>
        <w:rPr>
          <w:rFonts w:hint="eastAsia" w:ascii="仿宋_GB2312" w:eastAsia="仿宋_GB2312"/>
          <w:sz w:val="32"/>
          <w:szCs w:val="32"/>
        </w:rPr>
        <w:t>确保中央和省委、市委各项决策部署落到实处。</w:t>
      </w:r>
      <w:r>
        <w:rPr>
          <w:rFonts w:hint="eastAsia" w:ascii="仿宋_GB2312" w:hAnsi="仿宋_GB2312" w:eastAsia="仿宋_GB2312" w:cs="仿宋_GB2312"/>
          <w:sz w:val="32"/>
          <w:szCs w:val="32"/>
        </w:rPr>
        <w:t>选派党建指导员、建立功能型党组织，推动党的组织从“有形覆盖”向“有效覆盖”转变。组建“数字产业链党委”，推动党建与产业链深度融合，案例入选中央网信办《互联网企业党建工作案例选编》。</w:t>
      </w:r>
      <w:r>
        <w:rPr>
          <w:rFonts w:hint="eastAsia" w:ascii="仿宋_GB2312" w:hAnsi="仿宋" w:eastAsia="仿宋_GB2312"/>
          <w:sz w:val="32"/>
          <w:szCs w:val="32"/>
        </w:rPr>
        <w:t>持续发力正风肃纪，一体推进不敢腐、不能腐、不想腐，</w:t>
      </w:r>
      <w:r>
        <w:rPr>
          <w:rFonts w:hint="eastAsia" w:ascii="仿宋_GB2312" w:eastAsia="仿宋_GB2312"/>
          <w:bCs/>
          <w:sz w:val="32"/>
          <w:szCs w:val="32"/>
        </w:rPr>
        <w:t>党风廉政建设取得实效。</w:t>
      </w:r>
    </w:p>
    <w:p w14:paraId="66428F47">
      <w:pP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十四五”以来取得的成绩，根本在于习近平新时代中国特色社会主义思想的科学指引，在于党中央和省市委的坚强领导，在于全区上下干部职工的团结奋斗，为长治高新区“十五五”时期高质量发展奠定了坚实基础。</w:t>
      </w:r>
    </w:p>
    <w:p w14:paraId="227F86D0">
      <w:pPr>
        <w:widowControl/>
        <w:autoSpaceDE w:val="0"/>
        <w:autoSpaceDN w:val="0"/>
        <w:adjustRightInd w:val="0"/>
        <w:snapToGrid w:val="0"/>
        <w:spacing w:line="600" w:lineRule="exact"/>
      </w:pPr>
      <w:bookmarkStart w:id="69" w:name="_Toc3624"/>
    </w:p>
    <w:p w14:paraId="1163A23F">
      <w:pPr>
        <w:pStyle w:val="4"/>
        <w:adjustRightInd w:val="0"/>
        <w:snapToGrid w:val="0"/>
        <w:spacing w:line="600" w:lineRule="exact"/>
        <w:ind w:firstLine="640" w:firstLineChars="200"/>
      </w:pPr>
      <w:bookmarkStart w:id="70" w:name="_Toc9351"/>
      <w:bookmarkStart w:id="71" w:name="_Toc223176533"/>
      <w:bookmarkStart w:id="72" w:name="_Toc4277"/>
      <w:bookmarkStart w:id="73" w:name="_Toc29375"/>
      <w:bookmarkStart w:id="74" w:name="_Toc22588"/>
      <w:bookmarkStart w:id="75" w:name="_Toc12792"/>
      <w:bookmarkStart w:id="76" w:name="_Toc23803"/>
      <w:bookmarkStart w:id="77" w:name="_Toc25525"/>
      <w:r>
        <w:rPr>
          <w:rFonts w:hint="eastAsia"/>
        </w:rPr>
        <w:t>第二节 “十五五”面临的新机遇和新挑战</w:t>
      </w:r>
      <w:bookmarkEnd w:id="65"/>
      <w:bookmarkEnd w:id="66"/>
      <w:bookmarkEnd w:id="67"/>
      <w:bookmarkEnd w:id="68"/>
      <w:bookmarkEnd w:id="69"/>
      <w:bookmarkEnd w:id="70"/>
      <w:bookmarkEnd w:id="71"/>
      <w:bookmarkEnd w:id="72"/>
      <w:bookmarkEnd w:id="73"/>
      <w:bookmarkEnd w:id="74"/>
      <w:bookmarkEnd w:id="75"/>
      <w:bookmarkEnd w:id="76"/>
      <w:bookmarkEnd w:id="77"/>
    </w:p>
    <w:p w14:paraId="365405B5">
      <w:pPr>
        <w:spacing w:line="600" w:lineRule="exact"/>
        <w:rPr>
          <w:sz w:val="32"/>
          <w:szCs w:val="36"/>
        </w:rPr>
      </w:pPr>
    </w:p>
    <w:p w14:paraId="506BBAC8">
      <w:pPr>
        <w:spacing w:line="600" w:lineRule="exact"/>
        <w:ind w:firstLine="640" w:firstLineChars="200"/>
        <w:rPr>
          <w:rFonts w:ascii="仿宋_GB2312" w:hAnsi="仿宋_GB2312" w:eastAsia="仿宋_GB2312" w:cs="仿宋_GB2312"/>
          <w:b/>
          <w:bCs/>
          <w:kern w:val="2"/>
          <w:sz w:val="32"/>
          <w:szCs w:val="32"/>
        </w:rPr>
      </w:pPr>
      <w:r>
        <w:rPr>
          <w:rFonts w:hint="eastAsia" w:ascii="仿宋_GB2312" w:hAnsi="仿宋_GB2312" w:eastAsia="仿宋_GB2312" w:cs="仿宋_GB2312"/>
          <w:kern w:val="2"/>
          <w:sz w:val="32"/>
          <w:szCs w:val="32"/>
        </w:rPr>
        <w:t>当前，国家赋予国家级高新区新时代打造创新驱动发展示范区、新质生产力引领区、高质量发展先行区的发展使命。全国高新区普遍聚焦人工智能、新能源、新材料等前沿赛道，攻坚关键核心技术，深化体制机制改革，加快构建现代化产业体系，全力争先进位、比拼赶超。面对这一宏观大势，“十五五”长治高新区必须主动对标国家要求，抢抓三大机遇，应对四大挑战，奋力在激烈的区域竞争中加快进位升级。</w:t>
      </w:r>
    </w:p>
    <w:p w14:paraId="4FE9762D">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国家和省市战略赋能带来政策窗口期。</w:t>
      </w:r>
      <w:r>
        <w:rPr>
          <w:rFonts w:hint="eastAsia" w:ascii="仿宋_GB2312" w:hAnsi="仿宋_GB2312" w:eastAsia="仿宋_GB2312" w:cs="仿宋_GB2312"/>
          <w:kern w:val="2"/>
          <w:sz w:val="32"/>
          <w:szCs w:val="32"/>
        </w:rPr>
        <w:t>京长对口合作、中部地区崛起、黄河流域生态保护和高质量发展等国家战略叠加实施，为高新区发展提供了广阔空间。国内统一大市场建设加速推进，要素市场化配置改革不断深化，为高新区吸引资金、技术、人才等优质资源提供了难得机遇。随着国家零碳园区建设试点全面铺开,电力大市场加快构建，绿电交易机制逐步完善，将为各地开发区建设零碳园区创造有利条件。全省“围绕五大使命任务、明确六个重点”</w:t>
      </w:r>
      <w:r>
        <w:rPr>
          <w:rFonts w:ascii="仿宋_GB2312" w:hAnsi="仿宋_GB2312" w:eastAsia="仿宋_GB2312" w:cs="仿宋_GB2312"/>
          <w:kern w:val="2"/>
          <w:sz w:val="32"/>
          <w:szCs w:val="32"/>
          <w:vertAlign w:val="superscript"/>
        </w:rPr>
        <w:fldChar w:fldCharType="begin"/>
      </w:r>
      <w:r>
        <w:instrText xml:space="preserve"> REF _Ref223540663 \n \h  \* MERGEFORMAT</w:instrText>
      </w:r>
      <w:r>
        <w:rPr>
          <w:rFonts w:ascii="仿宋_GB2312" w:hAnsi="仿宋_GB2312" w:eastAsia="仿宋_GB2312" w:cs="仿宋_GB2312"/>
          <w:kern w:val="2"/>
          <w:sz w:val="32"/>
          <w:szCs w:val="32"/>
          <w:vertAlign w:val="superscript"/>
        </w:rPr>
        <w:fldChar w:fldCharType="separate"/>
      </w:r>
      <w:r>
        <w:rPr>
          <w:rFonts w:ascii="仿宋_GB2312" w:hAnsi="仿宋_GB2312" w:eastAsia="仿宋_GB2312" w:cs="仿宋_GB2312"/>
          <w:kern w:val="2"/>
          <w:sz w:val="32"/>
          <w:szCs w:val="32"/>
          <w:vertAlign w:val="superscript"/>
        </w:rPr>
        <w:t>[2]</w:t>
      </w:r>
      <w:r>
        <w:rPr>
          <w:rFonts w:ascii="仿宋_GB2312" w:hAnsi="仿宋_GB2312" w:eastAsia="仿宋_GB2312" w:cs="仿宋_GB2312"/>
          <w:kern w:val="2"/>
          <w:sz w:val="32"/>
          <w:szCs w:val="32"/>
          <w:vertAlign w:val="superscript"/>
        </w:rPr>
        <w:fldChar w:fldCharType="end"/>
      </w:r>
      <w:r>
        <w:rPr>
          <w:rFonts w:hint="eastAsia" w:ascii="仿宋_GB2312" w:hAnsi="仿宋_GB2312" w:eastAsia="仿宋_GB2312" w:cs="仿宋_GB2312"/>
          <w:kern w:val="2"/>
          <w:sz w:val="32"/>
          <w:szCs w:val="32"/>
        </w:rPr>
        <w:t>和全市建设“两区两城两高地”的“十五五”战略定位，将为高新区推进能源转型、承接产业转移、扩大对外开放提供科学招引。</w:t>
      </w:r>
    </w:p>
    <w:p w14:paraId="4A678F4A">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产业变革趋势带来转型机遇期。</w:t>
      </w:r>
      <w:r>
        <w:rPr>
          <w:rFonts w:hint="eastAsia" w:ascii="仿宋_GB2312" w:hAnsi="仿宋_GB2312" w:eastAsia="仿宋_GB2312" w:cs="仿宋_GB2312"/>
          <w:kern w:val="2"/>
          <w:sz w:val="32"/>
          <w:szCs w:val="32"/>
        </w:rPr>
        <w:t>全球科技革命和产业变革深入发展，人工智能、新能源、新材料、生物医药等领域技术突破不断涌现，为产业升级提供了新路径、新赛道。欧盟碳关税（CBAM）2026年全面落地，两年内将逐步扩围至光伏组件、锂电池、新能源汽车等优势品类，倒逼出口导向型企业对绿电溯源的紧迫需求。国家“双碳”目标深入推进，新能源汽车、光伏风电、储能等产业迎来爆发式增长，锂电池材料等产品市场需求旺盛。电子信息自主创新产业作为国家战略新兴产业，市场空间持续扩大。同时，东部地区产业向中西部转移趋势明显，高新区凭借产业基础、政策红利及绿电供应优势，具备承接出口型、高载能等产业转移的比较优势。</w:t>
      </w:r>
    </w:p>
    <w:p w14:paraId="01F0D5CA">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园区基础支撑带来发展增长期。</w:t>
      </w:r>
      <w:r>
        <w:rPr>
          <w:rFonts w:hint="eastAsia" w:ascii="仿宋_GB2312" w:hAnsi="仿宋_GB2312" w:eastAsia="仿宋_GB2312" w:cs="仿宋_GB2312"/>
          <w:kern w:val="2"/>
          <w:sz w:val="32"/>
          <w:szCs w:val="32"/>
        </w:rPr>
        <w:t>高新区作为国家级高新区和省级转型综改示范区，政策叠加优势持续凸显，“一谷三园”</w:t>
      </w:r>
      <w:r>
        <w:rPr>
          <w:rFonts w:ascii="仿宋_GB2312" w:hAnsi="仿宋_GB2312" w:eastAsia="仿宋_GB2312" w:cs="仿宋_GB2312"/>
          <w:kern w:val="2"/>
          <w:sz w:val="32"/>
          <w:szCs w:val="32"/>
          <w:vertAlign w:val="superscript"/>
        </w:rPr>
        <w:fldChar w:fldCharType="begin"/>
      </w:r>
      <w:r>
        <w:instrText xml:space="preserve"> REF _Ref223540674 \n \h  \* MERGEFORMAT</w:instrText>
      </w:r>
      <w:r>
        <w:rPr>
          <w:rFonts w:ascii="仿宋_GB2312" w:hAnsi="仿宋_GB2312" w:eastAsia="仿宋_GB2312" w:cs="仿宋_GB2312"/>
          <w:kern w:val="2"/>
          <w:sz w:val="32"/>
          <w:szCs w:val="32"/>
          <w:vertAlign w:val="superscript"/>
        </w:rPr>
        <w:fldChar w:fldCharType="separate"/>
      </w:r>
      <w:r>
        <w:rPr>
          <w:rFonts w:ascii="仿宋_GB2312" w:hAnsi="仿宋_GB2312" w:eastAsia="仿宋_GB2312" w:cs="仿宋_GB2312"/>
          <w:kern w:val="2"/>
          <w:sz w:val="32"/>
          <w:szCs w:val="32"/>
          <w:vertAlign w:val="superscript"/>
        </w:rPr>
        <w:t>[3]</w:t>
      </w:r>
      <w:r>
        <w:rPr>
          <w:rFonts w:ascii="仿宋_GB2312" w:hAnsi="仿宋_GB2312" w:eastAsia="仿宋_GB2312" w:cs="仿宋_GB2312"/>
          <w:kern w:val="2"/>
          <w:sz w:val="32"/>
          <w:szCs w:val="32"/>
          <w:vertAlign w:val="superscript"/>
        </w:rPr>
        <w:fldChar w:fldCharType="end"/>
      </w:r>
      <w:r>
        <w:rPr>
          <w:rFonts w:hint="eastAsia" w:ascii="仿宋_GB2312" w:hAnsi="仿宋_GB2312" w:eastAsia="仿宋_GB2312" w:cs="仿宋_GB2312"/>
          <w:kern w:val="2"/>
          <w:sz w:val="32"/>
          <w:szCs w:val="32"/>
        </w:rPr>
        <w:t>载体体系日趋完善，四大产业集群已形成上下游联动雏形，为产业规模化、集群化发展奠定了坚实基础。中德国际合作园、RCEP国际合作园的扎实推进，进一步拓宽了创新资源对接和对外开放渠道；与潞州区在产业布局、基础设施、公共服务等方面的协同联动，将持续释放产城融合发展红利。</w:t>
      </w:r>
    </w:p>
    <w:p w14:paraId="0F4659F0">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债务与资产闲置双重压力亟待化解</w:t>
      </w:r>
      <w:r>
        <w:rPr>
          <w:rFonts w:hint="eastAsia" w:ascii="仿宋_GB2312" w:hAnsi="仿宋_GB2312" w:eastAsia="仿宋_GB2312" w:cs="仿宋_GB2312"/>
          <w:kern w:val="2"/>
          <w:sz w:val="32"/>
          <w:szCs w:val="32"/>
        </w:rPr>
        <w:t>。区属国有企业资产负债率偏高，刚性债务规模较大，影响了平台公司对产业发展的支撑能力。全区建成的各类厂房及办公用房闲置率较高，出租率不足五成，资产利用效率偏低，债务压力与资产闲置形成双向制约。</w:t>
      </w:r>
    </w:p>
    <w:p w14:paraId="18F4FE78">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产业能级与集群效应不足制约发展。</w:t>
      </w:r>
      <w:r>
        <w:rPr>
          <w:rFonts w:hint="eastAsia" w:ascii="仿宋_GB2312" w:hAnsi="仿宋_GB2312" w:eastAsia="仿宋_GB2312" w:cs="仿宋_GB2312"/>
          <w:kern w:val="2"/>
          <w:sz w:val="32"/>
          <w:szCs w:val="32"/>
        </w:rPr>
        <w:t>高新区经济体量相对偏小，四大产业集群规模化程度低，与打造“百亿级产业集群”的目标存在差距。产业集聚度低于全国同类高新区平均水平，龙头企业带动作用不强，产值规模超百亿的工业企业缺乏，产业链存在“断点”“堵点”，上下游配套不完善，产业协同效应未能充分发挥。对标工信部新版评价指标，在高新技术企业数量增长、专精特新“小巨人”企业培育等核心指标上，与百强高新区仍有较大差距。</w:t>
      </w:r>
    </w:p>
    <w:p w14:paraId="09D30781">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要素保障与成本控制存在突出短板。</w:t>
      </w:r>
      <w:r>
        <w:rPr>
          <w:rFonts w:hint="eastAsia" w:ascii="仿宋_GB2312" w:hAnsi="仿宋_GB2312" w:eastAsia="仿宋_GB2312" w:cs="仿宋_GB2312"/>
          <w:kern w:val="2"/>
          <w:sz w:val="32"/>
          <w:szCs w:val="32"/>
        </w:rPr>
        <w:t>要素成本偏高问题较为突出，园区企业用地、用电、用水、用气成本相对较高，土地产出效率较低，要素保障的质量和效率亟待提升。同时，要素保障水平与产业发展需求存在差距，高技能人才招引难问题突出，科技金融服务体系不完善，一定程度上影响了企业发展和项目落地。</w:t>
      </w:r>
    </w:p>
    <w:p w14:paraId="7FD3A565">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区域竞争与发展环境面临严峻考验。</w:t>
      </w:r>
      <w:r>
        <w:rPr>
          <w:rFonts w:hint="eastAsia" w:ascii="仿宋_GB2312" w:hAnsi="仿宋_GB2312" w:eastAsia="仿宋_GB2312" w:cs="仿宋_GB2312"/>
          <w:kern w:val="2"/>
          <w:sz w:val="32"/>
          <w:szCs w:val="32"/>
        </w:rPr>
        <w:t>国家高新区竞争日趋激烈，“前有标兵、后有追兵”的格局日益明显，长治高新区综合排名与百强高新区存在差距。周边高新区在龙头企业引进、创新平台建设、政策支持力度等方面持续发力，对优质资源的争夺更加激烈。此外，国际环境复杂严峻，全国市场竞争日益激烈，给高新区产业升级和创新发展带来不确定性；工信部新版评价指标新增“营商环境与创新创业创造活力”一级指标，对园区在初创企业培育、产业生态建设、管理制度改革等方面提出了更高要求，竞争压力持续加大。</w:t>
      </w:r>
    </w:p>
    <w:p w14:paraId="757D031B">
      <w:pP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综合研判国际国内形势变化和全区发展环境，“十五五”时期，长治高新区发展总体上仍然机遇大于挑战、有利条件强于不利因素，全区必须深入贯彻中央和省市委决策部署，牢记发展使命，保持战略定力，增强必胜信心，扬优势、补短板、克难关、解难题，全力加快高质量发展，在全省全市推进中国式现代化新篇章中干在实处、走在前列。</w:t>
      </w:r>
      <w:bookmarkStart w:id="78" w:name="_Toc30680"/>
    </w:p>
    <w:p w14:paraId="57ED26E8">
      <w:pPr>
        <w:pStyle w:val="3"/>
        <w:widowControl/>
        <w:autoSpaceDE w:val="0"/>
        <w:autoSpaceDN w:val="0"/>
        <w:adjustRightInd w:val="0"/>
        <w:snapToGrid w:val="0"/>
        <w:spacing w:before="0" w:after="0" w:line="600" w:lineRule="exact"/>
        <w:rPr>
          <w:rFonts w:ascii="黑体" w:hAnsi="黑体" w:cs="黑体"/>
          <w:szCs w:val="32"/>
        </w:rPr>
      </w:pPr>
      <w:bookmarkStart w:id="79" w:name="_Toc28225"/>
      <w:bookmarkStart w:id="80" w:name="_Toc25734"/>
      <w:bookmarkStart w:id="81" w:name="_Toc24753"/>
    </w:p>
    <w:p w14:paraId="3FFA751D">
      <w:pPr>
        <w:pStyle w:val="3"/>
        <w:widowControl/>
        <w:autoSpaceDE w:val="0"/>
        <w:autoSpaceDN w:val="0"/>
        <w:adjustRightInd w:val="0"/>
        <w:snapToGrid w:val="0"/>
        <w:spacing w:before="0" w:after="0" w:line="600" w:lineRule="exact"/>
        <w:rPr>
          <w:rFonts w:ascii="黑体" w:hAnsi="黑体" w:cs="黑体"/>
          <w:szCs w:val="32"/>
        </w:rPr>
      </w:pPr>
      <w:bookmarkStart w:id="82" w:name="_Toc29879"/>
      <w:bookmarkStart w:id="83" w:name="_Toc11202"/>
      <w:bookmarkStart w:id="84" w:name="_Toc223176534"/>
      <w:bookmarkStart w:id="85" w:name="_Toc24525"/>
      <w:r>
        <w:rPr>
          <w:rFonts w:hint="eastAsia" w:ascii="黑体" w:hAnsi="黑体" w:cs="黑体"/>
          <w:szCs w:val="32"/>
        </w:rPr>
        <w:t>第二章 总体思路与战略定位</w:t>
      </w:r>
      <w:bookmarkEnd w:id="78"/>
      <w:bookmarkEnd w:id="79"/>
      <w:bookmarkEnd w:id="80"/>
      <w:bookmarkEnd w:id="81"/>
      <w:bookmarkEnd w:id="82"/>
      <w:bookmarkEnd w:id="83"/>
      <w:bookmarkEnd w:id="84"/>
      <w:bookmarkEnd w:id="85"/>
    </w:p>
    <w:p w14:paraId="066BA36B">
      <w:pPr>
        <w:widowControl/>
        <w:autoSpaceDE w:val="0"/>
        <w:autoSpaceDN w:val="0"/>
        <w:adjustRightInd w:val="0"/>
        <w:snapToGrid w:val="0"/>
        <w:spacing w:line="600" w:lineRule="exact"/>
        <w:ind w:firstLine="420" w:firstLineChars="200"/>
        <w:jc w:val="center"/>
        <w:rPr>
          <w:rFonts w:ascii="宋体" w:hAnsi="宋体" w:cs="宋体"/>
        </w:rPr>
      </w:pPr>
    </w:p>
    <w:p w14:paraId="6A68F717">
      <w:pPr>
        <w:pStyle w:val="4"/>
        <w:adjustRightInd w:val="0"/>
        <w:snapToGrid w:val="0"/>
        <w:spacing w:line="600" w:lineRule="exact"/>
      </w:pPr>
      <w:bookmarkStart w:id="86" w:name="_Toc223176535"/>
      <w:bookmarkStart w:id="87" w:name="_Toc19361"/>
      <w:bookmarkStart w:id="88" w:name="_Toc10587"/>
      <w:bookmarkStart w:id="89" w:name="_Toc26647"/>
      <w:bookmarkStart w:id="90" w:name="_Toc21272"/>
      <w:bookmarkStart w:id="91" w:name="_Toc23280"/>
      <w:bookmarkStart w:id="92" w:name="_Toc16246"/>
      <w:bookmarkStart w:id="93" w:name="_Toc26264"/>
      <w:r>
        <w:rPr>
          <w:rFonts w:hint="eastAsia"/>
        </w:rPr>
        <w:t>第一节 指导思想</w:t>
      </w:r>
      <w:bookmarkEnd w:id="86"/>
      <w:bookmarkEnd w:id="87"/>
      <w:bookmarkEnd w:id="88"/>
      <w:bookmarkEnd w:id="89"/>
      <w:bookmarkEnd w:id="90"/>
      <w:bookmarkEnd w:id="91"/>
      <w:bookmarkEnd w:id="92"/>
      <w:bookmarkEnd w:id="93"/>
    </w:p>
    <w:p w14:paraId="57DC2889">
      <w:pPr>
        <w:spacing w:line="600" w:lineRule="exact"/>
        <w:rPr>
          <w:sz w:val="32"/>
          <w:szCs w:val="36"/>
        </w:rPr>
      </w:pPr>
    </w:p>
    <w:p w14:paraId="340C0149">
      <w:pP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坚持以习近平新时代中国特色社会主义思想为指导，深入贯彻党的二十大和二十届历次全会精神，全面落实习近平总书记对山西工作的重要指示要求，紧扣全省“围绕五大使命任务、明确六个重点”和全市建设“两区两城两高地”的战略定位，担负省市赋予转型综改示范区的建设使命，牢牢把握“高”和“新”核心要求，以推进能源革命为引领，以“五个一”</w:t>
      </w:r>
      <w:r>
        <w:rPr>
          <w:rFonts w:ascii="仿宋_GB2312" w:hAnsi="仿宋_GB2312" w:eastAsia="仿宋_GB2312" w:cs="仿宋_GB2312"/>
          <w:kern w:val="2"/>
          <w:sz w:val="32"/>
          <w:szCs w:val="32"/>
          <w:vertAlign w:val="superscript"/>
        </w:rPr>
        <w:fldChar w:fldCharType="begin"/>
      </w:r>
      <w:r>
        <w:instrText xml:space="preserve"> REF _Ref223540683 \n \h  \* MERGEFORMAT</w:instrText>
      </w:r>
      <w:r>
        <w:rPr>
          <w:rFonts w:ascii="仿宋_GB2312" w:hAnsi="仿宋_GB2312" w:eastAsia="仿宋_GB2312" w:cs="仿宋_GB2312"/>
          <w:kern w:val="2"/>
          <w:sz w:val="32"/>
          <w:szCs w:val="32"/>
          <w:vertAlign w:val="superscript"/>
        </w:rPr>
        <w:fldChar w:fldCharType="separate"/>
      </w:r>
      <w:r>
        <w:rPr>
          <w:rFonts w:ascii="仿宋_GB2312" w:hAnsi="仿宋_GB2312" w:eastAsia="仿宋_GB2312" w:cs="仿宋_GB2312"/>
          <w:kern w:val="2"/>
          <w:sz w:val="32"/>
          <w:szCs w:val="32"/>
          <w:vertAlign w:val="superscript"/>
        </w:rPr>
        <w:t>[4]</w:t>
      </w:r>
      <w:r>
        <w:rPr>
          <w:rFonts w:ascii="仿宋_GB2312" w:hAnsi="仿宋_GB2312" w:eastAsia="仿宋_GB2312" w:cs="仿宋_GB2312"/>
          <w:kern w:val="2"/>
          <w:sz w:val="32"/>
          <w:szCs w:val="32"/>
          <w:vertAlign w:val="superscript"/>
        </w:rPr>
        <w:fldChar w:fldCharType="end"/>
      </w:r>
      <w:r>
        <w:rPr>
          <w:rFonts w:hint="eastAsia" w:ascii="仿宋_GB2312" w:hAnsi="仿宋_GB2312" w:eastAsia="仿宋_GB2312" w:cs="仿宋_GB2312"/>
          <w:kern w:val="2"/>
          <w:sz w:val="32"/>
          <w:szCs w:val="32"/>
        </w:rPr>
        <w:t>要求为导向，以</w:t>
      </w:r>
      <w:r>
        <w:rPr>
          <w:rFonts w:hint="eastAsia" w:ascii="仿宋_GB2312" w:hAnsi="Segoe UI" w:eastAsia="仿宋_GB2312" w:cs="Segoe UI"/>
          <w:sz w:val="32"/>
          <w:szCs w:val="32"/>
        </w:rPr>
        <w:t>“一区一极一高地”</w:t>
      </w:r>
      <w:r>
        <w:rPr>
          <w:rFonts w:ascii="仿宋_GB2312" w:hAnsi="Segoe UI" w:eastAsia="仿宋_GB2312" w:cs="Segoe UI"/>
          <w:sz w:val="32"/>
          <w:szCs w:val="32"/>
          <w:vertAlign w:val="superscript"/>
        </w:rPr>
        <w:fldChar w:fldCharType="begin"/>
      </w:r>
      <w:r>
        <w:instrText xml:space="preserve"> REF _Ref223540694 \n \h  \* MERGEFORMAT</w:instrText>
      </w:r>
      <w:r>
        <w:rPr>
          <w:rFonts w:ascii="仿宋_GB2312" w:hAnsi="Segoe UI" w:eastAsia="仿宋_GB2312" w:cs="Segoe UI"/>
          <w:sz w:val="32"/>
          <w:szCs w:val="32"/>
          <w:vertAlign w:val="superscript"/>
        </w:rPr>
        <w:fldChar w:fldCharType="separate"/>
      </w:r>
      <w:r>
        <w:rPr>
          <w:rFonts w:ascii="仿宋_GB2312" w:hAnsi="Segoe UI" w:eastAsia="仿宋_GB2312" w:cs="Segoe UI"/>
          <w:sz w:val="32"/>
          <w:szCs w:val="32"/>
          <w:vertAlign w:val="superscript"/>
        </w:rPr>
        <w:t>[5]</w:t>
      </w:r>
      <w:r>
        <w:rPr>
          <w:rFonts w:ascii="仿宋_GB2312" w:hAnsi="Segoe UI" w:eastAsia="仿宋_GB2312" w:cs="Segoe UI"/>
          <w:sz w:val="32"/>
          <w:szCs w:val="32"/>
          <w:vertAlign w:val="superscript"/>
        </w:rPr>
        <w:fldChar w:fldCharType="end"/>
      </w:r>
      <w:r>
        <w:rPr>
          <w:rFonts w:hint="eastAsia" w:ascii="仿宋_GB2312" w:hAnsi="Segoe UI" w:eastAsia="仿宋_GB2312" w:cs="Segoe UI"/>
          <w:sz w:val="32"/>
          <w:szCs w:val="32"/>
        </w:rPr>
        <w:t>为目标，</w:t>
      </w:r>
      <w:r>
        <w:rPr>
          <w:rFonts w:hint="eastAsia" w:ascii="仿宋_GB2312" w:hAnsi="仿宋_GB2312" w:eastAsia="仿宋_GB2312" w:cs="仿宋_GB2312"/>
          <w:kern w:val="2"/>
          <w:sz w:val="32"/>
          <w:szCs w:val="32"/>
        </w:rPr>
        <w:t>奋力打造千亿级产业园区、跻身国家百强高新区，为长治市“十五五”规划目标实现提供有力支撑，为山西省资源型经济转型作出更大贡献。</w:t>
      </w:r>
      <w:bookmarkStart w:id="94" w:name="_Toc2098161592"/>
      <w:bookmarkStart w:id="95" w:name="_Toc20913"/>
      <w:bookmarkStart w:id="96" w:name="_Toc1884449890"/>
      <w:bookmarkStart w:id="97" w:name="_Toc997071554"/>
      <w:bookmarkStart w:id="98" w:name="_Toc1843490527"/>
    </w:p>
    <w:p w14:paraId="4B9A2E7A">
      <w:pPr>
        <w:spacing w:line="600" w:lineRule="exact"/>
        <w:rPr>
          <w:rFonts w:ascii="仿宋_GB2312" w:hAnsi="仿宋_GB2312" w:eastAsia="仿宋_GB2312" w:cs="仿宋_GB2312"/>
          <w:kern w:val="2"/>
          <w:sz w:val="32"/>
          <w:szCs w:val="32"/>
        </w:rPr>
      </w:pPr>
    </w:p>
    <w:p w14:paraId="74F5D9CE">
      <w:pPr>
        <w:pStyle w:val="4"/>
        <w:adjustRightInd w:val="0"/>
        <w:snapToGrid w:val="0"/>
        <w:spacing w:line="600" w:lineRule="exact"/>
      </w:pPr>
      <w:bookmarkStart w:id="99" w:name="_Toc17954"/>
      <w:bookmarkStart w:id="100" w:name="_Toc22949"/>
      <w:bookmarkStart w:id="101" w:name="_Toc8309"/>
      <w:bookmarkStart w:id="102" w:name="_Toc530"/>
      <w:bookmarkStart w:id="103" w:name="_Toc17904"/>
      <w:bookmarkStart w:id="104" w:name="_Toc32759"/>
      <w:bookmarkStart w:id="105" w:name="_Toc223176536"/>
      <w:bookmarkStart w:id="106" w:name="_Toc4893"/>
      <w:r>
        <w:rPr>
          <w:rFonts w:hint="eastAsia"/>
        </w:rPr>
        <w:t>第二节 基本原则</w:t>
      </w:r>
      <w:bookmarkEnd w:id="94"/>
      <w:bookmarkEnd w:id="95"/>
      <w:bookmarkEnd w:id="96"/>
      <w:bookmarkEnd w:id="97"/>
      <w:bookmarkEnd w:id="98"/>
      <w:bookmarkEnd w:id="99"/>
      <w:bookmarkEnd w:id="100"/>
      <w:bookmarkEnd w:id="101"/>
      <w:bookmarkEnd w:id="102"/>
      <w:bookmarkEnd w:id="103"/>
      <w:bookmarkEnd w:id="104"/>
      <w:bookmarkEnd w:id="105"/>
      <w:bookmarkEnd w:id="106"/>
    </w:p>
    <w:p w14:paraId="16B1ABB9">
      <w:pPr>
        <w:spacing w:line="600" w:lineRule="exact"/>
        <w:rPr>
          <w:rFonts w:ascii="仿宋_GB2312" w:hAnsi="仿宋_GB2312" w:eastAsia="仿宋_GB2312" w:cs="仿宋_GB2312"/>
          <w:kern w:val="2"/>
          <w:sz w:val="32"/>
          <w:szCs w:val="32"/>
        </w:rPr>
      </w:pPr>
    </w:p>
    <w:p w14:paraId="3915A3A9">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科创引领、质效优先。</w:t>
      </w:r>
      <w:r>
        <w:rPr>
          <w:rFonts w:hint="eastAsia" w:ascii="仿宋_GB2312" w:hAnsi="仿宋_GB2312" w:eastAsia="仿宋_GB2312" w:cs="仿宋_GB2312"/>
          <w:kern w:val="2"/>
          <w:sz w:val="32"/>
          <w:szCs w:val="32"/>
        </w:rPr>
        <w:t>坚持高新区“高”“新”的发展使命，</w:t>
      </w:r>
      <w:r>
        <w:rPr>
          <w:rFonts w:ascii="仿宋_GB2312" w:hAnsi="仿宋_GB2312" w:eastAsia="仿宋_GB2312" w:cs="仿宋_GB2312"/>
          <w:kern w:val="2"/>
          <w:sz w:val="32"/>
          <w:szCs w:val="32"/>
        </w:rPr>
        <w:t>把科技创新摆在发展全局的核心位置，加大研发投入力度，</w:t>
      </w:r>
      <w:r>
        <w:rPr>
          <w:rFonts w:hint="eastAsia" w:ascii="仿宋_GB2312" w:hAnsi="仿宋_GB2312" w:eastAsia="仿宋_GB2312" w:cs="仿宋_GB2312"/>
          <w:kern w:val="2"/>
          <w:sz w:val="32"/>
          <w:szCs w:val="32"/>
        </w:rPr>
        <w:t>加强关键核心技术攻关，实施数智赋能，强化科技成果转化，抢占科技发展制高点，</w:t>
      </w:r>
      <w:r>
        <w:rPr>
          <w:rFonts w:ascii="仿宋_GB2312" w:hAnsi="仿宋_GB2312" w:eastAsia="仿宋_GB2312" w:cs="仿宋_GB2312"/>
          <w:kern w:val="2"/>
          <w:sz w:val="32"/>
          <w:szCs w:val="32"/>
        </w:rPr>
        <w:t>实现“创新—产业—效益”的良性循环</w:t>
      </w:r>
      <w:r>
        <w:rPr>
          <w:rFonts w:hint="eastAsia" w:ascii="仿宋_GB2312" w:hAnsi="仿宋_GB2312" w:eastAsia="仿宋_GB2312" w:cs="仿宋_GB2312"/>
          <w:kern w:val="2"/>
          <w:sz w:val="32"/>
          <w:szCs w:val="32"/>
        </w:rPr>
        <w:t>，</w:t>
      </w:r>
      <w:r>
        <w:rPr>
          <w:rFonts w:ascii="仿宋_GB2312" w:hAnsi="仿宋_GB2312" w:eastAsia="仿宋_GB2312" w:cs="仿宋_GB2312"/>
          <w:kern w:val="2"/>
          <w:sz w:val="32"/>
          <w:szCs w:val="32"/>
        </w:rPr>
        <w:t>以科技创新引领新质生产力发展。</w:t>
      </w:r>
    </w:p>
    <w:p w14:paraId="0E3460DD">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集群集聚、链主牵引。</w:t>
      </w:r>
      <w:r>
        <w:rPr>
          <w:rFonts w:hint="eastAsia" w:ascii="仿宋_GB2312" w:hAnsi="仿宋_GB2312" w:eastAsia="仿宋_GB2312" w:cs="仿宋_GB2312"/>
          <w:kern w:val="2"/>
          <w:sz w:val="32"/>
          <w:szCs w:val="32"/>
        </w:rPr>
        <w:t>深入实施“链长制”</w:t>
      </w:r>
      <w:r>
        <w:rPr>
          <w:rFonts w:ascii="仿宋_GB2312" w:hAnsi="仿宋_GB2312" w:eastAsia="仿宋_GB2312" w:cs="仿宋_GB2312"/>
          <w:kern w:val="2"/>
          <w:sz w:val="32"/>
          <w:szCs w:val="32"/>
          <w:vertAlign w:val="superscript"/>
        </w:rPr>
        <w:fldChar w:fldCharType="begin"/>
      </w:r>
      <w:r>
        <w:instrText xml:space="preserve"> REF _Ref223540711 \n \h  \* MERGEFORMAT</w:instrText>
      </w:r>
      <w:r>
        <w:rPr>
          <w:rFonts w:ascii="仿宋_GB2312" w:hAnsi="仿宋_GB2312" w:eastAsia="仿宋_GB2312" w:cs="仿宋_GB2312"/>
          <w:kern w:val="2"/>
          <w:sz w:val="32"/>
          <w:szCs w:val="32"/>
          <w:vertAlign w:val="superscript"/>
        </w:rPr>
        <w:fldChar w:fldCharType="separate"/>
      </w:r>
      <w:r>
        <w:rPr>
          <w:rFonts w:ascii="仿宋_GB2312" w:hAnsi="仿宋_GB2312" w:eastAsia="仿宋_GB2312" w:cs="仿宋_GB2312"/>
          <w:kern w:val="2"/>
          <w:sz w:val="32"/>
          <w:szCs w:val="32"/>
          <w:vertAlign w:val="superscript"/>
        </w:rPr>
        <w:t>[6]</w:t>
      </w:r>
      <w:r>
        <w:rPr>
          <w:rFonts w:ascii="仿宋_GB2312" w:hAnsi="仿宋_GB2312" w:eastAsia="仿宋_GB2312" w:cs="仿宋_GB2312"/>
          <w:kern w:val="2"/>
          <w:sz w:val="32"/>
          <w:szCs w:val="32"/>
          <w:vertAlign w:val="superscript"/>
        </w:rPr>
        <w:fldChar w:fldCharType="end"/>
      </w:r>
      <w:r>
        <w:rPr>
          <w:rFonts w:hint="eastAsia" w:ascii="仿宋_GB2312" w:hAnsi="仿宋_GB2312" w:eastAsia="仿宋_GB2312" w:cs="仿宋_GB2312"/>
          <w:kern w:val="2"/>
          <w:sz w:val="32"/>
          <w:szCs w:val="32"/>
        </w:rPr>
        <w:t>，以四大主攻产业为载体，以链主企业为牵引，着力补链条、促集聚、提能级，推动上下游企业协同发展，构建“一园一主导、一链一龙头”的产业格局。重点培育专精特新“小巨人”企业、制造业单项冠军企业，提升产业竞争力和抗风险能力，形成“链主引领、集群成链、生态协同”的产业发展新格局。</w:t>
      </w:r>
    </w:p>
    <w:p w14:paraId="0A74C94B">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开放协同、融合发展。</w:t>
      </w:r>
      <w:r>
        <w:rPr>
          <w:rFonts w:hint="eastAsia" w:ascii="仿宋_GB2312" w:hAnsi="仿宋_GB2312" w:eastAsia="仿宋_GB2312" w:cs="仿宋_GB2312"/>
          <w:kern w:val="2"/>
          <w:sz w:val="32"/>
          <w:szCs w:val="32"/>
        </w:rPr>
        <w:t>坚持对内对外开放并举，深化与京津冀、长三角、粤港澳大湾区等先进地区合作，抢抓京长对口合作政策机遇，建立健全年度行动计划机制，推动合作事项清单化、项目化落实，积极承接产业转移和创新资源外溢。主动融入“一带一路”建设，深化国际合作，提升开放型经济水平。加强与潞州区、潞城区在产业布局、基础设施、公共服务等方面的协同联动，推动产城深度融合。</w:t>
      </w:r>
    </w:p>
    <w:p w14:paraId="3D5AEEE7">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绿色低碳、筑牢优势。</w:t>
      </w:r>
      <w:r>
        <w:rPr>
          <w:rFonts w:hint="eastAsia" w:ascii="仿宋_GB2312" w:hAnsi="仿宋_GB2312" w:eastAsia="仿宋_GB2312" w:cs="仿宋_GB2312"/>
          <w:kern w:val="2"/>
          <w:sz w:val="32"/>
          <w:szCs w:val="32"/>
        </w:rPr>
        <w:t>以国家碳达峰试点园区建设为引领，以绿电园区建设为支撑，践行绿色发展理念，加快节能降碳工程实施，推动产业绿色转型。优化能源消费结构，扩大绿电使用规模，降低碳排放强度，构建绿色低碳的生产方式和园区形态。</w:t>
      </w:r>
    </w:p>
    <w:p w14:paraId="648BF7A5">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改革赋能、精准施策。</w:t>
      </w:r>
      <w:r>
        <w:rPr>
          <w:rFonts w:hint="eastAsia" w:ascii="仿宋_GB2312" w:hAnsi="仿宋_GB2312" w:eastAsia="仿宋_GB2312" w:cs="仿宋_GB2312"/>
          <w:kern w:val="2"/>
          <w:sz w:val="32"/>
          <w:szCs w:val="32"/>
        </w:rPr>
        <w:t>深化“三化三制”改革，优化管理体制和运行机制，提升园区治理效能。聚焦债务化解、资产盘活、营商环境优化等重点领域，推出一批针对性强、可操作的改革举措，持续优化营商环境与创新创业创造活力，以改革破解发展难题，激发园区内生发展动力。</w:t>
      </w:r>
      <w:bookmarkStart w:id="107" w:name="_Toc4466"/>
      <w:bookmarkStart w:id="108" w:name="_Toc9768"/>
      <w:bookmarkStart w:id="109" w:name="_Toc860475274"/>
      <w:bookmarkStart w:id="110" w:name="_Toc1798712020"/>
      <w:bookmarkStart w:id="111" w:name="_Toc966710537"/>
      <w:bookmarkStart w:id="112" w:name="_Toc25759"/>
      <w:bookmarkStart w:id="113" w:name="_Toc2120393004"/>
      <w:bookmarkStart w:id="114" w:name="_Toc13714"/>
      <w:bookmarkStart w:id="115" w:name="_Toc4715"/>
    </w:p>
    <w:p w14:paraId="68A86C13">
      <w:pPr>
        <w:pStyle w:val="2"/>
      </w:pPr>
    </w:p>
    <w:p w14:paraId="20470DC4">
      <w:pPr>
        <w:pStyle w:val="4"/>
        <w:adjustRightInd w:val="0"/>
        <w:snapToGrid w:val="0"/>
        <w:spacing w:line="600" w:lineRule="exact"/>
        <w:ind w:firstLine="640" w:firstLineChars="200"/>
        <w:rPr>
          <w:rFonts w:ascii="楷体_GB2312" w:hAnsi="楷体_GB2312" w:eastAsia="楷体_GB2312" w:cs="楷体_GB2312"/>
        </w:rPr>
      </w:pPr>
      <w:bookmarkStart w:id="116" w:name="_Toc1962"/>
      <w:bookmarkStart w:id="117" w:name="_Toc22798"/>
      <w:bookmarkStart w:id="118" w:name="_Toc223176537"/>
      <w:bookmarkStart w:id="119" w:name="_Toc23432"/>
      <w:r>
        <w:rPr>
          <w:rFonts w:hint="eastAsia" w:ascii="楷体_GB2312" w:hAnsi="楷体_GB2312" w:eastAsia="楷体_GB2312" w:cs="楷体_GB2312"/>
        </w:rPr>
        <w:t>第三节 战略定位</w:t>
      </w:r>
      <w:bookmarkEnd w:id="107"/>
      <w:bookmarkEnd w:id="108"/>
      <w:bookmarkEnd w:id="109"/>
      <w:bookmarkEnd w:id="110"/>
      <w:bookmarkEnd w:id="111"/>
      <w:bookmarkEnd w:id="112"/>
      <w:bookmarkEnd w:id="113"/>
      <w:bookmarkEnd w:id="114"/>
      <w:bookmarkEnd w:id="115"/>
      <w:bookmarkEnd w:id="116"/>
      <w:bookmarkEnd w:id="117"/>
      <w:bookmarkEnd w:id="118"/>
      <w:bookmarkEnd w:id="119"/>
    </w:p>
    <w:p w14:paraId="60E7CB27">
      <w:pPr>
        <w:spacing w:line="600" w:lineRule="exact"/>
        <w:rPr>
          <w:sz w:val="32"/>
          <w:szCs w:val="36"/>
        </w:rPr>
      </w:pPr>
    </w:p>
    <w:p w14:paraId="376984CA">
      <w:pP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按照党中央及省、市委部署要求，立足全区发展基础和比较优势，坚持以能源革命为引领，锚定“一区一极一高地”的建设目标：</w:t>
      </w:r>
    </w:p>
    <w:p w14:paraId="66180941">
      <w:pPr>
        <w:spacing w:line="600" w:lineRule="exact"/>
        <w:ind w:firstLine="643" w:firstLineChars="200"/>
        <w:rPr>
          <w:rFonts w:ascii="仿宋_GB2312" w:hAnsi="Segoe UI" w:eastAsia="仿宋_GB2312" w:cs="Segoe UI"/>
          <w:sz w:val="32"/>
          <w:szCs w:val="32"/>
        </w:rPr>
      </w:pPr>
      <w:r>
        <w:rPr>
          <w:rFonts w:hint="eastAsia" w:ascii="仿宋_GB2312" w:hAnsi="仿宋_GB2312" w:eastAsia="仿宋_GB2312" w:cs="仿宋_GB2312"/>
          <w:b/>
          <w:bCs/>
          <w:kern w:val="2"/>
          <w:sz w:val="32"/>
          <w:szCs w:val="32"/>
        </w:rPr>
        <w:t>——</w:t>
      </w:r>
      <w:r>
        <w:rPr>
          <w:rFonts w:hint="eastAsia" w:ascii="仿宋_GB2312" w:hAnsi="Segoe UI" w:eastAsia="仿宋_GB2312" w:cs="Segoe UI"/>
          <w:b/>
          <w:sz w:val="32"/>
          <w:szCs w:val="32"/>
        </w:rPr>
        <w:t>新质生产力先导区。</w:t>
      </w:r>
      <w:r>
        <w:rPr>
          <w:rFonts w:hint="eastAsia" w:ascii="仿宋_GB2312" w:hAnsi="Segoe UI" w:eastAsia="仿宋_GB2312" w:cs="Segoe UI"/>
          <w:sz w:val="32"/>
          <w:szCs w:val="32"/>
        </w:rPr>
        <w:t>一方面以促进长治能源革命为引领，打造煤基相关高新技术产业链的树状体系与产业接盘点，对关键技术、重点企业和重大项目实施精准组织和系统推进，以技术创新带动产业结构优化升级，推动全市煤炭传统产业“老树发新枝”。另一方面，聚焦深紫外LED、锂电池新材料、生物制药等新质生产力领域，加快培育百亿级产业集群，促进新兴产业“新树扎深根”，推动产业高端化、智能化、绿色化转型，形成具有核心竞争力的产业格局，勇当全市转型发展排头兵。</w:t>
      </w:r>
    </w:p>
    <w:p w14:paraId="4327F494">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——城市发展增长极。</w:t>
      </w:r>
      <w:r>
        <w:rPr>
          <w:rFonts w:hint="eastAsia" w:ascii="仿宋_GB2312" w:hAnsi="仿宋_GB2312" w:eastAsia="仿宋_GB2312" w:cs="仿宋_GB2312"/>
          <w:kern w:val="2"/>
          <w:sz w:val="32"/>
          <w:szCs w:val="32"/>
        </w:rPr>
        <w:t>深化与潞州、潞城两区协同，重点与潞州区融合发展，完善基础设施互联互通、公共服务共建共享机制，实现教育、医疗、交通等优质资源共享，</w:t>
      </w:r>
      <w:r>
        <w:rPr>
          <w:rFonts w:hint="eastAsia" w:ascii="仿宋_GB2312" w:hAnsi="Segoe UI" w:eastAsia="仿宋_GB2312" w:cs="Segoe UI"/>
          <w:sz w:val="32"/>
          <w:szCs w:val="32"/>
        </w:rPr>
        <w:t>推动产、城、人深度融合，塑造以科技创新、人才集聚为特质的城市新名片。</w:t>
      </w:r>
      <w:r>
        <w:rPr>
          <w:rFonts w:hint="eastAsia" w:ascii="仿宋_GB2312" w:hAnsi="仿宋_GB2312" w:eastAsia="仿宋_GB2312" w:cs="仿宋_GB2312"/>
          <w:kern w:val="2"/>
          <w:sz w:val="32"/>
          <w:szCs w:val="32"/>
        </w:rPr>
        <w:t>到2030年，产城融合率、闲置资产盘活率均实现大幅增长，打造“产业兴旺、生态宜居、民生改善”的产城融合新典范，</w:t>
      </w:r>
      <w:r>
        <w:rPr>
          <w:rFonts w:hint="eastAsia" w:ascii="仿宋_GB2312" w:hAnsi="Segoe UI" w:eastAsia="仿宋_GB2312" w:cs="Segoe UI"/>
          <w:sz w:val="32"/>
          <w:szCs w:val="32"/>
        </w:rPr>
        <w:t>建设彰显活力的科创地标。</w:t>
      </w:r>
    </w:p>
    <w:p w14:paraId="6EDEB62B">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——开放合作新高地。</w:t>
      </w:r>
      <w:r>
        <w:rPr>
          <w:rFonts w:hint="eastAsia" w:ascii="仿宋_GB2312" w:hAnsi="仿宋_GB2312" w:eastAsia="仿宋_GB2312" w:cs="仿宋_GB2312"/>
          <w:kern w:val="2"/>
          <w:sz w:val="32"/>
          <w:szCs w:val="32"/>
        </w:rPr>
        <w:t>立足国家高新区和省级转型综改示范区“双重优势”，以服务全市对外开放和产业升级为导向，依托现有产业基础、国际合作园区和对外合作平台，主动融入京津冀、长三角、粤港澳大湾区等重点区域，拓展与“一带一路”沿线国家和新兴市场的合作。聚焦新能源、电子信息、生物医药等优势产业，加强与中部、东部开发区的战略合作，强化高端资源、先进技术和关键项目引进。提升开放型经济能级，推动进出口总额和实际利用外资稳步增长，建设链接国内国际双循环的开放合作高地。</w:t>
      </w:r>
    </w:p>
    <w:p w14:paraId="70FF78BE">
      <w:pPr>
        <w:widowControl/>
        <w:autoSpaceDE w:val="0"/>
        <w:autoSpaceDN w:val="0"/>
        <w:adjustRightInd w:val="0"/>
        <w:snapToGrid w:val="0"/>
        <w:spacing w:line="600" w:lineRule="exact"/>
        <w:ind w:firstLine="422" w:firstLineChars="200"/>
        <w:jc w:val="center"/>
        <w:rPr>
          <w:rFonts w:ascii="仿宋_GB2312" w:hAnsi="仿宋_GB2312" w:eastAsia="仿宋_GB2312" w:cs="仿宋_GB2312"/>
          <w:b/>
          <w:bCs/>
          <w:kern w:val="2"/>
          <w:szCs w:val="32"/>
        </w:rPr>
      </w:pPr>
    </w:p>
    <w:p w14:paraId="13C80B3C">
      <w:pPr>
        <w:pStyle w:val="2"/>
      </w:pPr>
    </w:p>
    <w:p w14:paraId="7C63BA29">
      <w:pPr>
        <w:pStyle w:val="4"/>
        <w:adjustRightInd w:val="0"/>
        <w:snapToGrid w:val="0"/>
        <w:spacing w:line="600" w:lineRule="exact"/>
        <w:ind w:firstLine="640" w:firstLineChars="200"/>
      </w:pPr>
      <w:bookmarkStart w:id="120" w:name="_Toc13113"/>
      <w:bookmarkStart w:id="121" w:name="_Toc24615"/>
      <w:bookmarkStart w:id="122" w:name="_Toc28238"/>
      <w:bookmarkStart w:id="123" w:name="_Toc28179"/>
      <w:bookmarkStart w:id="124" w:name="_Toc10791"/>
      <w:bookmarkStart w:id="125" w:name="_Toc27352"/>
      <w:bookmarkStart w:id="126" w:name="_Toc30734"/>
      <w:bookmarkStart w:id="127" w:name="_Toc223176538"/>
      <w:r>
        <w:rPr>
          <w:rFonts w:hint="eastAsia"/>
        </w:rPr>
        <w:t>第四节 发展目标</w:t>
      </w:r>
      <w:bookmarkEnd w:id="120"/>
      <w:bookmarkEnd w:id="121"/>
      <w:bookmarkEnd w:id="122"/>
      <w:bookmarkEnd w:id="123"/>
      <w:bookmarkEnd w:id="124"/>
      <w:bookmarkEnd w:id="125"/>
      <w:bookmarkEnd w:id="126"/>
      <w:bookmarkEnd w:id="127"/>
    </w:p>
    <w:p w14:paraId="18E9AE09"/>
    <w:p w14:paraId="57C63B8D">
      <w:pP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围绕到2030年全面建成千亿级产业园区，成功跻身国家百强高新区的总体目标，设定以下指标：</w:t>
      </w:r>
    </w:p>
    <w:p w14:paraId="494B8071">
      <w:pPr>
        <w:spacing w:line="600" w:lineRule="exact"/>
        <w:ind w:firstLine="643" w:firstLineChars="200"/>
        <w:rPr>
          <w:rFonts w:hint="eastAsia" w:ascii="仿宋_GB2312" w:hAnsi="仿宋_GB2312" w:eastAsia="仿宋_GB2312" w:cs="仿宋_GB2312"/>
          <w:color w:val="0000FF"/>
          <w:kern w:val="2"/>
          <w:sz w:val="32"/>
          <w:szCs w:val="32"/>
        </w:rPr>
      </w:pPr>
      <w:r>
        <w:rPr>
          <w:rFonts w:hint="eastAsia" w:ascii="仿宋_GB2312" w:hAnsi="仿宋_GB2312" w:eastAsia="仿宋_GB2312" w:cs="仿宋_GB2312"/>
          <w:b/>
          <w:bCs/>
          <w:kern w:val="2"/>
          <w:sz w:val="32"/>
          <w:szCs w:val="32"/>
        </w:rPr>
        <w:t>产业规模大幅增长。</w:t>
      </w:r>
      <w:r>
        <w:rPr>
          <w:rFonts w:hint="eastAsia" w:ascii="仿宋_GB2312" w:hAnsi="仿宋_GB2312" w:eastAsia="仿宋_GB2312" w:cs="仿宋_GB2312"/>
          <w:kern w:val="2"/>
          <w:sz w:val="32"/>
          <w:szCs w:val="32"/>
        </w:rPr>
        <w:t>通过存量企业扩产提效、增量项目达产达效、新兴业态融合赋能，叠加绿色低碳转型与数字化升级红利，推动四大新兴产业集群营业收入到2030年突破400亿元、服务业营业收入突破300亿元、资质以上建筑房地产业营收突破300亿元，培育形成梯次分明、优势互补的产业发展格局，支撑长治高新区综合排名持续提升，</w:t>
      </w:r>
      <w:r>
        <w:rPr>
          <w:rFonts w:hint="eastAsia" w:ascii="仿宋_GB2312" w:eastAsia="仿宋_GB2312"/>
          <w:sz w:val="32"/>
          <w:szCs w:val="32"/>
        </w:rPr>
        <w:t>到2030年进入全国百强高新区行列</w:t>
      </w:r>
      <w:r>
        <w:rPr>
          <w:rFonts w:hint="eastAsia" w:ascii="仿宋_GB2312" w:eastAsia="仿宋_GB2312"/>
          <w:sz w:val="32"/>
          <w:szCs w:val="32"/>
          <w:lang w:eastAsia="zh-CN"/>
        </w:rPr>
        <w:t>，</w:t>
      </w:r>
      <w:r>
        <w:rPr>
          <w:rFonts w:hint="eastAsia" w:ascii="仿宋_GB2312" w:hAnsi="仿宋_GB2312" w:eastAsia="仿宋_GB2312" w:cs="仿宋_GB2312"/>
          <w:kern w:val="2"/>
          <w:sz w:val="32"/>
          <w:szCs w:val="32"/>
          <w:lang w:eastAsia="zh-CN"/>
        </w:rPr>
        <w:t>力争进入前</w:t>
      </w:r>
      <w:r>
        <w:rPr>
          <w:rFonts w:hint="eastAsia" w:ascii="仿宋_GB2312" w:hAnsi="仿宋_GB2312" w:eastAsia="仿宋_GB2312" w:cs="仿宋_GB2312"/>
          <w:kern w:val="2"/>
          <w:sz w:val="32"/>
          <w:szCs w:val="32"/>
          <w:lang w:val="en-US" w:eastAsia="zh-CN"/>
        </w:rPr>
        <w:t>80强</w:t>
      </w:r>
      <w:r>
        <w:rPr>
          <w:rFonts w:hint="eastAsia" w:ascii="仿宋_GB2312" w:hAnsi="仿宋_GB2312" w:eastAsia="仿宋_GB2312" w:cs="仿宋_GB2312"/>
          <w:kern w:val="2"/>
          <w:sz w:val="32"/>
          <w:szCs w:val="32"/>
        </w:rPr>
        <w:t>。</w:t>
      </w:r>
    </w:p>
    <w:p w14:paraId="4CDF4256">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创新能力显著增强。</w:t>
      </w:r>
      <w:r>
        <w:rPr>
          <w:rFonts w:hint="eastAsia" w:ascii="仿宋_GB2312" w:hAnsi="仿宋_GB2312" w:eastAsia="仿宋_GB2312" w:cs="仿宋_GB2312"/>
          <w:kern w:val="2"/>
          <w:sz w:val="32"/>
          <w:szCs w:val="32"/>
        </w:rPr>
        <w:t>构建多层次创新平台体系，重点建设新能源材料实验室、生物医药中试基地等高能级平台，新培育10个以上省级创新平台，力争新培育1-2个国家级创新平台。加大研发投入力度，研发经费强度努力达到国家高新区平均水平；技术合同成交额实现大额增长，提升科技成果本地转化率。壮大高新技术企业和专精特新企业队伍，创新成为驱动发展的核心动力，各项创新指标达到工信部评价体系先进水平。</w:t>
      </w:r>
    </w:p>
    <w:p w14:paraId="2C00ADF1">
      <w:pPr>
        <w:pBdr>
          <w:bottom w:val="none" w:color="auto" w:sz="0" w:space="31"/>
        </w:pBdr>
        <w:adjustRightInd w:val="0"/>
        <w:snapToGrid w:val="0"/>
        <w:spacing w:line="600" w:lineRule="exact"/>
        <w:ind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kern w:val="2"/>
          <w:sz w:val="32"/>
          <w:szCs w:val="32"/>
        </w:rPr>
        <w:t>产城融合全面提升。</w:t>
      </w:r>
      <w:r>
        <w:rPr>
          <w:rFonts w:hint="eastAsia" w:ascii="仿宋_GB2312" w:hAnsi="仿宋_GB2312" w:eastAsia="仿宋_GB2312" w:cs="仿宋_GB2312"/>
          <w:kern w:val="2"/>
          <w:sz w:val="32"/>
          <w:szCs w:val="32"/>
        </w:rPr>
        <w:t>坚持</w:t>
      </w:r>
      <w:r>
        <w:rPr>
          <w:rFonts w:hint="eastAsia" w:ascii="仿宋_GB2312" w:hAnsi="仿宋_GB2312" w:eastAsia="仿宋_GB2312" w:cs="仿宋_GB2312"/>
          <w:sz w:val="32"/>
          <w:szCs w:val="32"/>
        </w:rPr>
        <w:t>以产兴城、以城促产、以业聚人，编制高新区与潞州区、潞城区的产城融合发展规划。</w:t>
      </w:r>
      <w:r>
        <w:rPr>
          <w:rFonts w:hint="eastAsia" w:ascii="仿宋_GB2312" w:hAnsi="仿宋_GB2312" w:eastAsia="仿宋_GB2312" w:cs="仿宋_GB2312"/>
          <w:kern w:val="2"/>
          <w:sz w:val="32"/>
          <w:szCs w:val="32"/>
        </w:rPr>
        <w:t>加强与</w:t>
      </w:r>
      <w:r>
        <w:rPr>
          <w:rFonts w:hint="eastAsia" w:ascii="仿宋_GB2312" w:hAnsi="仿宋_GB2312" w:eastAsia="仿宋_GB2312" w:cs="仿宋_GB2312"/>
          <w:sz w:val="32"/>
          <w:szCs w:val="32"/>
        </w:rPr>
        <w:t>潞州潞城“两区”协同，特别是与潞州区融合</w:t>
      </w:r>
      <w:r>
        <w:rPr>
          <w:rFonts w:hint="eastAsia" w:ascii="仿宋_GB2312" w:hAnsi="仿宋_GB2312" w:eastAsia="仿宋_GB2312" w:cs="仿宋_GB2312"/>
          <w:kern w:val="2"/>
          <w:sz w:val="32"/>
          <w:szCs w:val="32"/>
        </w:rPr>
        <w:t>发展，推动城市向北延伸。</w:t>
      </w:r>
      <w:r>
        <w:rPr>
          <w:rFonts w:hint="eastAsia" w:ascii="仿宋_GB2312" w:hAnsi="仿宋_GB2312" w:eastAsia="仿宋_GB2312" w:cs="仿宋_GB2312"/>
          <w:sz w:val="32"/>
          <w:szCs w:val="32"/>
        </w:rPr>
        <w:t>完善高铁片区路网建设，打造高铁核心区。积极布局规模合理的住宅小区、普惠的学前教育、均衡的义务教育、基本的公共服务，力争把高新区打造成容纳10万产业工人、</w:t>
      </w: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rPr>
        <w:t>万人生活的新区，不断提升园区承载力、吸引力、竞争力。</w:t>
      </w:r>
      <w:r>
        <w:rPr>
          <w:rFonts w:hint="eastAsia" w:ascii="仿宋_GB2312" w:hAnsi="仿宋_GB2312" w:eastAsia="仿宋_GB2312" w:cs="仿宋_GB2312"/>
          <w:sz w:val="32"/>
          <w:szCs w:val="32"/>
          <w:lang w:val="en-US" w:eastAsia="zh-CN"/>
        </w:rPr>
        <w:tab/>
      </w:r>
    </w:p>
    <w:p w14:paraId="311DC214">
      <w:pPr>
        <w:pBdr>
          <w:bottom w:val="none" w:color="auto" w:sz="0" w:space="31"/>
        </w:pBdr>
        <w:adjustRightInd w:val="0"/>
        <w:snapToGrid w:val="0"/>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要素保障与营商环境持续优化。</w:t>
      </w:r>
      <w:r>
        <w:rPr>
          <w:rFonts w:hint="eastAsia" w:ascii="仿宋_GB2312" w:hAnsi="仿宋_GB2312" w:eastAsia="仿宋_GB2312" w:cs="仿宋_GB2312"/>
          <w:kern w:val="2"/>
          <w:sz w:val="32"/>
          <w:szCs w:val="32"/>
        </w:rPr>
        <w:t>全面建成绿电园区，绿电装机容量努力达到1GW，供应绿电20亿度，将绿电优势转化为发展胜势。优化产业用地布局，实施土地弹性出让，降低土地用地成本。深化“放管服”改革，提升政务服务便捷度，着力打造市场化、法治化、国际化营商环境，成为企业投资兴业的优选地。</w:t>
      </w:r>
    </w:p>
    <w:p w14:paraId="5DAB56B3">
      <w:pPr>
        <w:pBdr>
          <w:bottom w:val="none" w:color="auto" w:sz="0" w:space="31"/>
        </w:pBdr>
        <w:adjustRightInd w:val="0"/>
        <w:snapToGrid w:val="0"/>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安全发展能力明显增强。</w:t>
      </w:r>
      <w:r>
        <w:rPr>
          <w:rFonts w:hint="eastAsia" w:ascii="仿宋_GB2312" w:hAnsi="仿宋_GB2312" w:eastAsia="仿宋_GB2312" w:cs="仿宋_GB2312"/>
          <w:kern w:val="2"/>
          <w:sz w:val="32"/>
          <w:szCs w:val="32"/>
        </w:rPr>
        <w:t>基层治理、协同治理水平明显提高，重点领域风险得到有效防范化解，本质安全水平有效提升，平安高新建设扎实推进，基本形成共建、共治、共享的现代化治理格局。</w:t>
      </w:r>
    </w:p>
    <w:p w14:paraId="1129FE47">
      <w:pPr>
        <w:pBdr>
          <w:bottom w:val="none" w:color="auto" w:sz="0" w:space="31"/>
        </w:pBdr>
        <w:adjustRightInd w:val="0"/>
        <w:snapToGrid w:val="0"/>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围绕工信部关于国家高新区的发展评价指标体系和全区“五个一”目标，细化量化为长治高新区“十五五”发展七大指标体系。</w:t>
      </w:r>
    </w:p>
    <w:tbl>
      <w:tblPr>
        <w:tblStyle w:val="27"/>
        <w:tblW w:w="10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943"/>
        <w:gridCol w:w="1097"/>
        <w:gridCol w:w="1275"/>
        <w:gridCol w:w="1418"/>
        <w:gridCol w:w="3462"/>
      </w:tblGrid>
      <w:tr w14:paraId="6502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0545" w:type="dxa"/>
            <w:gridSpan w:val="6"/>
            <w:vAlign w:val="center"/>
          </w:tcPr>
          <w:p w14:paraId="130C96D4">
            <w:pPr>
              <w:keepNext/>
              <w:widowControl/>
              <w:spacing w:line="600" w:lineRule="exact"/>
              <w:jc w:val="center"/>
              <w:rPr>
                <w:rFonts w:ascii="宋体" w:hAnsi="宋体" w:cs="宋体"/>
                <w:b/>
                <w:bCs/>
                <w:color w:val="000000"/>
                <w:sz w:val="28"/>
                <w:szCs w:val="28"/>
                <w:lang w:bidi="ar"/>
              </w:rPr>
            </w:pPr>
            <w:r>
              <w:rPr>
                <w:rFonts w:hint="eastAsia" w:ascii="宋体" w:hAnsi="宋体" w:cs="宋体"/>
                <w:b/>
                <w:bCs/>
                <w:color w:val="000000"/>
                <w:sz w:val="28"/>
                <w:szCs w:val="28"/>
                <w:lang w:bidi="ar"/>
              </w:rPr>
              <w:t>专栏1 “十五五”长治高新区发展主要指标</w:t>
            </w:r>
          </w:p>
        </w:tc>
      </w:tr>
      <w:tr w14:paraId="6673B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vAlign w:val="center"/>
          </w:tcPr>
          <w:p w14:paraId="3EAB6674">
            <w:pPr>
              <w:keepNext/>
              <w:widowControl/>
              <w:spacing w:line="240" w:lineRule="exact"/>
              <w:jc w:val="center"/>
              <w:rPr>
                <w:rFonts w:ascii="宋体" w:hAnsi="宋体" w:cs="宋体"/>
                <w:kern w:val="2"/>
                <w:sz w:val="18"/>
                <w:szCs w:val="18"/>
              </w:rPr>
            </w:pPr>
            <w:r>
              <w:rPr>
                <w:rFonts w:hint="eastAsia" w:ascii="宋体" w:hAnsi="宋体" w:cs="宋体"/>
                <w:b/>
                <w:bCs/>
                <w:color w:val="000000"/>
                <w:sz w:val="18"/>
                <w:szCs w:val="18"/>
                <w:lang w:bidi="ar"/>
              </w:rPr>
              <w:t>指标类别</w:t>
            </w:r>
          </w:p>
        </w:tc>
        <w:tc>
          <w:tcPr>
            <w:tcW w:w="1943" w:type="dxa"/>
            <w:vAlign w:val="center"/>
          </w:tcPr>
          <w:p w14:paraId="50864482">
            <w:pPr>
              <w:keepNext/>
              <w:widowControl/>
              <w:spacing w:line="240" w:lineRule="exact"/>
              <w:jc w:val="center"/>
              <w:rPr>
                <w:rFonts w:ascii="宋体" w:hAnsi="宋体" w:cs="宋体"/>
                <w:kern w:val="2"/>
                <w:sz w:val="18"/>
                <w:szCs w:val="18"/>
              </w:rPr>
            </w:pPr>
            <w:r>
              <w:rPr>
                <w:rFonts w:hint="eastAsia" w:ascii="宋体" w:hAnsi="宋体" w:cs="宋体"/>
                <w:b/>
                <w:bCs/>
                <w:color w:val="000000"/>
                <w:sz w:val="18"/>
                <w:szCs w:val="18"/>
                <w:lang w:bidi="ar"/>
              </w:rPr>
              <w:t>具体指标</w:t>
            </w:r>
          </w:p>
        </w:tc>
        <w:tc>
          <w:tcPr>
            <w:tcW w:w="1097" w:type="dxa"/>
            <w:vAlign w:val="center"/>
          </w:tcPr>
          <w:p w14:paraId="49FF1D4C">
            <w:pPr>
              <w:keepNext/>
              <w:widowControl/>
              <w:spacing w:line="240" w:lineRule="exact"/>
              <w:jc w:val="center"/>
              <w:rPr>
                <w:rFonts w:ascii="宋体" w:hAnsi="宋体" w:cs="宋体"/>
                <w:kern w:val="2"/>
                <w:sz w:val="18"/>
                <w:szCs w:val="18"/>
              </w:rPr>
            </w:pPr>
            <w:r>
              <w:rPr>
                <w:rFonts w:hint="eastAsia" w:ascii="宋体" w:hAnsi="宋体" w:cs="宋体"/>
                <w:b/>
                <w:bCs/>
                <w:color w:val="000000"/>
                <w:sz w:val="18"/>
                <w:szCs w:val="18"/>
                <w:lang w:bidi="ar"/>
              </w:rPr>
              <w:t>2025 年基数</w:t>
            </w:r>
          </w:p>
        </w:tc>
        <w:tc>
          <w:tcPr>
            <w:tcW w:w="1275" w:type="dxa"/>
            <w:vAlign w:val="center"/>
          </w:tcPr>
          <w:p w14:paraId="5B13BFEE">
            <w:pPr>
              <w:keepNext/>
              <w:widowControl/>
              <w:spacing w:line="240" w:lineRule="exact"/>
              <w:jc w:val="center"/>
              <w:rPr>
                <w:rFonts w:ascii="宋体" w:hAnsi="宋体" w:cs="宋体"/>
                <w:kern w:val="2"/>
                <w:sz w:val="18"/>
                <w:szCs w:val="18"/>
              </w:rPr>
            </w:pPr>
            <w:r>
              <w:rPr>
                <w:rFonts w:hint="eastAsia" w:ascii="宋体" w:hAnsi="宋体" w:cs="宋体"/>
                <w:b/>
                <w:bCs/>
                <w:color w:val="000000"/>
                <w:sz w:val="18"/>
                <w:szCs w:val="18"/>
                <w:lang w:bidi="ar"/>
              </w:rPr>
              <w:t>2030 年目标</w:t>
            </w:r>
          </w:p>
        </w:tc>
        <w:tc>
          <w:tcPr>
            <w:tcW w:w="1418" w:type="dxa"/>
            <w:vAlign w:val="center"/>
          </w:tcPr>
          <w:p w14:paraId="1FB6E6B4">
            <w:pPr>
              <w:keepNext/>
              <w:widowControl/>
              <w:spacing w:line="240" w:lineRule="exact"/>
              <w:jc w:val="center"/>
              <w:rPr>
                <w:rFonts w:ascii="宋体" w:hAnsi="宋体" w:cs="宋体"/>
                <w:kern w:val="2"/>
                <w:sz w:val="18"/>
                <w:szCs w:val="18"/>
              </w:rPr>
            </w:pPr>
            <w:r>
              <w:rPr>
                <w:rFonts w:hint="eastAsia" w:ascii="宋体" w:hAnsi="宋体" w:cs="宋体"/>
                <w:b/>
                <w:bCs/>
                <w:color w:val="000000"/>
                <w:sz w:val="18"/>
                <w:szCs w:val="18"/>
                <w:lang w:bidi="ar"/>
              </w:rPr>
              <w:t>指标属性</w:t>
            </w:r>
          </w:p>
        </w:tc>
        <w:tc>
          <w:tcPr>
            <w:tcW w:w="3462" w:type="dxa"/>
            <w:vAlign w:val="center"/>
          </w:tcPr>
          <w:p w14:paraId="46BD47AE">
            <w:pPr>
              <w:keepNext/>
              <w:widowControl/>
              <w:spacing w:line="240" w:lineRule="exact"/>
              <w:jc w:val="center"/>
              <w:rPr>
                <w:rFonts w:ascii="宋体" w:hAnsi="宋体" w:cs="宋体"/>
                <w:b/>
                <w:bCs/>
                <w:color w:val="000000"/>
                <w:sz w:val="18"/>
                <w:szCs w:val="18"/>
                <w:lang w:bidi="ar"/>
              </w:rPr>
            </w:pPr>
            <w:r>
              <w:rPr>
                <w:rFonts w:hint="eastAsia" w:ascii="宋体" w:hAnsi="宋体" w:cs="宋体"/>
                <w:b/>
                <w:bCs/>
                <w:color w:val="000000"/>
                <w:sz w:val="18"/>
                <w:szCs w:val="18"/>
                <w:lang w:bidi="ar"/>
              </w:rPr>
              <w:t>指标解释</w:t>
            </w:r>
          </w:p>
        </w:tc>
      </w:tr>
      <w:tr w14:paraId="3A94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350" w:type="dxa"/>
            <w:vMerge w:val="restart"/>
            <w:vAlign w:val="center"/>
          </w:tcPr>
          <w:p w14:paraId="7F88667A">
            <w:pPr>
              <w:widowControl/>
              <w:spacing w:line="240" w:lineRule="exact"/>
              <w:rPr>
                <w:rFonts w:ascii="宋体" w:hAnsi="宋体" w:cs="宋体"/>
                <w:kern w:val="2"/>
                <w:sz w:val="18"/>
                <w:szCs w:val="18"/>
              </w:rPr>
            </w:pPr>
            <w:r>
              <w:rPr>
                <w:rFonts w:hint="eastAsia" w:ascii="宋体" w:hAnsi="宋体" w:cs="宋体"/>
                <w:kern w:val="2"/>
                <w:sz w:val="18"/>
                <w:szCs w:val="18"/>
              </w:rPr>
              <w:t>“五个一”核心指标</w:t>
            </w:r>
          </w:p>
        </w:tc>
        <w:tc>
          <w:tcPr>
            <w:tcW w:w="1943" w:type="dxa"/>
            <w:vAlign w:val="center"/>
          </w:tcPr>
          <w:p w14:paraId="2ED0649C">
            <w:pPr>
              <w:widowControl/>
              <w:spacing w:line="240" w:lineRule="exact"/>
              <w:rPr>
                <w:rFonts w:ascii="宋体" w:hAnsi="宋体" w:cs="宋体"/>
                <w:kern w:val="2"/>
                <w:sz w:val="18"/>
                <w:szCs w:val="18"/>
              </w:rPr>
            </w:pPr>
            <w:r>
              <w:rPr>
                <w:rFonts w:hint="eastAsia" w:ascii="宋体" w:hAnsi="宋体" w:cs="宋体"/>
                <w:color w:val="000000"/>
                <w:sz w:val="18"/>
                <w:szCs w:val="18"/>
                <w:lang w:bidi="ar"/>
              </w:rPr>
              <w:t>新增优质产业项目</w:t>
            </w:r>
          </w:p>
        </w:tc>
        <w:tc>
          <w:tcPr>
            <w:tcW w:w="1097" w:type="dxa"/>
            <w:vAlign w:val="center"/>
          </w:tcPr>
          <w:p w14:paraId="0BB08C1E">
            <w:pPr>
              <w:widowControl/>
              <w:spacing w:line="240" w:lineRule="exact"/>
              <w:rPr>
                <w:rFonts w:ascii="宋体" w:hAnsi="宋体" w:cs="宋体"/>
                <w:kern w:val="2"/>
                <w:sz w:val="18"/>
                <w:szCs w:val="18"/>
              </w:rPr>
            </w:pPr>
            <w:r>
              <w:rPr>
                <w:rFonts w:hint="eastAsia" w:ascii="宋体" w:hAnsi="宋体" w:cs="宋体"/>
                <w:kern w:val="2"/>
                <w:sz w:val="18"/>
                <w:szCs w:val="18"/>
              </w:rPr>
              <w:t>55个/年</w:t>
            </w:r>
          </w:p>
        </w:tc>
        <w:tc>
          <w:tcPr>
            <w:tcW w:w="1275" w:type="dxa"/>
            <w:vAlign w:val="center"/>
          </w:tcPr>
          <w:p w14:paraId="0EFC0D67">
            <w:pPr>
              <w:widowControl/>
              <w:spacing w:line="240" w:lineRule="exact"/>
              <w:rPr>
                <w:rFonts w:ascii="宋体" w:hAnsi="宋体" w:cs="宋体"/>
                <w:kern w:val="2"/>
                <w:sz w:val="18"/>
                <w:szCs w:val="18"/>
              </w:rPr>
            </w:pPr>
            <w:r>
              <w:rPr>
                <w:rFonts w:hint="eastAsia" w:ascii="宋体" w:hAnsi="宋体" w:cs="宋体"/>
                <w:color w:val="000000"/>
                <w:sz w:val="18"/>
                <w:szCs w:val="18"/>
                <w:lang w:bidi="ar"/>
              </w:rPr>
              <w:t>100个/年</w:t>
            </w:r>
          </w:p>
        </w:tc>
        <w:tc>
          <w:tcPr>
            <w:tcW w:w="1418" w:type="dxa"/>
            <w:vAlign w:val="center"/>
          </w:tcPr>
          <w:p w14:paraId="769AEC3A">
            <w:pPr>
              <w:widowControl/>
              <w:spacing w:line="240" w:lineRule="exact"/>
              <w:rPr>
                <w:rFonts w:ascii="宋体" w:hAnsi="宋体" w:cs="宋体"/>
                <w:kern w:val="2"/>
                <w:sz w:val="18"/>
                <w:szCs w:val="18"/>
              </w:rPr>
            </w:pPr>
            <w:r>
              <w:rPr>
                <w:rFonts w:hint="eastAsia" w:ascii="宋体" w:hAnsi="宋体" w:cs="宋体"/>
                <w:color w:val="000000"/>
                <w:sz w:val="18"/>
                <w:szCs w:val="18"/>
                <w:lang w:bidi="ar"/>
              </w:rPr>
              <w:t>预期性</w:t>
            </w:r>
          </w:p>
        </w:tc>
        <w:tc>
          <w:tcPr>
            <w:tcW w:w="3462" w:type="dxa"/>
            <w:vAlign w:val="center"/>
          </w:tcPr>
          <w:p w14:paraId="306555AC">
            <w:pPr>
              <w:widowControl/>
              <w:spacing w:line="240" w:lineRule="exact"/>
              <w:rPr>
                <w:rFonts w:ascii="宋体" w:hAnsi="宋体" w:cs="宋体"/>
                <w:color w:val="000000"/>
                <w:sz w:val="18"/>
                <w:szCs w:val="18"/>
                <w:lang w:bidi="ar"/>
              </w:rPr>
            </w:pPr>
            <w:r>
              <w:rPr>
                <w:rFonts w:ascii="宋体" w:hAnsi="宋体" w:cs="宋体"/>
                <w:sz w:val="18"/>
                <w:szCs w:val="18"/>
              </w:rPr>
              <w:t>指当年新签约并实质性推进、符合主导产业和新质生产力方向的产业项目数量</w:t>
            </w:r>
            <w:r>
              <w:rPr>
                <w:rFonts w:hint="eastAsia" w:ascii="宋体" w:hAnsi="宋体" w:cs="宋体"/>
                <w:sz w:val="18"/>
                <w:szCs w:val="18"/>
              </w:rPr>
              <w:t>。</w:t>
            </w:r>
          </w:p>
        </w:tc>
      </w:tr>
      <w:tr w14:paraId="75AF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350" w:type="dxa"/>
            <w:vMerge w:val="continue"/>
            <w:vAlign w:val="center"/>
          </w:tcPr>
          <w:p w14:paraId="6BB9BB46">
            <w:pPr>
              <w:widowControl/>
              <w:spacing w:line="240" w:lineRule="exact"/>
              <w:rPr>
                <w:rFonts w:ascii="宋体" w:hAnsi="宋体" w:cs="宋体"/>
                <w:kern w:val="2"/>
                <w:sz w:val="18"/>
                <w:szCs w:val="18"/>
              </w:rPr>
            </w:pPr>
          </w:p>
        </w:tc>
        <w:tc>
          <w:tcPr>
            <w:tcW w:w="1943" w:type="dxa"/>
            <w:vAlign w:val="center"/>
          </w:tcPr>
          <w:p w14:paraId="4F525E18">
            <w:pPr>
              <w:widowControl/>
              <w:spacing w:line="240" w:lineRule="exact"/>
              <w:rPr>
                <w:rFonts w:ascii="宋体" w:hAnsi="宋体" w:cs="宋体"/>
                <w:kern w:val="2"/>
                <w:sz w:val="18"/>
                <w:szCs w:val="18"/>
              </w:rPr>
            </w:pPr>
            <w:r>
              <w:rPr>
                <w:rFonts w:hint="eastAsia" w:ascii="宋体" w:hAnsi="宋体" w:cs="宋体"/>
                <w:color w:val="000000"/>
                <w:sz w:val="18"/>
                <w:szCs w:val="18"/>
                <w:lang w:bidi="ar"/>
              </w:rPr>
              <w:t>每年新增入园企业</w:t>
            </w:r>
          </w:p>
        </w:tc>
        <w:tc>
          <w:tcPr>
            <w:tcW w:w="1097" w:type="dxa"/>
            <w:vAlign w:val="center"/>
          </w:tcPr>
          <w:p w14:paraId="25F0ADB1">
            <w:pPr>
              <w:widowControl/>
              <w:spacing w:line="240" w:lineRule="exact"/>
              <w:rPr>
                <w:rFonts w:ascii="宋体" w:hAnsi="宋体" w:cs="宋体"/>
                <w:kern w:val="2"/>
                <w:sz w:val="18"/>
                <w:szCs w:val="18"/>
              </w:rPr>
            </w:pPr>
            <w:r>
              <w:rPr>
                <w:rFonts w:hint="eastAsia" w:ascii="宋体" w:hAnsi="宋体" w:cs="宋体"/>
                <w:kern w:val="2"/>
                <w:sz w:val="18"/>
                <w:szCs w:val="18"/>
              </w:rPr>
              <w:t>12185户</w:t>
            </w:r>
          </w:p>
        </w:tc>
        <w:tc>
          <w:tcPr>
            <w:tcW w:w="1275" w:type="dxa"/>
            <w:vAlign w:val="center"/>
          </w:tcPr>
          <w:p w14:paraId="1D441327">
            <w:pPr>
              <w:widowControl/>
              <w:spacing w:line="240" w:lineRule="exact"/>
              <w:rPr>
                <w:rFonts w:ascii="宋体" w:hAnsi="宋体" w:cs="宋体"/>
                <w:kern w:val="2"/>
                <w:sz w:val="18"/>
                <w:szCs w:val="18"/>
              </w:rPr>
            </w:pPr>
            <w:r>
              <w:rPr>
                <w:rFonts w:hint="eastAsia" w:ascii="宋体" w:hAnsi="宋体" w:cs="宋体"/>
                <w:color w:val="000000"/>
                <w:sz w:val="18"/>
                <w:szCs w:val="18"/>
                <w:lang w:bidi="ar"/>
              </w:rPr>
              <w:t>1.7万户</w:t>
            </w:r>
          </w:p>
        </w:tc>
        <w:tc>
          <w:tcPr>
            <w:tcW w:w="1418" w:type="dxa"/>
            <w:vAlign w:val="center"/>
          </w:tcPr>
          <w:p w14:paraId="579F8D51">
            <w:pPr>
              <w:widowControl/>
              <w:spacing w:line="240" w:lineRule="exact"/>
              <w:rPr>
                <w:rFonts w:ascii="宋体" w:hAnsi="宋体" w:cs="宋体"/>
                <w:kern w:val="2"/>
                <w:sz w:val="18"/>
                <w:szCs w:val="18"/>
              </w:rPr>
            </w:pPr>
            <w:r>
              <w:rPr>
                <w:rFonts w:hint="eastAsia" w:ascii="宋体" w:hAnsi="宋体" w:cs="宋体"/>
                <w:color w:val="000000"/>
                <w:sz w:val="18"/>
                <w:szCs w:val="18"/>
                <w:lang w:bidi="ar"/>
              </w:rPr>
              <w:t>预期性</w:t>
            </w:r>
          </w:p>
        </w:tc>
        <w:tc>
          <w:tcPr>
            <w:tcW w:w="3462" w:type="dxa"/>
            <w:vAlign w:val="center"/>
          </w:tcPr>
          <w:p w14:paraId="1EFD4793">
            <w:pPr>
              <w:widowControl/>
              <w:spacing w:line="240" w:lineRule="exact"/>
              <w:rPr>
                <w:rFonts w:ascii="宋体" w:hAnsi="宋体" w:cs="宋体"/>
                <w:color w:val="000000"/>
                <w:sz w:val="18"/>
                <w:szCs w:val="18"/>
                <w:lang w:bidi="ar"/>
              </w:rPr>
            </w:pPr>
            <w:r>
              <w:rPr>
                <w:rFonts w:ascii="宋体" w:hAnsi="宋体" w:cs="宋体"/>
                <w:sz w:val="18"/>
                <w:szCs w:val="18"/>
              </w:rPr>
              <w:t>指当年在高新区完成工商注册并实质入驻园区的企业数量，不含空壳公司和短期注册企业。</w:t>
            </w:r>
          </w:p>
        </w:tc>
      </w:tr>
      <w:tr w14:paraId="2D2E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350" w:type="dxa"/>
            <w:vMerge w:val="continue"/>
            <w:vAlign w:val="center"/>
          </w:tcPr>
          <w:p w14:paraId="6DF9E901">
            <w:pPr>
              <w:widowControl/>
              <w:spacing w:line="240" w:lineRule="exact"/>
              <w:rPr>
                <w:rFonts w:ascii="宋体" w:hAnsi="宋体" w:cs="宋体"/>
                <w:kern w:val="2"/>
                <w:sz w:val="18"/>
                <w:szCs w:val="18"/>
              </w:rPr>
            </w:pPr>
          </w:p>
        </w:tc>
        <w:tc>
          <w:tcPr>
            <w:tcW w:w="1943" w:type="dxa"/>
            <w:vAlign w:val="center"/>
          </w:tcPr>
          <w:p w14:paraId="276CC9C5">
            <w:pPr>
              <w:widowControl/>
              <w:spacing w:line="240" w:lineRule="exact"/>
              <w:rPr>
                <w:rFonts w:ascii="宋体" w:hAnsi="宋体" w:cs="宋体"/>
                <w:kern w:val="2"/>
                <w:sz w:val="18"/>
                <w:szCs w:val="18"/>
              </w:rPr>
            </w:pPr>
            <w:r>
              <w:rPr>
                <w:rFonts w:hint="eastAsia" w:ascii="宋体" w:hAnsi="宋体" w:cs="宋体"/>
                <w:color w:val="000000"/>
                <w:sz w:val="18"/>
                <w:szCs w:val="18"/>
                <w:lang w:bidi="ar"/>
              </w:rPr>
              <w:t>营业收入</w:t>
            </w:r>
          </w:p>
        </w:tc>
        <w:tc>
          <w:tcPr>
            <w:tcW w:w="1097" w:type="dxa"/>
            <w:vAlign w:val="center"/>
          </w:tcPr>
          <w:p w14:paraId="13854E88">
            <w:pPr>
              <w:widowControl/>
              <w:spacing w:line="240" w:lineRule="exact"/>
              <w:rPr>
                <w:rFonts w:ascii="宋体" w:hAnsi="宋体" w:cs="宋体"/>
                <w:kern w:val="2"/>
                <w:sz w:val="18"/>
                <w:szCs w:val="18"/>
              </w:rPr>
            </w:pPr>
            <w:r>
              <w:rPr>
                <w:rFonts w:hint="eastAsia" w:ascii="宋体" w:hAnsi="宋体" w:cs="宋体"/>
                <w:kern w:val="2"/>
                <w:sz w:val="18"/>
                <w:szCs w:val="18"/>
              </w:rPr>
              <w:t>530亿元</w:t>
            </w:r>
          </w:p>
        </w:tc>
        <w:tc>
          <w:tcPr>
            <w:tcW w:w="1275" w:type="dxa"/>
            <w:vAlign w:val="center"/>
          </w:tcPr>
          <w:p w14:paraId="7C226137">
            <w:pPr>
              <w:widowControl/>
              <w:spacing w:line="240" w:lineRule="exact"/>
              <w:rPr>
                <w:rFonts w:ascii="宋体" w:hAnsi="宋体" w:cs="宋体"/>
                <w:kern w:val="2"/>
                <w:sz w:val="18"/>
                <w:szCs w:val="18"/>
              </w:rPr>
            </w:pPr>
            <w:r>
              <w:rPr>
                <w:rFonts w:hint="eastAsia" w:ascii="宋体" w:hAnsi="宋体" w:cs="宋体"/>
                <w:color w:val="000000"/>
                <w:sz w:val="18"/>
                <w:szCs w:val="18"/>
                <w:lang w:bidi="ar"/>
              </w:rPr>
              <w:t>1000亿元</w:t>
            </w:r>
          </w:p>
        </w:tc>
        <w:tc>
          <w:tcPr>
            <w:tcW w:w="1418" w:type="dxa"/>
            <w:vAlign w:val="center"/>
          </w:tcPr>
          <w:p w14:paraId="4DF86275">
            <w:pPr>
              <w:widowControl/>
              <w:spacing w:line="240" w:lineRule="exact"/>
              <w:rPr>
                <w:rFonts w:ascii="宋体" w:hAnsi="宋体" w:cs="宋体"/>
                <w:kern w:val="2"/>
                <w:sz w:val="18"/>
                <w:szCs w:val="18"/>
              </w:rPr>
            </w:pPr>
            <w:r>
              <w:rPr>
                <w:rFonts w:hint="eastAsia" w:ascii="宋体" w:hAnsi="宋体" w:cs="宋体"/>
                <w:color w:val="000000"/>
                <w:sz w:val="18"/>
                <w:szCs w:val="18"/>
                <w:lang w:bidi="ar"/>
              </w:rPr>
              <w:t>预期性</w:t>
            </w:r>
          </w:p>
        </w:tc>
        <w:tc>
          <w:tcPr>
            <w:tcW w:w="3462" w:type="dxa"/>
            <w:vAlign w:val="center"/>
          </w:tcPr>
          <w:p w14:paraId="4CE5F680">
            <w:pPr>
              <w:widowControl/>
              <w:spacing w:line="240" w:lineRule="exact"/>
              <w:rPr>
                <w:rFonts w:ascii="宋体" w:hAnsi="宋体" w:cs="宋体"/>
                <w:color w:val="000000"/>
                <w:sz w:val="18"/>
                <w:szCs w:val="18"/>
                <w:lang w:bidi="ar"/>
              </w:rPr>
            </w:pPr>
            <w:r>
              <w:rPr>
                <w:rFonts w:ascii="宋体" w:hAnsi="宋体" w:cs="宋体"/>
                <w:sz w:val="18"/>
                <w:szCs w:val="18"/>
              </w:rPr>
              <w:t>指园区内企业当年新增实现的主营业务收入总额</w:t>
            </w:r>
            <w:r>
              <w:rPr>
                <w:rFonts w:hint="eastAsia" w:ascii="宋体" w:hAnsi="宋体" w:cs="宋体"/>
                <w:sz w:val="18"/>
                <w:szCs w:val="18"/>
              </w:rPr>
              <w:t>。</w:t>
            </w:r>
          </w:p>
        </w:tc>
      </w:tr>
      <w:tr w14:paraId="4DE2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350" w:type="dxa"/>
            <w:vMerge w:val="continue"/>
            <w:vAlign w:val="center"/>
          </w:tcPr>
          <w:p w14:paraId="65E8627E">
            <w:pPr>
              <w:widowControl/>
              <w:spacing w:line="240" w:lineRule="exact"/>
              <w:rPr>
                <w:rFonts w:ascii="宋体" w:hAnsi="宋体" w:cs="宋体"/>
                <w:kern w:val="2"/>
                <w:sz w:val="18"/>
                <w:szCs w:val="18"/>
              </w:rPr>
            </w:pPr>
          </w:p>
        </w:tc>
        <w:tc>
          <w:tcPr>
            <w:tcW w:w="1943" w:type="dxa"/>
            <w:vAlign w:val="center"/>
          </w:tcPr>
          <w:p w14:paraId="1F177981">
            <w:pPr>
              <w:widowControl/>
              <w:spacing w:line="240" w:lineRule="exact"/>
              <w:rPr>
                <w:rFonts w:ascii="宋体" w:hAnsi="宋体" w:cs="宋体"/>
                <w:kern w:val="2"/>
                <w:sz w:val="18"/>
                <w:szCs w:val="18"/>
              </w:rPr>
            </w:pPr>
            <w:r>
              <w:rPr>
                <w:rFonts w:hint="eastAsia" w:ascii="宋体" w:hAnsi="宋体" w:cs="宋体"/>
                <w:color w:val="000000"/>
                <w:sz w:val="18"/>
                <w:szCs w:val="18"/>
                <w:lang w:bidi="ar"/>
              </w:rPr>
              <w:t>工业投资增速</w:t>
            </w:r>
          </w:p>
        </w:tc>
        <w:tc>
          <w:tcPr>
            <w:tcW w:w="1097" w:type="dxa"/>
            <w:vAlign w:val="center"/>
          </w:tcPr>
          <w:p w14:paraId="629D1BC2">
            <w:pPr>
              <w:widowControl/>
              <w:spacing w:line="240" w:lineRule="exact"/>
              <w:rPr>
                <w:rFonts w:ascii="宋体" w:hAnsi="宋体" w:cs="宋体"/>
                <w:kern w:val="2"/>
                <w:sz w:val="18"/>
                <w:szCs w:val="18"/>
              </w:rPr>
            </w:pPr>
            <w:r>
              <w:rPr>
                <w:rFonts w:hint="eastAsia" w:ascii="宋体" w:hAnsi="宋体" w:cs="宋体"/>
                <w:kern w:val="2"/>
                <w:sz w:val="18"/>
                <w:szCs w:val="18"/>
              </w:rPr>
              <w:t>32亿元</w:t>
            </w:r>
          </w:p>
        </w:tc>
        <w:tc>
          <w:tcPr>
            <w:tcW w:w="1275" w:type="dxa"/>
            <w:vAlign w:val="center"/>
          </w:tcPr>
          <w:p w14:paraId="403ECFC5">
            <w:pPr>
              <w:widowControl/>
              <w:spacing w:line="240" w:lineRule="exact"/>
              <w:rPr>
                <w:rFonts w:ascii="宋体" w:hAnsi="宋体" w:cs="宋体"/>
                <w:kern w:val="2"/>
                <w:sz w:val="18"/>
                <w:szCs w:val="18"/>
              </w:rPr>
            </w:pPr>
            <w:r>
              <w:rPr>
                <w:rFonts w:hint="eastAsia" w:ascii="宋体" w:hAnsi="宋体" w:cs="宋体"/>
                <w:color w:val="000000"/>
                <w:sz w:val="18"/>
                <w:szCs w:val="18"/>
                <w:lang w:bidi="ar"/>
              </w:rPr>
              <w:t>≥10%</w:t>
            </w:r>
          </w:p>
        </w:tc>
        <w:tc>
          <w:tcPr>
            <w:tcW w:w="1418" w:type="dxa"/>
            <w:vAlign w:val="center"/>
          </w:tcPr>
          <w:p w14:paraId="44B5A0CB">
            <w:pPr>
              <w:widowControl/>
              <w:spacing w:line="240" w:lineRule="exact"/>
              <w:rPr>
                <w:rFonts w:ascii="宋体" w:hAnsi="宋体" w:cs="宋体"/>
                <w:kern w:val="2"/>
                <w:sz w:val="18"/>
                <w:szCs w:val="18"/>
              </w:rPr>
            </w:pPr>
            <w:r>
              <w:rPr>
                <w:rFonts w:hint="eastAsia" w:ascii="宋体" w:hAnsi="宋体" w:cs="宋体"/>
                <w:color w:val="000000"/>
                <w:sz w:val="18"/>
                <w:szCs w:val="18"/>
                <w:lang w:bidi="ar"/>
              </w:rPr>
              <w:t>预期性</w:t>
            </w:r>
          </w:p>
        </w:tc>
        <w:tc>
          <w:tcPr>
            <w:tcW w:w="3462" w:type="dxa"/>
            <w:vAlign w:val="center"/>
          </w:tcPr>
          <w:p w14:paraId="06E658A0">
            <w:pPr>
              <w:widowControl/>
              <w:spacing w:line="240" w:lineRule="exact"/>
              <w:rPr>
                <w:rFonts w:ascii="宋体" w:hAnsi="宋体" w:cs="宋体"/>
                <w:color w:val="000000"/>
                <w:sz w:val="18"/>
                <w:szCs w:val="18"/>
                <w:lang w:bidi="ar"/>
              </w:rPr>
            </w:pPr>
            <w:r>
              <w:rPr>
                <w:rFonts w:ascii="宋体" w:hAnsi="宋体" w:cs="宋体"/>
                <w:sz w:val="18"/>
                <w:szCs w:val="18"/>
              </w:rPr>
              <w:t>指园区工业固定资产投资同比增长率。</w:t>
            </w:r>
          </w:p>
        </w:tc>
      </w:tr>
      <w:tr w14:paraId="560C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350" w:type="dxa"/>
            <w:vMerge w:val="continue"/>
            <w:vAlign w:val="center"/>
          </w:tcPr>
          <w:p w14:paraId="0D0E7E91">
            <w:pPr>
              <w:widowControl/>
              <w:spacing w:line="240" w:lineRule="exact"/>
              <w:rPr>
                <w:rFonts w:ascii="宋体" w:hAnsi="宋体" w:cs="宋体"/>
                <w:kern w:val="2"/>
                <w:sz w:val="18"/>
                <w:szCs w:val="18"/>
              </w:rPr>
            </w:pPr>
          </w:p>
        </w:tc>
        <w:tc>
          <w:tcPr>
            <w:tcW w:w="1943" w:type="dxa"/>
            <w:vAlign w:val="center"/>
          </w:tcPr>
          <w:p w14:paraId="001A3475">
            <w:pPr>
              <w:widowControl/>
              <w:spacing w:line="240" w:lineRule="exact"/>
              <w:rPr>
                <w:rFonts w:ascii="宋体" w:hAnsi="宋体" w:cs="宋体"/>
                <w:kern w:val="2"/>
                <w:sz w:val="18"/>
                <w:szCs w:val="18"/>
              </w:rPr>
            </w:pPr>
            <w:r>
              <w:rPr>
                <w:rFonts w:hint="eastAsia" w:ascii="宋体" w:hAnsi="宋体" w:cs="宋体"/>
                <w:color w:val="000000"/>
                <w:sz w:val="18"/>
                <w:szCs w:val="18"/>
                <w:lang w:bidi="ar"/>
              </w:rPr>
              <w:t>规上工业增加值增速</w:t>
            </w:r>
          </w:p>
        </w:tc>
        <w:tc>
          <w:tcPr>
            <w:tcW w:w="1097" w:type="dxa"/>
            <w:vAlign w:val="center"/>
          </w:tcPr>
          <w:p w14:paraId="085B0D54">
            <w:pPr>
              <w:widowControl/>
              <w:spacing w:line="240" w:lineRule="exact"/>
              <w:rPr>
                <w:rFonts w:ascii="宋体" w:hAnsi="宋体" w:cs="宋体"/>
                <w:kern w:val="2"/>
                <w:sz w:val="18"/>
                <w:szCs w:val="18"/>
              </w:rPr>
            </w:pPr>
            <w:r>
              <w:rPr>
                <w:rFonts w:hint="eastAsia" w:ascii="宋体" w:hAnsi="宋体" w:cs="宋体"/>
                <w:kern w:val="2"/>
                <w:sz w:val="18"/>
                <w:szCs w:val="18"/>
              </w:rPr>
              <w:t>24.6亿元</w:t>
            </w:r>
          </w:p>
        </w:tc>
        <w:tc>
          <w:tcPr>
            <w:tcW w:w="1275" w:type="dxa"/>
            <w:vAlign w:val="center"/>
          </w:tcPr>
          <w:p w14:paraId="281AF210">
            <w:pPr>
              <w:widowControl/>
              <w:spacing w:line="240" w:lineRule="exact"/>
              <w:rPr>
                <w:rFonts w:ascii="宋体" w:hAnsi="宋体" w:cs="宋体"/>
                <w:kern w:val="2"/>
                <w:sz w:val="18"/>
                <w:szCs w:val="18"/>
              </w:rPr>
            </w:pPr>
            <w:r>
              <w:rPr>
                <w:rFonts w:hint="eastAsia" w:ascii="宋体" w:hAnsi="宋体" w:cs="宋体"/>
                <w:color w:val="000000"/>
                <w:sz w:val="18"/>
                <w:szCs w:val="18"/>
                <w:lang w:bidi="ar"/>
              </w:rPr>
              <w:t>≥10%</w:t>
            </w:r>
          </w:p>
        </w:tc>
        <w:tc>
          <w:tcPr>
            <w:tcW w:w="1418" w:type="dxa"/>
            <w:vAlign w:val="center"/>
          </w:tcPr>
          <w:p w14:paraId="2CC5078D">
            <w:pPr>
              <w:widowControl/>
              <w:spacing w:line="240" w:lineRule="exact"/>
              <w:rPr>
                <w:rFonts w:ascii="宋体" w:hAnsi="宋体" w:cs="宋体"/>
                <w:kern w:val="2"/>
                <w:sz w:val="18"/>
                <w:szCs w:val="18"/>
              </w:rPr>
            </w:pPr>
            <w:r>
              <w:rPr>
                <w:rFonts w:hint="eastAsia" w:ascii="宋体" w:hAnsi="宋体" w:cs="宋体"/>
                <w:color w:val="000000"/>
                <w:sz w:val="18"/>
                <w:szCs w:val="18"/>
                <w:lang w:bidi="ar"/>
              </w:rPr>
              <w:t>预期性</w:t>
            </w:r>
          </w:p>
        </w:tc>
        <w:tc>
          <w:tcPr>
            <w:tcW w:w="3462" w:type="dxa"/>
            <w:vAlign w:val="center"/>
          </w:tcPr>
          <w:p w14:paraId="1DBF7C36">
            <w:pPr>
              <w:widowControl/>
              <w:spacing w:line="240" w:lineRule="exact"/>
              <w:rPr>
                <w:rFonts w:ascii="宋体" w:hAnsi="宋体" w:cs="宋体"/>
                <w:color w:val="000000"/>
                <w:sz w:val="18"/>
                <w:szCs w:val="18"/>
                <w:lang w:bidi="ar"/>
              </w:rPr>
            </w:pPr>
            <w:r>
              <w:rPr>
                <w:rFonts w:ascii="宋体" w:hAnsi="宋体" w:cs="宋体"/>
                <w:sz w:val="18"/>
                <w:szCs w:val="18"/>
              </w:rPr>
              <w:t>指规模以上工业企业增加值同比增速。</w:t>
            </w:r>
          </w:p>
        </w:tc>
      </w:tr>
      <w:tr w14:paraId="2040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50" w:type="dxa"/>
            <w:vMerge w:val="restart"/>
            <w:vAlign w:val="center"/>
          </w:tcPr>
          <w:p w14:paraId="47F33AD0">
            <w:pPr>
              <w:widowControl/>
              <w:spacing w:line="240" w:lineRule="exact"/>
              <w:rPr>
                <w:rFonts w:ascii="宋体" w:hAnsi="宋体" w:cs="宋体"/>
                <w:kern w:val="2"/>
                <w:sz w:val="18"/>
                <w:szCs w:val="18"/>
              </w:rPr>
            </w:pPr>
            <w:r>
              <w:rPr>
                <w:rFonts w:hint="eastAsia" w:ascii="宋体" w:hAnsi="宋体" w:cs="宋体"/>
                <w:kern w:val="2"/>
                <w:sz w:val="18"/>
                <w:szCs w:val="18"/>
              </w:rPr>
              <w:t>产业发展指标</w:t>
            </w:r>
          </w:p>
        </w:tc>
        <w:tc>
          <w:tcPr>
            <w:tcW w:w="1943" w:type="dxa"/>
            <w:vAlign w:val="center"/>
          </w:tcPr>
          <w:p w14:paraId="59242736">
            <w:pPr>
              <w:widowControl/>
              <w:spacing w:line="240" w:lineRule="exact"/>
              <w:rPr>
                <w:rFonts w:ascii="宋体" w:hAnsi="宋体" w:cs="宋体"/>
                <w:kern w:val="2"/>
                <w:sz w:val="18"/>
                <w:szCs w:val="18"/>
              </w:rPr>
            </w:pPr>
            <w:r>
              <w:rPr>
                <w:rFonts w:hint="eastAsia" w:ascii="宋体" w:hAnsi="宋体" w:cs="宋体"/>
                <w:color w:val="000000"/>
                <w:sz w:val="18"/>
                <w:szCs w:val="18"/>
                <w:lang w:bidi="ar"/>
              </w:rPr>
              <w:t>四大产业集群总产值</w:t>
            </w:r>
          </w:p>
        </w:tc>
        <w:tc>
          <w:tcPr>
            <w:tcW w:w="1097" w:type="dxa"/>
            <w:vAlign w:val="center"/>
          </w:tcPr>
          <w:p w14:paraId="5B0120CD">
            <w:pPr>
              <w:widowControl/>
              <w:spacing w:line="240" w:lineRule="exact"/>
              <w:rPr>
                <w:rFonts w:ascii="宋体" w:hAnsi="宋体" w:cs="宋体"/>
                <w:kern w:val="2"/>
                <w:sz w:val="18"/>
                <w:szCs w:val="18"/>
              </w:rPr>
            </w:pPr>
            <w:r>
              <w:rPr>
                <w:rFonts w:hint="eastAsia" w:ascii="宋体" w:hAnsi="宋体" w:cs="宋体"/>
                <w:kern w:val="2"/>
                <w:sz w:val="18"/>
                <w:szCs w:val="18"/>
              </w:rPr>
              <w:t>130亿元</w:t>
            </w:r>
          </w:p>
        </w:tc>
        <w:tc>
          <w:tcPr>
            <w:tcW w:w="1275" w:type="dxa"/>
            <w:vAlign w:val="center"/>
          </w:tcPr>
          <w:p w14:paraId="55543EAD">
            <w:pPr>
              <w:widowControl/>
              <w:spacing w:line="240" w:lineRule="exact"/>
              <w:rPr>
                <w:rFonts w:ascii="宋体" w:hAnsi="宋体" w:cs="宋体"/>
                <w:kern w:val="2"/>
                <w:sz w:val="18"/>
                <w:szCs w:val="18"/>
              </w:rPr>
            </w:pPr>
            <w:r>
              <w:rPr>
                <w:rFonts w:hint="eastAsia" w:ascii="宋体" w:hAnsi="宋体" w:cs="宋体"/>
                <w:kern w:val="2"/>
                <w:sz w:val="18"/>
                <w:szCs w:val="18"/>
              </w:rPr>
              <w:t>400</w:t>
            </w:r>
          </w:p>
        </w:tc>
        <w:tc>
          <w:tcPr>
            <w:tcW w:w="1418" w:type="dxa"/>
            <w:vAlign w:val="center"/>
          </w:tcPr>
          <w:p w14:paraId="1BF54366">
            <w:pPr>
              <w:widowControl/>
              <w:spacing w:line="240" w:lineRule="exact"/>
              <w:rPr>
                <w:rFonts w:ascii="宋体" w:hAnsi="宋体" w:cs="宋体"/>
                <w:kern w:val="2"/>
                <w:sz w:val="18"/>
                <w:szCs w:val="18"/>
              </w:rPr>
            </w:pPr>
            <w:r>
              <w:rPr>
                <w:rFonts w:hint="eastAsia" w:ascii="宋体" w:hAnsi="宋体" w:cs="宋体"/>
                <w:color w:val="000000"/>
                <w:sz w:val="18"/>
                <w:szCs w:val="18"/>
                <w:lang w:bidi="ar"/>
              </w:rPr>
              <w:t>预期性</w:t>
            </w:r>
          </w:p>
        </w:tc>
        <w:tc>
          <w:tcPr>
            <w:tcW w:w="3462" w:type="dxa"/>
            <w:vAlign w:val="center"/>
          </w:tcPr>
          <w:p w14:paraId="2B275DA6">
            <w:pPr>
              <w:widowControl/>
              <w:spacing w:line="240" w:lineRule="exact"/>
              <w:rPr>
                <w:rFonts w:ascii="宋体" w:hAnsi="宋体" w:cs="宋体"/>
                <w:color w:val="000000"/>
                <w:sz w:val="18"/>
                <w:szCs w:val="18"/>
                <w:lang w:bidi="ar"/>
              </w:rPr>
            </w:pPr>
            <w:r>
              <w:rPr>
                <w:rFonts w:ascii="宋体" w:hAnsi="宋体" w:cs="宋体"/>
                <w:sz w:val="18"/>
                <w:szCs w:val="18"/>
              </w:rPr>
              <w:t>指电子信息、新能源、高端装备制造、生物医药四大产业集群实现的工业总产值。</w:t>
            </w:r>
          </w:p>
        </w:tc>
      </w:tr>
      <w:tr w14:paraId="1B86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350" w:type="dxa"/>
            <w:vMerge w:val="continue"/>
            <w:vAlign w:val="center"/>
          </w:tcPr>
          <w:p w14:paraId="61FA61E5">
            <w:pPr>
              <w:widowControl/>
              <w:spacing w:line="240" w:lineRule="exact"/>
              <w:rPr>
                <w:rFonts w:ascii="宋体" w:hAnsi="宋体" w:cs="宋体"/>
                <w:kern w:val="2"/>
                <w:sz w:val="18"/>
                <w:szCs w:val="18"/>
              </w:rPr>
            </w:pPr>
          </w:p>
        </w:tc>
        <w:tc>
          <w:tcPr>
            <w:tcW w:w="1943" w:type="dxa"/>
            <w:vAlign w:val="center"/>
          </w:tcPr>
          <w:p w14:paraId="5D8A68A1">
            <w:pPr>
              <w:widowControl/>
              <w:spacing w:line="240" w:lineRule="exact"/>
              <w:rPr>
                <w:rFonts w:ascii="宋体" w:hAnsi="宋体" w:cs="宋体"/>
                <w:kern w:val="2"/>
                <w:sz w:val="18"/>
                <w:szCs w:val="18"/>
              </w:rPr>
            </w:pPr>
            <w:r>
              <w:rPr>
                <w:rFonts w:hint="eastAsia" w:ascii="宋体" w:hAnsi="宋体" w:cs="宋体"/>
                <w:kern w:val="2"/>
                <w:sz w:val="18"/>
                <w:szCs w:val="18"/>
              </w:rPr>
              <w:t>现代服务业营业收入</w:t>
            </w:r>
          </w:p>
        </w:tc>
        <w:tc>
          <w:tcPr>
            <w:tcW w:w="1097" w:type="dxa"/>
            <w:vAlign w:val="center"/>
          </w:tcPr>
          <w:p w14:paraId="21DCCB8C">
            <w:pPr>
              <w:widowControl/>
              <w:spacing w:line="240" w:lineRule="exact"/>
              <w:rPr>
                <w:rFonts w:ascii="宋体" w:hAnsi="宋体" w:cs="宋体"/>
                <w:kern w:val="2"/>
                <w:sz w:val="18"/>
                <w:szCs w:val="18"/>
              </w:rPr>
            </w:pPr>
            <w:r>
              <w:rPr>
                <w:rFonts w:hint="eastAsia" w:ascii="宋体" w:hAnsi="宋体" w:cs="宋体"/>
                <w:kern w:val="2"/>
                <w:sz w:val="18"/>
                <w:szCs w:val="18"/>
              </w:rPr>
              <w:t>141亿元</w:t>
            </w:r>
          </w:p>
        </w:tc>
        <w:tc>
          <w:tcPr>
            <w:tcW w:w="1275" w:type="dxa"/>
            <w:vAlign w:val="center"/>
          </w:tcPr>
          <w:p w14:paraId="2E797248">
            <w:pPr>
              <w:widowControl/>
              <w:spacing w:line="240" w:lineRule="exact"/>
              <w:rPr>
                <w:rFonts w:ascii="宋体" w:hAnsi="宋体" w:cs="宋体"/>
                <w:kern w:val="2"/>
                <w:sz w:val="18"/>
                <w:szCs w:val="18"/>
              </w:rPr>
            </w:pPr>
            <w:r>
              <w:rPr>
                <w:rFonts w:hint="eastAsia" w:ascii="宋体" w:hAnsi="宋体" w:cs="宋体"/>
                <w:kern w:val="2"/>
                <w:sz w:val="18"/>
                <w:szCs w:val="18"/>
              </w:rPr>
              <w:t>300</w:t>
            </w:r>
          </w:p>
        </w:tc>
        <w:tc>
          <w:tcPr>
            <w:tcW w:w="1418" w:type="dxa"/>
            <w:vAlign w:val="center"/>
          </w:tcPr>
          <w:p w14:paraId="04220562">
            <w:pPr>
              <w:widowControl/>
              <w:spacing w:line="240" w:lineRule="exact"/>
              <w:rPr>
                <w:rFonts w:ascii="宋体" w:hAnsi="宋体" w:cs="宋体"/>
                <w:kern w:val="2"/>
                <w:sz w:val="18"/>
                <w:szCs w:val="18"/>
              </w:rPr>
            </w:pPr>
            <w:r>
              <w:rPr>
                <w:rFonts w:hint="eastAsia" w:ascii="宋体" w:hAnsi="宋体" w:cs="宋体"/>
                <w:kern w:val="2"/>
                <w:sz w:val="18"/>
                <w:szCs w:val="18"/>
              </w:rPr>
              <w:t>预期性</w:t>
            </w:r>
          </w:p>
        </w:tc>
        <w:tc>
          <w:tcPr>
            <w:tcW w:w="3462" w:type="dxa"/>
            <w:vAlign w:val="center"/>
          </w:tcPr>
          <w:p w14:paraId="2835302F">
            <w:pPr>
              <w:widowControl/>
              <w:spacing w:line="240" w:lineRule="exact"/>
              <w:rPr>
                <w:rFonts w:ascii="宋体" w:hAnsi="宋体" w:cs="宋体"/>
                <w:kern w:val="2"/>
                <w:sz w:val="18"/>
                <w:szCs w:val="18"/>
              </w:rPr>
            </w:pPr>
            <w:r>
              <w:rPr>
                <w:rFonts w:ascii="宋体" w:hAnsi="宋体" w:cs="宋体"/>
                <w:sz w:val="18"/>
                <w:szCs w:val="18"/>
              </w:rPr>
              <w:t>指园区内生产性服务业和新兴服务业企业实现的营业收入总额。</w:t>
            </w:r>
          </w:p>
        </w:tc>
      </w:tr>
      <w:tr w14:paraId="0C16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vMerge w:val="continue"/>
            <w:vAlign w:val="center"/>
          </w:tcPr>
          <w:p w14:paraId="07ABB244">
            <w:pPr>
              <w:widowControl/>
              <w:spacing w:line="240" w:lineRule="exact"/>
              <w:rPr>
                <w:rFonts w:ascii="宋体" w:hAnsi="宋体" w:cs="宋体"/>
                <w:kern w:val="2"/>
                <w:sz w:val="18"/>
                <w:szCs w:val="18"/>
              </w:rPr>
            </w:pPr>
          </w:p>
        </w:tc>
        <w:tc>
          <w:tcPr>
            <w:tcW w:w="1943" w:type="dxa"/>
            <w:vAlign w:val="center"/>
          </w:tcPr>
          <w:p w14:paraId="60E29572">
            <w:pPr>
              <w:widowControl/>
              <w:spacing w:line="240" w:lineRule="exact"/>
              <w:rPr>
                <w:rFonts w:ascii="宋体" w:hAnsi="宋体" w:cs="宋体"/>
                <w:kern w:val="2"/>
                <w:sz w:val="18"/>
                <w:szCs w:val="18"/>
              </w:rPr>
            </w:pPr>
            <w:r>
              <w:rPr>
                <w:rFonts w:hint="eastAsia" w:ascii="宋体" w:hAnsi="宋体" w:cs="宋体"/>
                <w:kern w:val="2"/>
                <w:sz w:val="18"/>
                <w:szCs w:val="18"/>
              </w:rPr>
              <w:t>规模以上战新产业增加值增速</w:t>
            </w:r>
          </w:p>
        </w:tc>
        <w:tc>
          <w:tcPr>
            <w:tcW w:w="1097" w:type="dxa"/>
            <w:vAlign w:val="center"/>
          </w:tcPr>
          <w:p w14:paraId="6F8C1FD6">
            <w:pPr>
              <w:widowControl/>
              <w:spacing w:line="240" w:lineRule="exact"/>
              <w:rPr>
                <w:rFonts w:ascii="宋体" w:hAnsi="宋体" w:cs="宋体"/>
                <w:kern w:val="2"/>
                <w:sz w:val="18"/>
                <w:szCs w:val="18"/>
              </w:rPr>
            </w:pPr>
            <w:r>
              <w:rPr>
                <w:rFonts w:hint="eastAsia" w:ascii="宋体" w:hAnsi="宋体" w:cs="宋体"/>
                <w:kern w:val="2"/>
                <w:sz w:val="18"/>
                <w:szCs w:val="18"/>
              </w:rPr>
              <w:t>-4.5%</w:t>
            </w:r>
          </w:p>
        </w:tc>
        <w:tc>
          <w:tcPr>
            <w:tcW w:w="1275" w:type="dxa"/>
            <w:vAlign w:val="center"/>
          </w:tcPr>
          <w:p w14:paraId="6DAE4462">
            <w:pPr>
              <w:widowControl/>
              <w:spacing w:line="240" w:lineRule="exact"/>
              <w:rPr>
                <w:rFonts w:ascii="宋体" w:hAnsi="宋体" w:cs="宋体"/>
                <w:kern w:val="2"/>
                <w:sz w:val="18"/>
                <w:szCs w:val="18"/>
              </w:rPr>
            </w:pPr>
            <w:r>
              <w:rPr>
                <w:rFonts w:hint="eastAsia" w:ascii="宋体" w:hAnsi="宋体" w:cs="宋体"/>
                <w:kern w:val="2"/>
                <w:sz w:val="18"/>
                <w:szCs w:val="18"/>
              </w:rPr>
              <w:t>年均增速10%</w:t>
            </w:r>
          </w:p>
        </w:tc>
        <w:tc>
          <w:tcPr>
            <w:tcW w:w="1418" w:type="dxa"/>
            <w:vAlign w:val="center"/>
          </w:tcPr>
          <w:p w14:paraId="51825651">
            <w:pPr>
              <w:widowControl/>
              <w:spacing w:line="240" w:lineRule="exact"/>
              <w:rPr>
                <w:rFonts w:ascii="宋体" w:hAnsi="宋体" w:cs="宋体"/>
                <w:kern w:val="2"/>
                <w:sz w:val="18"/>
                <w:szCs w:val="18"/>
              </w:rPr>
            </w:pPr>
            <w:r>
              <w:rPr>
                <w:rFonts w:hint="eastAsia" w:ascii="宋体" w:hAnsi="宋体" w:cs="宋体"/>
                <w:color w:val="000000"/>
                <w:sz w:val="18"/>
                <w:szCs w:val="18"/>
                <w:lang w:bidi="ar"/>
              </w:rPr>
              <w:t>预期性</w:t>
            </w:r>
          </w:p>
        </w:tc>
        <w:tc>
          <w:tcPr>
            <w:tcW w:w="3462" w:type="dxa"/>
            <w:vAlign w:val="center"/>
          </w:tcPr>
          <w:p w14:paraId="10363EDD">
            <w:pPr>
              <w:widowControl/>
              <w:spacing w:line="240" w:lineRule="exact"/>
              <w:rPr>
                <w:rFonts w:ascii="宋体" w:hAnsi="宋体" w:cs="宋体"/>
                <w:color w:val="000000"/>
                <w:sz w:val="18"/>
                <w:szCs w:val="18"/>
                <w:lang w:bidi="ar"/>
              </w:rPr>
            </w:pPr>
            <w:r>
              <w:rPr>
                <w:rFonts w:ascii="宋体" w:hAnsi="宋体" w:cs="宋体"/>
                <w:sz w:val="18"/>
                <w:szCs w:val="18"/>
              </w:rPr>
              <w:t>指规模以上战略性新兴产业增加值年均增长水平</w:t>
            </w:r>
            <w:r>
              <w:rPr>
                <w:rFonts w:hint="eastAsia" w:ascii="宋体" w:hAnsi="宋体" w:cs="宋体"/>
                <w:sz w:val="18"/>
                <w:szCs w:val="18"/>
              </w:rPr>
              <w:t>。</w:t>
            </w:r>
          </w:p>
        </w:tc>
      </w:tr>
      <w:tr w14:paraId="4A36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50" w:type="dxa"/>
            <w:vMerge w:val="restart"/>
            <w:vAlign w:val="center"/>
          </w:tcPr>
          <w:p w14:paraId="531A2404">
            <w:pPr>
              <w:widowControl/>
              <w:spacing w:line="240" w:lineRule="exact"/>
              <w:rPr>
                <w:rFonts w:ascii="宋体" w:hAnsi="宋体" w:cs="宋体"/>
                <w:kern w:val="2"/>
                <w:sz w:val="18"/>
                <w:szCs w:val="18"/>
              </w:rPr>
            </w:pPr>
            <w:r>
              <w:rPr>
                <w:rFonts w:hint="eastAsia" w:ascii="宋体" w:hAnsi="宋体" w:cs="宋体"/>
                <w:kern w:val="2"/>
                <w:sz w:val="18"/>
                <w:szCs w:val="18"/>
              </w:rPr>
              <w:t>创新发展指标</w:t>
            </w:r>
          </w:p>
        </w:tc>
        <w:tc>
          <w:tcPr>
            <w:tcW w:w="1943" w:type="dxa"/>
            <w:vAlign w:val="center"/>
          </w:tcPr>
          <w:p w14:paraId="2CE48DAA">
            <w:pPr>
              <w:widowControl/>
              <w:spacing w:line="240" w:lineRule="exact"/>
              <w:rPr>
                <w:rFonts w:ascii="宋体" w:hAnsi="宋体" w:cs="宋体"/>
                <w:kern w:val="2"/>
                <w:sz w:val="18"/>
                <w:szCs w:val="18"/>
              </w:rPr>
            </w:pPr>
            <w:r>
              <w:rPr>
                <w:rFonts w:hint="eastAsia" w:ascii="宋体" w:hAnsi="宋体" w:cs="宋体"/>
                <w:color w:val="000000"/>
                <w:sz w:val="18"/>
                <w:szCs w:val="18"/>
                <w:lang w:bidi="ar"/>
              </w:rPr>
              <w:t>研发经费投入强度</w:t>
            </w:r>
          </w:p>
        </w:tc>
        <w:tc>
          <w:tcPr>
            <w:tcW w:w="1097" w:type="dxa"/>
            <w:vAlign w:val="center"/>
          </w:tcPr>
          <w:p w14:paraId="571B6EED">
            <w:pPr>
              <w:widowControl/>
              <w:spacing w:line="240" w:lineRule="exact"/>
              <w:rPr>
                <w:rFonts w:ascii="宋体" w:hAnsi="宋体" w:cs="宋体"/>
                <w:kern w:val="2"/>
                <w:sz w:val="18"/>
                <w:szCs w:val="18"/>
              </w:rPr>
            </w:pPr>
            <w:r>
              <w:rPr>
                <w:rFonts w:hint="eastAsia" w:ascii="宋体" w:hAnsi="宋体" w:cs="宋体"/>
                <w:color w:val="000000"/>
                <w:sz w:val="18"/>
                <w:szCs w:val="18"/>
                <w:lang w:bidi="ar"/>
              </w:rPr>
              <w:t>0.2%</w:t>
            </w:r>
          </w:p>
        </w:tc>
        <w:tc>
          <w:tcPr>
            <w:tcW w:w="1275" w:type="dxa"/>
            <w:vAlign w:val="center"/>
          </w:tcPr>
          <w:p w14:paraId="527B4E77">
            <w:pPr>
              <w:widowControl/>
              <w:spacing w:line="240" w:lineRule="exact"/>
              <w:rPr>
                <w:rFonts w:ascii="宋体" w:hAnsi="宋体" w:cs="宋体"/>
                <w:kern w:val="2"/>
                <w:sz w:val="18"/>
                <w:szCs w:val="18"/>
              </w:rPr>
            </w:pPr>
            <w:r>
              <w:rPr>
                <w:rFonts w:hint="eastAsia" w:ascii="宋体" w:hAnsi="宋体" w:cs="宋体"/>
                <w:kern w:val="2"/>
                <w:sz w:val="18"/>
                <w:szCs w:val="18"/>
              </w:rPr>
              <w:t>高于全省平均水平</w:t>
            </w:r>
          </w:p>
        </w:tc>
        <w:tc>
          <w:tcPr>
            <w:tcW w:w="1418" w:type="dxa"/>
            <w:vAlign w:val="center"/>
          </w:tcPr>
          <w:p w14:paraId="5F7E194C">
            <w:pPr>
              <w:widowControl/>
              <w:spacing w:line="240" w:lineRule="exact"/>
              <w:rPr>
                <w:rFonts w:ascii="宋体" w:hAnsi="宋体" w:cs="宋体"/>
                <w:kern w:val="2"/>
                <w:sz w:val="18"/>
                <w:szCs w:val="18"/>
              </w:rPr>
            </w:pPr>
            <w:r>
              <w:rPr>
                <w:rFonts w:hint="eastAsia" w:ascii="宋体" w:hAnsi="宋体" w:cs="宋体"/>
                <w:color w:val="000000"/>
                <w:sz w:val="18"/>
                <w:szCs w:val="18"/>
                <w:lang w:bidi="ar"/>
              </w:rPr>
              <w:t>预期性</w:t>
            </w:r>
          </w:p>
        </w:tc>
        <w:tc>
          <w:tcPr>
            <w:tcW w:w="3462" w:type="dxa"/>
            <w:vAlign w:val="center"/>
          </w:tcPr>
          <w:p w14:paraId="039D724C">
            <w:pPr>
              <w:widowControl/>
              <w:spacing w:line="240" w:lineRule="exact"/>
              <w:rPr>
                <w:rFonts w:ascii="宋体" w:hAnsi="宋体" w:cs="宋体"/>
                <w:color w:val="000000"/>
                <w:sz w:val="18"/>
                <w:szCs w:val="18"/>
                <w:lang w:bidi="ar"/>
              </w:rPr>
            </w:pPr>
            <w:r>
              <w:rPr>
                <w:rFonts w:ascii="宋体" w:hAnsi="宋体" w:cs="宋体"/>
                <w:sz w:val="18"/>
                <w:szCs w:val="18"/>
              </w:rPr>
              <w:t>指园区全社会研发经费支出占地区生产总值比重</w:t>
            </w:r>
            <w:r>
              <w:rPr>
                <w:rFonts w:hint="eastAsia" w:ascii="宋体" w:hAnsi="宋体" w:cs="宋体"/>
                <w:sz w:val="18"/>
                <w:szCs w:val="18"/>
              </w:rPr>
              <w:t>。</w:t>
            </w:r>
          </w:p>
        </w:tc>
      </w:tr>
      <w:tr w14:paraId="7AC1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350" w:type="dxa"/>
            <w:vMerge w:val="continue"/>
            <w:vAlign w:val="center"/>
          </w:tcPr>
          <w:p w14:paraId="27EBFBB3">
            <w:pPr>
              <w:widowControl/>
              <w:spacing w:line="240" w:lineRule="exact"/>
              <w:rPr>
                <w:rFonts w:ascii="宋体" w:hAnsi="宋体" w:cs="宋体"/>
                <w:kern w:val="2"/>
                <w:sz w:val="18"/>
                <w:szCs w:val="18"/>
              </w:rPr>
            </w:pPr>
          </w:p>
        </w:tc>
        <w:tc>
          <w:tcPr>
            <w:tcW w:w="1943" w:type="dxa"/>
            <w:vAlign w:val="center"/>
          </w:tcPr>
          <w:p w14:paraId="2323D606">
            <w:pPr>
              <w:widowControl/>
              <w:spacing w:line="240" w:lineRule="exact"/>
              <w:rPr>
                <w:rFonts w:ascii="宋体" w:hAnsi="宋体" w:cs="宋体"/>
                <w:color w:val="000000"/>
                <w:kern w:val="2"/>
                <w:sz w:val="18"/>
                <w:szCs w:val="18"/>
              </w:rPr>
            </w:pPr>
            <w:r>
              <w:rPr>
                <w:rFonts w:hint="eastAsia" w:ascii="宋体" w:hAnsi="宋体" w:cs="宋体"/>
                <w:color w:val="000000"/>
                <w:sz w:val="18"/>
                <w:szCs w:val="18"/>
                <w:lang w:bidi="ar"/>
              </w:rPr>
              <w:t>省级以上研发平台数量</w:t>
            </w:r>
          </w:p>
        </w:tc>
        <w:tc>
          <w:tcPr>
            <w:tcW w:w="1097" w:type="dxa"/>
            <w:vAlign w:val="center"/>
          </w:tcPr>
          <w:p w14:paraId="30D66F69">
            <w:pPr>
              <w:widowControl/>
              <w:spacing w:line="240" w:lineRule="exact"/>
              <w:rPr>
                <w:rFonts w:ascii="宋体" w:hAnsi="宋体" w:cs="宋体"/>
                <w:color w:val="000000"/>
                <w:kern w:val="2"/>
                <w:sz w:val="18"/>
                <w:szCs w:val="18"/>
              </w:rPr>
            </w:pPr>
            <w:r>
              <w:rPr>
                <w:rFonts w:hint="eastAsia" w:ascii="宋体" w:hAnsi="宋体" w:cs="宋体"/>
                <w:color w:val="000000"/>
                <w:sz w:val="18"/>
                <w:szCs w:val="18"/>
                <w:lang w:bidi="ar"/>
              </w:rPr>
              <w:t>21个</w:t>
            </w:r>
          </w:p>
        </w:tc>
        <w:tc>
          <w:tcPr>
            <w:tcW w:w="1275" w:type="dxa"/>
            <w:vAlign w:val="center"/>
          </w:tcPr>
          <w:p w14:paraId="2D7CD0B5">
            <w:pPr>
              <w:widowControl/>
              <w:spacing w:line="240" w:lineRule="exact"/>
              <w:rPr>
                <w:rFonts w:ascii="宋体" w:hAnsi="宋体" w:cs="宋体"/>
                <w:color w:val="000000"/>
                <w:kern w:val="2"/>
                <w:sz w:val="18"/>
                <w:szCs w:val="18"/>
              </w:rPr>
            </w:pPr>
            <w:r>
              <w:rPr>
                <w:rFonts w:hint="eastAsia" w:ascii="宋体" w:hAnsi="宋体" w:cs="宋体"/>
                <w:color w:val="000000"/>
                <w:kern w:val="2"/>
                <w:sz w:val="18"/>
                <w:szCs w:val="18"/>
              </w:rPr>
              <w:t>31个</w:t>
            </w:r>
          </w:p>
        </w:tc>
        <w:tc>
          <w:tcPr>
            <w:tcW w:w="1418" w:type="dxa"/>
            <w:vAlign w:val="center"/>
          </w:tcPr>
          <w:p w14:paraId="285F871F">
            <w:pPr>
              <w:widowControl/>
              <w:spacing w:line="240" w:lineRule="exact"/>
              <w:rPr>
                <w:rFonts w:ascii="宋体" w:hAnsi="宋体" w:cs="宋体"/>
                <w:kern w:val="2"/>
                <w:sz w:val="18"/>
                <w:szCs w:val="18"/>
              </w:rPr>
            </w:pPr>
            <w:r>
              <w:rPr>
                <w:rFonts w:hint="eastAsia" w:ascii="宋体" w:hAnsi="宋体" w:cs="宋体"/>
                <w:color w:val="000000"/>
                <w:sz w:val="18"/>
                <w:szCs w:val="18"/>
                <w:lang w:bidi="ar"/>
              </w:rPr>
              <w:t>预期性</w:t>
            </w:r>
          </w:p>
        </w:tc>
        <w:tc>
          <w:tcPr>
            <w:tcW w:w="3462" w:type="dxa"/>
            <w:vAlign w:val="center"/>
          </w:tcPr>
          <w:p w14:paraId="73CF8228">
            <w:pPr>
              <w:widowControl/>
              <w:spacing w:line="240" w:lineRule="exact"/>
              <w:rPr>
                <w:rFonts w:ascii="宋体" w:hAnsi="宋体" w:cs="宋体"/>
                <w:color w:val="000000"/>
                <w:sz w:val="18"/>
                <w:szCs w:val="18"/>
                <w:lang w:bidi="ar"/>
              </w:rPr>
            </w:pPr>
            <w:r>
              <w:rPr>
                <w:rFonts w:ascii="宋体" w:hAnsi="宋体" w:cs="宋体"/>
                <w:sz w:val="18"/>
                <w:szCs w:val="18"/>
              </w:rPr>
              <w:t>指获批的省级及以上重点实验室、技术创新中心、工程研究中心、新型研发机构等平台数量。</w:t>
            </w:r>
          </w:p>
        </w:tc>
      </w:tr>
      <w:tr w14:paraId="41A8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350" w:type="dxa"/>
            <w:vMerge w:val="continue"/>
            <w:vAlign w:val="center"/>
          </w:tcPr>
          <w:p w14:paraId="5EFB54E0">
            <w:pPr>
              <w:widowControl/>
              <w:spacing w:line="240" w:lineRule="exact"/>
              <w:rPr>
                <w:rFonts w:ascii="宋体" w:hAnsi="宋体" w:cs="宋体"/>
                <w:kern w:val="2"/>
                <w:sz w:val="18"/>
                <w:szCs w:val="18"/>
              </w:rPr>
            </w:pPr>
          </w:p>
        </w:tc>
        <w:tc>
          <w:tcPr>
            <w:tcW w:w="1943" w:type="dxa"/>
            <w:vAlign w:val="center"/>
          </w:tcPr>
          <w:p w14:paraId="6AF408B0">
            <w:pPr>
              <w:widowControl/>
              <w:spacing w:line="240" w:lineRule="exact"/>
              <w:rPr>
                <w:rFonts w:ascii="宋体" w:hAnsi="宋体" w:cs="宋体"/>
                <w:color w:val="000000"/>
                <w:sz w:val="18"/>
                <w:szCs w:val="18"/>
                <w:lang w:bidi="ar"/>
              </w:rPr>
            </w:pPr>
            <w:r>
              <w:rPr>
                <w:rFonts w:hint="eastAsia" w:ascii="宋体" w:hAnsi="宋体" w:cs="宋体"/>
                <w:color w:val="000000"/>
                <w:sz w:val="18"/>
                <w:szCs w:val="18"/>
                <w:lang w:bidi="ar"/>
              </w:rPr>
              <w:t>高新技术企业数量</w:t>
            </w:r>
          </w:p>
        </w:tc>
        <w:tc>
          <w:tcPr>
            <w:tcW w:w="1097" w:type="dxa"/>
            <w:vAlign w:val="center"/>
          </w:tcPr>
          <w:p w14:paraId="2EFE36AF">
            <w:pPr>
              <w:widowControl/>
              <w:spacing w:line="240" w:lineRule="exact"/>
              <w:rPr>
                <w:rFonts w:ascii="宋体" w:hAnsi="宋体" w:cs="宋体"/>
                <w:color w:val="000000"/>
                <w:sz w:val="18"/>
                <w:szCs w:val="18"/>
                <w:lang w:bidi="ar"/>
              </w:rPr>
            </w:pPr>
            <w:r>
              <w:rPr>
                <w:rFonts w:hint="eastAsia" w:ascii="宋体" w:hAnsi="宋体" w:cs="宋体"/>
                <w:color w:val="000000"/>
                <w:sz w:val="18"/>
                <w:szCs w:val="18"/>
                <w:lang w:bidi="ar"/>
              </w:rPr>
              <w:t>118家</w:t>
            </w:r>
          </w:p>
        </w:tc>
        <w:tc>
          <w:tcPr>
            <w:tcW w:w="1275" w:type="dxa"/>
            <w:vAlign w:val="center"/>
          </w:tcPr>
          <w:p w14:paraId="69849D08">
            <w:pPr>
              <w:widowControl/>
              <w:spacing w:line="240" w:lineRule="exact"/>
              <w:rPr>
                <w:rFonts w:ascii="宋体" w:hAnsi="宋体" w:cs="宋体"/>
                <w:kern w:val="2"/>
                <w:sz w:val="18"/>
                <w:szCs w:val="18"/>
              </w:rPr>
            </w:pPr>
            <w:r>
              <w:rPr>
                <w:rFonts w:hint="eastAsia" w:ascii="宋体" w:hAnsi="宋体" w:cs="宋体"/>
                <w:kern w:val="2"/>
                <w:sz w:val="18"/>
                <w:szCs w:val="18"/>
              </w:rPr>
              <w:t>200家</w:t>
            </w:r>
          </w:p>
        </w:tc>
        <w:tc>
          <w:tcPr>
            <w:tcW w:w="1418" w:type="dxa"/>
            <w:vAlign w:val="center"/>
          </w:tcPr>
          <w:p w14:paraId="1F89245C">
            <w:pPr>
              <w:widowControl/>
              <w:spacing w:line="240" w:lineRule="exact"/>
              <w:rPr>
                <w:rFonts w:ascii="宋体" w:hAnsi="宋体" w:cs="宋体"/>
                <w:color w:val="000000"/>
                <w:sz w:val="18"/>
                <w:szCs w:val="18"/>
                <w:lang w:bidi="ar"/>
              </w:rPr>
            </w:pPr>
            <w:r>
              <w:rPr>
                <w:rFonts w:hint="eastAsia" w:ascii="宋体" w:hAnsi="宋体" w:cs="宋体"/>
                <w:color w:val="000000"/>
                <w:sz w:val="18"/>
                <w:szCs w:val="18"/>
                <w:lang w:bidi="ar"/>
              </w:rPr>
              <w:t>预期性</w:t>
            </w:r>
          </w:p>
        </w:tc>
        <w:tc>
          <w:tcPr>
            <w:tcW w:w="3462" w:type="dxa"/>
            <w:vAlign w:val="center"/>
          </w:tcPr>
          <w:p w14:paraId="6B4498D6">
            <w:pPr>
              <w:widowControl/>
              <w:spacing w:line="240" w:lineRule="exact"/>
              <w:rPr>
                <w:rFonts w:ascii="宋体" w:hAnsi="宋体" w:cs="宋体"/>
                <w:color w:val="000000"/>
                <w:sz w:val="18"/>
                <w:szCs w:val="18"/>
                <w:lang w:bidi="ar"/>
              </w:rPr>
            </w:pPr>
            <w:r>
              <w:rPr>
                <w:rFonts w:ascii="宋体" w:hAnsi="宋体" w:cs="宋体"/>
                <w:sz w:val="18"/>
                <w:szCs w:val="18"/>
              </w:rPr>
              <w:t>指通过国家高新技术企业认定、处于有效期内的企业数量</w:t>
            </w:r>
            <w:r>
              <w:rPr>
                <w:rFonts w:hint="eastAsia" w:ascii="宋体" w:hAnsi="宋体" w:cs="宋体"/>
                <w:sz w:val="18"/>
                <w:szCs w:val="18"/>
              </w:rPr>
              <w:t>。</w:t>
            </w:r>
          </w:p>
        </w:tc>
      </w:tr>
      <w:tr w14:paraId="1C1A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350" w:type="dxa"/>
            <w:vAlign w:val="center"/>
          </w:tcPr>
          <w:p w14:paraId="7065F7DE">
            <w:pPr>
              <w:widowControl/>
              <w:spacing w:line="240" w:lineRule="exact"/>
              <w:rPr>
                <w:rFonts w:ascii="宋体" w:hAnsi="宋体" w:cs="宋体"/>
                <w:kern w:val="2"/>
                <w:sz w:val="18"/>
                <w:szCs w:val="18"/>
              </w:rPr>
            </w:pPr>
            <w:r>
              <w:rPr>
                <w:rFonts w:hint="eastAsia" w:ascii="宋体" w:hAnsi="宋体" w:cs="宋体"/>
                <w:kern w:val="2"/>
                <w:sz w:val="18"/>
                <w:szCs w:val="18"/>
              </w:rPr>
              <w:t>产城融合指标</w:t>
            </w:r>
          </w:p>
        </w:tc>
        <w:tc>
          <w:tcPr>
            <w:tcW w:w="1943" w:type="dxa"/>
            <w:vAlign w:val="center"/>
          </w:tcPr>
          <w:p w14:paraId="12E2F597">
            <w:pPr>
              <w:widowControl/>
              <w:spacing w:line="240" w:lineRule="exact"/>
              <w:rPr>
                <w:rFonts w:ascii="宋体" w:hAnsi="宋体" w:cs="宋体"/>
                <w:kern w:val="2"/>
                <w:sz w:val="18"/>
                <w:szCs w:val="18"/>
              </w:rPr>
            </w:pPr>
            <w:r>
              <w:rPr>
                <w:rFonts w:hint="eastAsia" w:ascii="宋体" w:hAnsi="宋体" w:cs="宋体"/>
                <w:kern w:val="2"/>
                <w:sz w:val="18"/>
                <w:szCs w:val="18"/>
              </w:rPr>
              <w:t>园区总人口</w:t>
            </w:r>
          </w:p>
        </w:tc>
        <w:tc>
          <w:tcPr>
            <w:tcW w:w="1097" w:type="dxa"/>
            <w:vAlign w:val="center"/>
          </w:tcPr>
          <w:p w14:paraId="27F451BD">
            <w:pPr>
              <w:widowControl/>
              <w:spacing w:line="240" w:lineRule="exact"/>
              <w:rPr>
                <w:rFonts w:ascii="宋体" w:hAnsi="宋体" w:cs="宋体"/>
                <w:kern w:val="2"/>
                <w:sz w:val="18"/>
                <w:szCs w:val="18"/>
              </w:rPr>
            </w:pPr>
            <w:r>
              <w:rPr>
                <w:rFonts w:hint="eastAsia" w:ascii="宋体" w:hAnsi="宋体" w:cs="宋体"/>
                <w:kern w:val="2"/>
                <w:sz w:val="18"/>
                <w:szCs w:val="18"/>
                <w:lang w:val="en-US" w:eastAsia="zh-CN"/>
              </w:rPr>
              <w:t>24</w:t>
            </w:r>
            <w:r>
              <w:rPr>
                <w:rFonts w:hint="eastAsia" w:ascii="宋体" w:hAnsi="宋体" w:cs="宋体"/>
                <w:kern w:val="2"/>
                <w:sz w:val="18"/>
                <w:szCs w:val="18"/>
              </w:rPr>
              <w:t>万人</w:t>
            </w:r>
          </w:p>
        </w:tc>
        <w:tc>
          <w:tcPr>
            <w:tcW w:w="1275" w:type="dxa"/>
            <w:vAlign w:val="center"/>
          </w:tcPr>
          <w:p w14:paraId="62F075C2">
            <w:pPr>
              <w:widowControl/>
              <w:spacing w:line="240" w:lineRule="exact"/>
              <w:rPr>
                <w:rFonts w:ascii="宋体" w:hAnsi="宋体" w:cs="宋体"/>
                <w:kern w:val="2"/>
                <w:sz w:val="18"/>
                <w:szCs w:val="18"/>
              </w:rPr>
            </w:pPr>
            <w:r>
              <w:rPr>
                <w:rFonts w:hint="eastAsia" w:ascii="宋体" w:hAnsi="宋体" w:cs="宋体"/>
                <w:kern w:val="2"/>
                <w:sz w:val="18"/>
                <w:szCs w:val="18"/>
                <w:lang w:val="en-US" w:eastAsia="zh-CN"/>
              </w:rPr>
              <w:t>28</w:t>
            </w:r>
            <w:r>
              <w:rPr>
                <w:rFonts w:hint="eastAsia" w:ascii="宋体" w:hAnsi="宋体" w:cs="宋体"/>
                <w:kern w:val="2"/>
                <w:sz w:val="18"/>
                <w:szCs w:val="18"/>
              </w:rPr>
              <w:t>万人</w:t>
            </w:r>
          </w:p>
        </w:tc>
        <w:tc>
          <w:tcPr>
            <w:tcW w:w="1418" w:type="dxa"/>
            <w:vAlign w:val="center"/>
          </w:tcPr>
          <w:p w14:paraId="3DE272DC">
            <w:pPr>
              <w:widowControl/>
              <w:spacing w:line="240" w:lineRule="exact"/>
              <w:rPr>
                <w:rFonts w:ascii="宋体" w:hAnsi="宋体" w:cs="宋体"/>
                <w:kern w:val="2"/>
                <w:sz w:val="18"/>
                <w:szCs w:val="18"/>
              </w:rPr>
            </w:pPr>
            <w:r>
              <w:rPr>
                <w:rFonts w:hint="eastAsia" w:ascii="宋体" w:hAnsi="宋体" w:cs="宋体"/>
                <w:color w:val="000000"/>
                <w:sz w:val="18"/>
                <w:szCs w:val="18"/>
                <w:lang w:bidi="ar"/>
              </w:rPr>
              <w:t>预期性</w:t>
            </w:r>
          </w:p>
        </w:tc>
        <w:tc>
          <w:tcPr>
            <w:tcW w:w="3462" w:type="dxa"/>
            <w:vAlign w:val="center"/>
          </w:tcPr>
          <w:p w14:paraId="335D4487">
            <w:pPr>
              <w:widowControl/>
              <w:spacing w:line="240" w:lineRule="exact"/>
              <w:rPr>
                <w:rFonts w:ascii="宋体" w:hAnsi="宋体" w:cs="宋体"/>
                <w:color w:val="000000"/>
                <w:sz w:val="18"/>
                <w:szCs w:val="18"/>
                <w:lang w:bidi="ar"/>
              </w:rPr>
            </w:pPr>
            <w:r>
              <w:rPr>
                <w:rFonts w:ascii="宋体" w:hAnsi="宋体" w:cs="宋体"/>
                <w:sz w:val="18"/>
                <w:szCs w:val="18"/>
              </w:rPr>
              <w:t>指园区实际居住人口规模，包括就业人口及配套服务人口。</w:t>
            </w:r>
          </w:p>
        </w:tc>
      </w:tr>
      <w:tr w14:paraId="6C59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vMerge w:val="restart"/>
            <w:vAlign w:val="center"/>
          </w:tcPr>
          <w:p w14:paraId="4AD2D530">
            <w:pPr>
              <w:widowControl/>
              <w:spacing w:line="240" w:lineRule="exact"/>
              <w:rPr>
                <w:rFonts w:ascii="宋体" w:hAnsi="宋体" w:cs="宋体"/>
                <w:kern w:val="2"/>
                <w:sz w:val="18"/>
                <w:szCs w:val="18"/>
              </w:rPr>
            </w:pPr>
            <w:r>
              <w:rPr>
                <w:rFonts w:hint="eastAsia" w:ascii="宋体" w:hAnsi="宋体" w:cs="宋体"/>
                <w:kern w:val="2"/>
                <w:sz w:val="18"/>
                <w:szCs w:val="18"/>
              </w:rPr>
              <w:t>绿色发展指标</w:t>
            </w:r>
          </w:p>
        </w:tc>
        <w:tc>
          <w:tcPr>
            <w:tcW w:w="1943" w:type="dxa"/>
            <w:vAlign w:val="center"/>
          </w:tcPr>
          <w:p w14:paraId="15496623">
            <w:pPr>
              <w:widowControl/>
              <w:spacing w:line="240" w:lineRule="exact"/>
              <w:rPr>
                <w:rFonts w:ascii="宋体" w:hAnsi="宋体" w:cs="宋体"/>
                <w:kern w:val="2"/>
                <w:sz w:val="18"/>
                <w:szCs w:val="18"/>
              </w:rPr>
            </w:pPr>
            <w:r>
              <w:rPr>
                <w:rFonts w:hint="eastAsia" w:ascii="宋体" w:hAnsi="宋体" w:cs="宋体"/>
                <w:color w:val="000000"/>
                <w:sz w:val="18"/>
                <w:szCs w:val="18"/>
                <w:lang w:bidi="ar"/>
              </w:rPr>
              <w:t>单位工业增加值能耗</w:t>
            </w:r>
          </w:p>
        </w:tc>
        <w:tc>
          <w:tcPr>
            <w:tcW w:w="1097" w:type="dxa"/>
            <w:vAlign w:val="center"/>
          </w:tcPr>
          <w:p w14:paraId="3BDFFC12">
            <w:pPr>
              <w:widowControl/>
              <w:spacing w:line="240" w:lineRule="exact"/>
              <w:rPr>
                <w:rFonts w:ascii="宋体" w:hAnsi="宋体" w:cs="宋体"/>
                <w:kern w:val="2"/>
                <w:sz w:val="18"/>
                <w:szCs w:val="18"/>
              </w:rPr>
            </w:pPr>
            <w:r>
              <w:rPr>
                <w:rFonts w:hint="eastAsia" w:ascii="宋体" w:hAnsi="宋体" w:cs="宋体"/>
                <w:kern w:val="2"/>
                <w:sz w:val="18"/>
                <w:szCs w:val="18"/>
              </w:rPr>
              <w:t>0.6吨标煤/万元</w:t>
            </w:r>
          </w:p>
        </w:tc>
        <w:tc>
          <w:tcPr>
            <w:tcW w:w="1275" w:type="dxa"/>
            <w:vAlign w:val="center"/>
          </w:tcPr>
          <w:p w14:paraId="1AD61097">
            <w:pPr>
              <w:widowControl/>
              <w:spacing w:line="240" w:lineRule="exact"/>
              <w:rPr>
                <w:rFonts w:ascii="宋体" w:hAnsi="宋体" w:cs="宋体"/>
                <w:kern w:val="2"/>
                <w:sz w:val="18"/>
                <w:szCs w:val="18"/>
              </w:rPr>
            </w:pPr>
            <w:r>
              <w:rPr>
                <w:rFonts w:hint="eastAsia" w:ascii="宋体" w:hAnsi="宋体" w:cs="宋体"/>
                <w:kern w:val="2"/>
                <w:sz w:val="18"/>
                <w:szCs w:val="18"/>
              </w:rPr>
              <w:t>0.5吨标煤/万元</w:t>
            </w:r>
          </w:p>
        </w:tc>
        <w:tc>
          <w:tcPr>
            <w:tcW w:w="1418" w:type="dxa"/>
            <w:vAlign w:val="center"/>
          </w:tcPr>
          <w:p w14:paraId="2147205D">
            <w:pPr>
              <w:widowControl/>
              <w:spacing w:line="240" w:lineRule="exact"/>
              <w:rPr>
                <w:rFonts w:ascii="宋体" w:hAnsi="宋体" w:cs="宋体"/>
                <w:kern w:val="2"/>
                <w:sz w:val="18"/>
                <w:szCs w:val="18"/>
              </w:rPr>
            </w:pPr>
            <w:r>
              <w:rPr>
                <w:rFonts w:hint="eastAsia" w:ascii="宋体" w:hAnsi="宋体" w:cs="宋体"/>
                <w:color w:val="000000"/>
                <w:sz w:val="18"/>
                <w:szCs w:val="18"/>
                <w:lang w:bidi="ar"/>
              </w:rPr>
              <w:t>预期性</w:t>
            </w:r>
          </w:p>
        </w:tc>
        <w:tc>
          <w:tcPr>
            <w:tcW w:w="3462" w:type="dxa"/>
            <w:vAlign w:val="center"/>
          </w:tcPr>
          <w:p w14:paraId="40B14968">
            <w:pPr>
              <w:widowControl/>
              <w:spacing w:line="240" w:lineRule="exact"/>
              <w:rPr>
                <w:rFonts w:ascii="宋体" w:hAnsi="宋体" w:cs="宋体"/>
                <w:color w:val="000000"/>
                <w:sz w:val="18"/>
                <w:szCs w:val="18"/>
                <w:lang w:bidi="ar"/>
              </w:rPr>
            </w:pPr>
            <w:r>
              <w:rPr>
                <w:rFonts w:ascii="宋体" w:hAnsi="宋体" w:cs="宋体"/>
                <w:sz w:val="18"/>
                <w:szCs w:val="18"/>
              </w:rPr>
              <w:t>指单位工业增加值消耗的能源量</w:t>
            </w:r>
            <w:r>
              <w:rPr>
                <w:rFonts w:hint="eastAsia" w:ascii="宋体" w:hAnsi="宋体" w:cs="宋体"/>
                <w:sz w:val="18"/>
                <w:szCs w:val="18"/>
              </w:rPr>
              <w:t>。</w:t>
            </w:r>
          </w:p>
        </w:tc>
      </w:tr>
      <w:tr w14:paraId="43B9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350" w:type="dxa"/>
            <w:vMerge w:val="continue"/>
            <w:vAlign w:val="center"/>
          </w:tcPr>
          <w:p w14:paraId="5035BE83">
            <w:pPr>
              <w:widowControl/>
              <w:spacing w:line="240" w:lineRule="exact"/>
              <w:rPr>
                <w:rFonts w:ascii="宋体" w:hAnsi="宋体" w:cs="宋体"/>
                <w:kern w:val="2"/>
                <w:sz w:val="18"/>
                <w:szCs w:val="18"/>
              </w:rPr>
            </w:pPr>
          </w:p>
        </w:tc>
        <w:tc>
          <w:tcPr>
            <w:tcW w:w="1943" w:type="dxa"/>
            <w:vAlign w:val="center"/>
          </w:tcPr>
          <w:p w14:paraId="38DA949C">
            <w:pPr>
              <w:widowControl/>
              <w:spacing w:line="240" w:lineRule="exact"/>
              <w:rPr>
                <w:rFonts w:ascii="宋体" w:hAnsi="宋体" w:cs="宋体"/>
                <w:kern w:val="2"/>
                <w:sz w:val="18"/>
                <w:szCs w:val="18"/>
              </w:rPr>
            </w:pPr>
            <w:r>
              <w:rPr>
                <w:rFonts w:hint="eastAsia" w:ascii="宋体" w:hAnsi="宋体" w:cs="宋体"/>
                <w:color w:val="000000"/>
                <w:sz w:val="18"/>
                <w:szCs w:val="18"/>
                <w:lang w:bidi="ar"/>
              </w:rPr>
              <w:t>绿电使用率</w:t>
            </w:r>
          </w:p>
        </w:tc>
        <w:tc>
          <w:tcPr>
            <w:tcW w:w="1097" w:type="dxa"/>
            <w:vAlign w:val="center"/>
          </w:tcPr>
          <w:p w14:paraId="34840987">
            <w:pPr>
              <w:widowControl/>
              <w:spacing w:line="240" w:lineRule="exact"/>
              <w:rPr>
                <w:rFonts w:ascii="宋体" w:hAnsi="宋体" w:cs="宋体"/>
                <w:kern w:val="2"/>
                <w:sz w:val="18"/>
                <w:szCs w:val="18"/>
              </w:rPr>
            </w:pPr>
            <w:r>
              <w:rPr>
                <w:rFonts w:hint="eastAsia" w:ascii="宋体" w:hAnsi="宋体" w:cs="宋体"/>
                <w:kern w:val="2"/>
                <w:sz w:val="18"/>
                <w:szCs w:val="18"/>
              </w:rPr>
              <w:t>15%</w:t>
            </w:r>
          </w:p>
        </w:tc>
        <w:tc>
          <w:tcPr>
            <w:tcW w:w="1275" w:type="dxa"/>
            <w:vAlign w:val="center"/>
          </w:tcPr>
          <w:p w14:paraId="486E4640">
            <w:pPr>
              <w:widowControl/>
              <w:spacing w:line="240" w:lineRule="exact"/>
              <w:rPr>
                <w:rFonts w:ascii="宋体" w:hAnsi="宋体" w:cs="宋体"/>
                <w:kern w:val="2"/>
                <w:sz w:val="18"/>
                <w:szCs w:val="18"/>
              </w:rPr>
            </w:pPr>
            <w:r>
              <w:rPr>
                <w:rFonts w:hint="eastAsia" w:ascii="宋体" w:hAnsi="宋体" w:cs="宋体"/>
                <w:color w:val="000000"/>
                <w:sz w:val="18"/>
                <w:szCs w:val="18"/>
                <w:lang w:bidi="ar"/>
              </w:rPr>
              <w:t>50%以上</w:t>
            </w:r>
          </w:p>
        </w:tc>
        <w:tc>
          <w:tcPr>
            <w:tcW w:w="1418" w:type="dxa"/>
            <w:vAlign w:val="center"/>
          </w:tcPr>
          <w:p w14:paraId="4989E6A8">
            <w:pPr>
              <w:widowControl/>
              <w:spacing w:line="240" w:lineRule="exact"/>
              <w:rPr>
                <w:rFonts w:ascii="宋体" w:hAnsi="宋体" w:cs="宋体"/>
                <w:kern w:val="2"/>
                <w:sz w:val="18"/>
                <w:szCs w:val="18"/>
              </w:rPr>
            </w:pPr>
            <w:r>
              <w:rPr>
                <w:rFonts w:hint="eastAsia" w:ascii="宋体" w:hAnsi="宋体" w:cs="宋体"/>
                <w:color w:val="000000"/>
                <w:sz w:val="18"/>
                <w:szCs w:val="18"/>
                <w:lang w:bidi="ar"/>
              </w:rPr>
              <w:t>预期性</w:t>
            </w:r>
          </w:p>
        </w:tc>
        <w:tc>
          <w:tcPr>
            <w:tcW w:w="3462" w:type="dxa"/>
            <w:vAlign w:val="center"/>
          </w:tcPr>
          <w:p w14:paraId="4A6299F7">
            <w:pPr>
              <w:widowControl/>
              <w:spacing w:line="240" w:lineRule="exact"/>
              <w:rPr>
                <w:rFonts w:ascii="宋体" w:hAnsi="宋体" w:cs="宋体"/>
                <w:color w:val="000000"/>
                <w:sz w:val="18"/>
                <w:szCs w:val="18"/>
                <w:lang w:bidi="ar"/>
              </w:rPr>
            </w:pPr>
            <w:r>
              <w:rPr>
                <w:rFonts w:ascii="宋体" w:hAnsi="宋体" w:cs="宋体"/>
                <w:sz w:val="18"/>
                <w:szCs w:val="18"/>
              </w:rPr>
              <w:t>指园区企业生产和运营中使用的绿色电力占总用电量的比例。</w:t>
            </w:r>
          </w:p>
        </w:tc>
      </w:tr>
      <w:tr w14:paraId="1EDA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350" w:type="dxa"/>
            <w:vMerge w:val="restart"/>
            <w:vAlign w:val="center"/>
          </w:tcPr>
          <w:p w14:paraId="3D393387">
            <w:pPr>
              <w:widowControl/>
              <w:spacing w:line="240" w:lineRule="exact"/>
              <w:rPr>
                <w:rFonts w:ascii="宋体" w:hAnsi="宋体" w:cs="宋体"/>
                <w:kern w:val="2"/>
                <w:sz w:val="18"/>
                <w:szCs w:val="18"/>
              </w:rPr>
            </w:pPr>
            <w:r>
              <w:rPr>
                <w:rFonts w:hint="eastAsia" w:ascii="宋体" w:hAnsi="宋体" w:cs="宋体"/>
                <w:kern w:val="2"/>
                <w:sz w:val="18"/>
                <w:szCs w:val="18"/>
              </w:rPr>
              <w:t>开放发展指标</w:t>
            </w:r>
          </w:p>
        </w:tc>
        <w:tc>
          <w:tcPr>
            <w:tcW w:w="1943" w:type="dxa"/>
            <w:vAlign w:val="center"/>
          </w:tcPr>
          <w:p w14:paraId="567AA9BE">
            <w:pPr>
              <w:widowControl/>
              <w:spacing w:line="240" w:lineRule="exact"/>
              <w:rPr>
                <w:rFonts w:ascii="宋体" w:hAnsi="宋体" w:cs="宋体"/>
                <w:kern w:val="2"/>
                <w:sz w:val="18"/>
                <w:szCs w:val="18"/>
              </w:rPr>
            </w:pPr>
            <w:r>
              <w:rPr>
                <w:rFonts w:hint="eastAsia" w:ascii="宋体" w:hAnsi="宋体" w:cs="宋体"/>
                <w:color w:val="000000"/>
                <w:sz w:val="18"/>
                <w:szCs w:val="18"/>
                <w:lang w:bidi="ar"/>
              </w:rPr>
              <w:t>实际利用外资</w:t>
            </w:r>
          </w:p>
        </w:tc>
        <w:tc>
          <w:tcPr>
            <w:tcW w:w="1097" w:type="dxa"/>
            <w:vAlign w:val="center"/>
          </w:tcPr>
          <w:p w14:paraId="3ACEC6D9">
            <w:pPr>
              <w:widowControl/>
              <w:spacing w:line="240" w:lineRule="exact"/>
              <w:rPr>
                <w:rFonts w:ascii="宋体" w:hAnsi="宋体" w:cs="宋体"/>
                <w:kern w:val="2"/>
                <w:sz w:val="18"/>
                <w:szCs w:val="18"/>
              </w:rPr>
            </w:pPr>
            <w:r>
              <w:rPr>
                <w:rFonts w:hint="eastAsia" w:ascii="宋体" w:hAnsi="宋体" w:cs="宋体"/>
                <w:kern w:val="2"/>
                <w:sz w:val="18"/>
                <w:szCs w:val="18"/>
              </w:rPr>
              <w:t>0</w:t>
            </w:r>
          </w:p>
        </w:tc>
        <w:tc>
          <w:tcPr>
            <w:tcW w:w="1275" w:type="dxa"/>
            <w:vAlign w:val="center"/>
          </w:tcPr>
          <w:p w14:paraId="29AF5118">
            <w:pPr>
              <w:widowControl/>
              <w:spacing w:line="240" w:lineRule="exact"/>
              <w:rPr>
                <w:rFonts w:ascii="宋体" w:hAnsi="宋体" w:cs="宋体"/>
                <w:kern w:val="2"/>
                <w:sz w:val="18"/>
                <w:szCs w:val="18"/>
              </w:rPr>
            </w:pPr>
            <w:r>
              <w:rPr>
                <w:rFonts w:hint="eastAsia" w:ascii="宋体" w:hAnsi="宋体" w:cs="宋体"/>
                <w:color w:val="000000"/>
                <w:sz w:val="18"/>
                <w:szCs w:val="18"/>
                <w:lang w:bidi="ar"/>
              </w:rPr>
              <w:t>500万美元以上</w:t>
            </w:r>
          </w:p>
        </w:tc>
        <w:tc>
          <w:tcPr>
            <w:tcW w:w="1418" w:type="dxa"/>
            <w:vAlign w:val="center"/>
          </w:tcPr>
          <w:p w14:paraId="45C6CC87">
            <w:pPr>
              <w:widowControl/>
              <w:spacing w:line="240" w:lineRule="exact"/>
              <w:rPr>
                <w:rFonts w:ascii="宋体" w:hAnsi="宋体" w:cs="宋体"/>
                <w:kern w:val="2"/>
                <w:sz w:val="18"/>
                <w:szCs w:val="18"/>
              </w:rPr>
            </w:pPr>
            <w:r>
              <w:rPr>
                <w:rFonts w:hint="eastAsia" w:ascii="宋体" w:hAnsi="宋体" w:cs="宋体"/>
                <w:color w:val="000000"/>
                <w:sz w:val="18"/>
                <w:szCs w:val="18"/>
                <w:lang w:bidi="ar"/>
              </w:rPr>
              <w:t>预期性</w:t>
            </w:r>
          </w:p>
        </w:tc>
        <w:tc>
          <w:tcPr>
            <w:tcW w:w="3462" w:type="dxa"/>
            <w:vAlign w:val="center"/>
          </w:tcPr>
          <w:p w14:paraId="76A12378">
            <w:pPr>
              <w:widowControl/>
              <w:spacing w:line="240" w:lineRule="exact"/>
              <w:rPr>
                <w:rFonts w:ascii="宋体" w:hAnsi="宋体" w:cs="宋体"/>
                <w:sz w:val="18"/>
                <w:szCs w:val="18"/>
              </w:rPr>
            </w:pPr>
            <w:r>
              <w:rPr>
                <w:rFonts w:ascii="宋体" w:hAnsi="宋体" w:cs="宋体"/>
                <w:sz w:val="18"/>
                <w:szCs w:val="18"/>
              </w:rPr>
              <w:t>指园区当年实际到位外商直接投资金额。</w:t>
            </w:r>
          </w:p>
        </w:tc>
      </w:tr>
      <w:tr w14:paraId="595B4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350" w:type="dxa"/>
            <w:vMerge w:val="continue"/>
            <w:vAlign w:val="center"/>
          </w:tcPr>
          <w:p w14:paraId="42DCBDF7">
            <w:pPr>
              <w:widowControl/>
              <w:spacing w:line="240" w:lineRule="exact"/>
              <w:rPr>
                <w:rFonts w:ascii="宋体" w:hAnsi="宋体" w:cs="宋体"/>
                <w:kern w:val="2"/>
                <w:sz w:val="18"/>
                <w:szCs w:val="18"/>
              </w:rPr>
            </w:pPr>
          </w:p>
        </w:tc>
        <w:tc>
          <w:tcPr>
            <w:tcW w:w="1943" w:type="dxa"/>
            <w:vAlign w:val="center"/>
          </w:tcPr>
          <w:p w14:paraId="29708B97">
            <w:pPr>
              <w:widowControl/>
              <w:spacing w:line="240" w:lineRule="exact"/>
              <w:rPr>
                <w:rFonts w:ascii="宋体" w:hAnsi="宋体" w:cs="宋体"/>
                <w:kern w:val="2"/>
                <w:sz w:val="18"/>
                <w:szCs w:val="18"/>
              </w:rPr>
            </w:pPr>
            <w:r>
              <w:rPr>
                <w:rFonts w:hint="eastAsia" w:ascii="宋体" w:hAnsi="宋体" w:cs="宋体"/>
                <w:kern w:val="2"/>
                <w:sz w:val="18"/>
                <w:szCs w:val="18"/>
              </w:rPr>
              <w:t>国际合作园区建设</w:t>
            </w:r>
          </w:p>
        </w:tc>
        <w:tc>
          <w:tcPr>
            <w:tcW w:w="1097" w:type="dxa"/>
            <w:vAlign w:val="center"/>
          </w:tcPr>
          <w:p w14:paraId="5DA7F80B">
            <w:pPr>
              <w:widowControl/>
              <w:spacing w:line="240" w:lineRule="exact"/>
              <w:rPr>
                <w:rFonts w:ascii="宋体" w:hAnsi="宋体" w:cs="宋体"/>
                <w:kern w:val="2"/>
                <w:sz w:val="18"/>
                <w:szCs w:val="18"/>
              </w:rPr>
            </w:pPr>
            <w:r>
              <w:rPr>
                <w:rFonts w:hint="eastAsia" w:ascii="宋体" w:hAnsi="宋体" w:cs="宋体"/>
                <w:kern w:val="2"/>
                <w:sz w:val="18"/>
                <w:szCs w:val="18"/>
              </w:rPr>
              <w:t>营收30亿元</w:t>
            </w:r>
          </w:p>
        </w:tc>
        <w:tc>
          <w:tcPr>
            <w:tcW w:w="1275" w:type="dxa"/>
            <w:vAlign w:val="center"/>
          </w:tcPr>
          <w:p w14:paraId="0FE3B62F">
            <w:pPr>
              <w:widowControl/>
              <w:spacing w:line="240" w:lineRule="exact"/>
              <w:rPr>
                <w:rFonts w:ascii="宋体" w:hAnsi="宋体" w:cs="宋体"/>
                <w:kern w:val="2"/>
                <w:sz w:val="18"/>
                <w:szCs w:val="18"/>
              </w:rPr>
            </w:pPr>
            <w:r>
              <w:rPr>
                <w:rFonts w:hint="eastAsia" w:ascii="宋体" w:hAnsi="宋体" w:cs="宋体"/>
                <w:kern w:val="2"/>
                <w:sz w:val="18"/>
                <w:szCs w:val="18"/>
              </w:rPr>
              <w:t>园区营收达到60亿元</w:t>
            </w:r>
          </w:p>
        </w:tc>
        <w:tc>
          <w:tcPr>
            <w:tcW w:w="1418" w:type="dxa"/>
            <w:vAlign w:val="center"/>
          </w:tcPr>
          <w:p w14:paraId="2DD0EA0A">
            <w:pPr>
              <w:widowControl/>
              <w:spacing w:line="240" w:lineRule="exact"/>
              <w:rPr>
                <w:rFonts w:ascii="宋体" w:hAnsi="宋体" w:cs="宋体"/>
                <w:kern w:val="2"/>
                <w:sz w:val="18"/>
                <w:szCs w:val="18"/>
              </w:rPr>
            </w:pPr>
            <w:r>
              <w:rPr>
                <w:rFonts w:hint="eastAsia" w:ascii="宋体" w:hAnsi="宋体" w:cs="宋体"/>
                <w:kern w:val="2"/>
                <w:sz w:val="18"/>
                <w:szCs w:val="18"/>
              </w:rPr>
              <w:t>预期性</w:t>
            </w:r>
          </w:p>
        </w:tc>
        <w:tc>
          <w:tcPr>
            <w:tcW w:w="3462" w:type="dxa"/>
            <w:vAlign w:val="center"/>
          </w:tcPr>
          <w:p w14:paraId="42AF479E">
            <w:pPr>
              <w:widowControl/>
              <w:spacing w:line="240" w:lineRule="exact"/>
              <w:rPr>
                <w:rFonts w:ascii="宋体" w:hAnsi="宋体" w:cs="宋体"/>
                <w:sz w:val="18"/>
                <w:szCs w:val="18"/>
              </w:rPr>
            </w:pPr>
            <w:r>
              <w:rPr>
                <w:rFonts w:ascii="宋体" w:hAnsi="宋体" w:cs="宋体"/>
                <w:sz w:val="18"/>
                <w:szCs w:val="18"/>
              </w:rPr>
              <w:t>指国际合作园区在项目引进、制度创新、产业合作等方面取得的阶段性成果。</w:t>
            </w:r>
          </w:p>
        </w:tc>
      </w:tr>
      <w:tr w14:paraId="0F68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350" w:type="dxa"/>
            <w:vMerge w:val="continue"/>
            <w:vAlign w:val="center"/>
          </w:tcPr>
          <w:p w14:paraId="1D6F16DB">
            <w:pPr>
              <w:widowControl/>
              <w:spacing w:line="240" w:lineRule="exact"/>
              <w:rPr>
                <w:rFonts w:ascii="宋体" w:hAnsi="宋体" w:cs="宋体"/>
                <w:kern w:val="2"/>
                <w:sz w:val="18"/>
                <w:szCs w:val="18"/>
              </w:rPr>
            </w:pPr>
          </w:p>
        </w:tc>
        <w:tc>
          <w:tcPr>
            <w:tcW w:w="1943" w:type="dxa"/>
            <w:vAlign w:val="center"/>
          </w:tcPr>
          <w:p w14:paraId="49CC873B">
            <w:pPr>
              <w:widowControl/>
              <w:spacing w:line="240" w:lineRule="exact"/>
              <w:rPr>
                <w:rFonts w:ascii="宋体" w:hAnsi="宋体" w:cs="宋体"/>
                <w:kern w:val="2"/>
                <w:sz w:val="18"/>
                <w:szCs w:val="18"/>
              </w:rPr>
            </w:pPr>
            <w:r>
              <w:rPr>
                <w:rFonts w:hint="eastAsia" w:ascii="宋体" w:hAnsi="宋体" w:cs="宋体"/>
                <w:color w:val="000000"/>
                <w:sz w:val="18"/>
                <w:szCs w:val="18"/>
                <w:lang w:bidi="ar"/>
              </w:rPr>
              <w:t>进出口总额</w:t>
            </w:r>
          </w:p>
        </w:tc>
        <w:tc>
          <w:tcPr>
            <w:tcW w:w="1097" w:type="dxa"/>
            <w:vAlign w:val="center"/>
          </w:tcPr>
          <w:p w14:paraId="466CBAB3">
            <w:pPr>
              <w:widowControl/>
              <w:spacing w:line="240" w:lineRule="exact"/>
              <w:rPr>
                <w:rFonts w:ascii="宋体" w:hAnsi="宋体" w:cs="宋体"/>
                <w:kern w:val="2"/>
                <w:sz w:val="18"/>
                <w:szCs w:val="18"/>
              </w:rPr>
            </w:pPr>
            <w:r>
              <w:rPr>
                <w:rFonts w:hint="eastAsia" w:ascii="宋体" w:hAnsi="宋体" w:cs="宋体"/>
                <w:kern w:val="2"/>
                <w:sz w:val="18"/>
                <w:szCs w:val="18"/>
              </w:rPr>
              <w:t>3.75亿元</w:t>
            </w:r>
          </w:p>
        </w:tc>
        <w:tc>
          <w:tcPr>
            <w:tcW w:w="1275" w:type="dxa"/>
            <w:vAlign w:val="center"/>
          </w:tcPr>
          <w:p w14:paraId="54433DD1">
            <w:pPr>
              <w:widowControl/>
              <w:spacing w:line="240" w:lineRule="exact"/>
              <w:rPr>
                <w:rFonts w:ascii="宋体" w:hAnsi="宋体" w:cs="宋体"/>
                <w:kern w:val="2"/>
                <w:sz w:val="18"/>
                <w:szCs w:val="18"/>
              </w:rPr>
            </w:pPr>
            <w:r>
              <w:rPr>
                <w:rFonts w:hint="eastAsia" w:ascii="宋体" w:hAnsi="宋体" w:cs="宋体"/>
                <w:color w:val="000000"/>
                <w:sz w:val="18"/>
                <w:szCs w:val="18"/>
                <w:lang w:bidi="ar"/>
              </w:rPr>
              <w:t>大幅增长</w:t>
            </w:r>
          </w:p>
        </w:tc>
        <w:tc>
          <w:tcPr>
            <w:tcW w:w="1418" w:type="dxa"/>
            <w:vAlign w:val="center"/>
          </w:tcPr>
          <w:p w14:paraId="32A75E22">
            <w:pPr>
              <w:widowControl/>
              <w:spacing w:line="240" w:lineRule="exact"/>
              <w:rPr>
                <w:rFonts w:ascii="宋体" w:hAnsi="宋体" w:cs="宋体"/>
                <w:kern w:val="2"/>
                <w:sz w:val="18"/>
                <w:szCs w:val="18"/>
              </w:rPr>
            </w:pPr>
            <w:r>
              <w:rPr>
                <w:rFonts w:hint="eastAsia" w:ascii="宋体" w:hAnsi="宋体" w:cs="宋体"/>
                <w:color w:val="000000"/>
                <w:sz w:val="18"/>
                <w:szCs w:val="18"/>
                <w:lang w:bidi="ar"/>
              </w:rPr>
              <w:t>预期性</w:t>
            </w:r>
          </w:p>
        </w:tc>
        <w:tc>
          <w:tcPr>
            <w:tcW w:w="3462" w:type="dxa"/>
            <w:vAlign w:val="center"/>
          </w:tcPr>
          <w:p w14:paraId="59D304B5">
            <w:pPr>
              <w:widowControl/>
              <w:spacing w:line="240" w:lineRule="exact"/>
              <w:rPr>
                <w:rFonts w:ascii="宋体" w:hAnsi="宋体" w:cs="宋体"/>
                <w:color w:val="000000"/>
                <w:sz w:val="18"/>
                <w:szCs w:val="18"/>
                <w:lang w:bidi="ar"/>
              </w:rPr>
            </w:pPr>
            <w:r>
              <w:rPr>
                <w:rFonts w:ascii="宋体" w:hAnsi="宋体" w:cs="宋体"/>
                <w:sz w:val="18"/>
                <w:szCs w:val="18"/>
              </w:rPr>
              <w:t>指园区企业货物贸易和服务贸易进出口总额</w:t>
            </w:r>
            <w:r>
              <w:rPr>
                <w:rFonts w:hint="eastAsia" w:ascii="宋体" w:hAnsi="宋体" w:cs="宋体"/>
                <w:sz w:val="18"/>
                <w:szCs w:val="18"/>
              </w:rPr>
              <w:t>。</w:t>
            </w:r>
          </w:p>
        </w:tc>
      </w:tr>
      <w:tr w14:paraId="21E5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0" w:type="dxa"/>
            <w:vMerge w:val="restart"/>
            <w:vAlign w:val="center"/>
          </w:tcPr>
          <w:p w14:paraId="377A2CC6">
            <w:pPr>
              <w:widowControl/>
              <w:spacing w:line="240" w:lineRule="exact"/>
              <w:rPr>
                <w:rFonts w:ascii="宋体" w:hAnsi="宋体" w:cs="宋体"/>
                <w:kern w:val="2"/>
                <w:sz w:val="18"/>
                <w:szCs w:val="18"/>
              </w:rPr>
            </w:pPr>
            <w:r>
              <w:rPr>
                <w:rFonts w:hint="eastAsia" w:ascii="宋体" w:hAnsi="宋体" w:cs="宋体"/>
                <w:kern w:val="2"/>
                <w:sz w:val="18"/>
                <w:szCs w:val="18"/>
              </w:rPr>
              <w:t>营商环境指标</w:t>
            </w:r>
          </w:p>
        </w:tc>
        <w:tc>
          <w:tcPr>
            <w:tcW w:w="1943" w:type="dxa"/>
            <w:vAlign w:val="center"/>
          </w:tcPr>
          <w:p w14:paraId="651487D6">
            <w:pPr>
              <w:widowControl/>
              <w:spacing w:line="240" w:lineRule="exact"/>
              <w:rPr>
                <w:rFonts w:ascii="宋体" w:hAnsi="宋体" w:cs="宋体"/>
                <w:kern w:val="2"/>
                <w:sz w:val="18"/>
                <w:szCs w:val="18"/>
              </w:rPr>
            </w:pPr>
            <w:r>
              <w:rPr>
                <w:rFonts w:hint="eastAsia" w:ascii="宋体" w:hAnsi="宋体" w:cs="宋体"/>
                <w:color w:val="000000"/>
                <w:sz w:val="18"/>
                <w:szCs w:val="18"/>
                <w:lang w:bidi="ar"/>
              </w:rPr>
              <w:t>政务服务全程网办率</w:t>
            </w:r>
          </w:p>
        </w:tc>
        <w:tc>
          <w:tcPr>
            <w:tcW w:w="1097" w:type="dxa"/>
            <w:vAlign w:val="center"/>
          </w:tcPr>
          <w:p w14:paraId="5FAC09C3">
            <w:pPr>
              <w:widowControl/>
              <w:spacing w:line="240" w:lineRule="exact"/>
              <w:rPr>
                <w:rFonts w:ascii="宋体" w:hAnsi="宋体" w:cs="宋体"/>
                <w:kern w:val="2"/>
                <w:sz w:val="18"/>
                <w:szCs w:val="18"/>
              </w:rPr>
            </w:pPr>
            <w:r>
              <w:rPr>
                <w:rFonts w:hint="eastAsia" w:ascii="宋体" w:hAnsi="宋体" w:cs="宋体"/>
                <w:kern w:val="2"/>
                <w:sz w:val="18"/>
                <w:szCs w:val="18"/>
              </w:rPr>
              <w:t>80%</w:t>
            </w:r>
          </w:p>
        </w:tc>
        <w:tc>
          <w:tcPr>
            <w:tcW w:w="1275" w:type="dxa"/>
            <w:vAlign w:val="center"/>
          </w:tcPr>
          <w:p w14:paraId="65FF62B1">
            <w:pPr>
              <w:widowControl/>
              <w:spacing w:line="240" w:lineRule="exact"/>
              <w:rPr>
                <w:rFonts w:ascii="宋体" w:hAnsi="宋体" w:cs="宋体"/>
                <w:kern w:val="2"/>
                <w:sz w:val="18"/>
                <w:szCs w:val="18"/>
              </w:rPr>
            </w:pPr>
            <w:r>
              <w:rPr>
                <w:rFonts w:hint="eastAsia" w:ascii="宋体" w:hAnsi="宋体" w:cs="宋体"/>
                <w:color w:val="000000"/>
                <w:sz w:val="18"/>
                <w:szCs w:val="18"/>
                <w:lang w:bidi="ar"/>
              </w:rPr>
              <w:t>95%</w:t>
            </w:r>
          </w:p>
        </w:tc>
        <w:tc>
          <w:tcPr>
            <w:tcW w:w="1418" w:type="dxa"/>
            <w:vAlign w:val="center"/>
          </w:tcPr>
          <w:p w14:paraId="117A0CE0">
            <w:pPr>
              <w:widowControl/>
              <w:spacing w:line="240" w:lineRule="exact"/>
              <w:rPr>
                <w:rFonts w:ascii="宋体" w:hAnsi="宋体" w:cs="宋体"/>
                <w:kern w:val="2"/>
                <w:sz w:val="18"/>
                <w:szCs w:val="18"/>
              </w:rPr>
            </w:pPr>
            <w:r>
              <w:rPr>
                <w:rFonts w:hint="eastAsia" w:ascii="宋体" w:hAnsi="宋体" w:cs="宋体"/>
                <w:color w:val="000000"/>
                <w:sz w:val="18"/>
                <w:szCs w:val="18"/>
                <w:lang w:bidi="ar"/>
              </w:rPr>
              <w:t>预期性</w:t>
            </w:r>
          </w:p>
        </w:tc>
        <w:tc>
          <w:tcPr>
            <w:tcW w:w="3462" w:type="dxa"/>
            <w:vAlign w:val="center"/>
          </w:tcPr>
          <w:p w14:paraId="124CA86C">
            <w:pPr>
              <w:widowControl/>
              <w:spacing w:line="240" w:lineRule="exact"/>
              <w:rPr>
                <w:rFonts w:ascii="宋体" w:hAnsi="宋体" w:cs="宋体"/>
                <w:color w:val="000000"/>
                <w:sz w:val="18"/>
                <w:szCs w:val="18"/>
                <w:lang w:bidi="ar"/>
              </w:rPr>
            </w:pPr>
            <w:r>
              <w:rPr>
                <w:rFonts w:ascii="宋体" w:hAnsi="宋体" w:cs="宋体"/>
                <w:sz w:val="18"/>
                <w:szCs w:val="18"/>
              </w:rPr>
              <w:t>指园区政务服务事项中实现全流程线上办理的事项占比。</w:t>
            </w:r>
          </w:p>
        </w:tc>
      </w:tr>
      <w:tr w14:paraId="74AA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350" w:type="dxa"/>
            <w:vMerge w:val="continue"/>
            <w:vAlign w:val="center"/>
          </w:tcPr>
          <w:p w14:paraId="0D2D9100">
            <w:pPr>
              <w:widowControl/>
              <w:spacing w:line="240" w:lineRule="exact"/>
              <w:rPr>
                <w:rFonts w:ascii="宋体" w:hAnsi="宋体" w:cs="宋体"/>
                <w:kern w:val="2"/>
                <w:sz w:val="18"/>
                <w:szCs w:val="18"/>
              </w:rPr>
            </w:pPr>
          </w:p>
        </w:tc>
        <w:tc>
          <w:tcPr>
            <w:tcW w:w="1943" w:type="dxa"/>
            <w:vAlign w:val="center"/>
          </w:tcPr>
          <w:p w14:paraId="28205457">
            <w:pPr>
              <w:widowControl/>
              <w:spacing w:line="240" w:lineRule="exact"/>
              <w:rPr>
                <w:rFonts w:ascii="宋体" w:hAnsi="宋体" w:cs="宋体"/>
                <w:kern w:val="2"/>
                <w:sz w:val="18"/>
                <w:szCs w:val="18"/>
              </w:rPr>
            </w:pPr>
            <w:r>
              <w:rPr>
                <w:rFonts w:hint="eastAsia" w:ascii="宋体" w:hAnsi="宋体" w:cs="宋体"/>
                <w:color w:val="000000"/>
                <w:sz w:val="18"/>
                <w:szCs w:val="18"/>
                <w:lang w:bidi="ar"/>
              </w:rPr>
              <w:t>政策兑现及时率</w:t>
            </w:r>
          </w:p>
        </w:tc>
        <w:tc>
          <w:tcPr>
            <w:tcW w:w="1097" w:type="dxa"/>
            <w:vAlign w:val="center"/>
          </w:tcPr>
          <w:p w14:paraId="7B504EF1">
            <w:pPr>
              <w:widowControl/>
              <w:spacing w:line="240" w:lineRule="exact"/>
              <w:rPr>
                <w:rFonts w:ascii="宋体" w:hAnsi="宋体" w:cs="宋体"/>
                <w:kern w:val="2"/>
                <w:sz w:val="18"/>
                <w:szCs w:val="18"/>
              </w:rPr>
            </w:pPr>
            <w:r>
              <w:rPr>
                <w:rFonts w:hint="eastAsia" w:ascii="宋体" w:hAnsi="宋体" w:cs="宋体"/>
                <w:kern w:val="2"/>
                <w:sz w:val="18"/>
                <w:szCs w:val="18"/>
              </w:rPr>
              <w:t>60%</w:t>
            </w:r>
          </w:p>
        </w:tc>
        <w:tc>
          <w:tcPr>
            <w:tcW w:w="1275" w:type="dxa"/>
            <w:vAlign w:val="center"/>
          </w:tcPr>
          <w:p w14:paraId="52F15C60">
            <w:pPr>
              <w:widowControl/>
              <w:tabs>
                <w:tab w:val="center" w:pos="602"/>
              </w:tabs>
              <w:spacing w:line="240" w:lineRule="exact"/>
              <w:rPr>
                <w:rFonts w:ascii="宋体" w:hAnsi="宋体" w:cs="宋体"/>
                <w:kern w:val="2"/>
                <w:sz w:val="18"/>
                <w:szCs w:val="18"/>
              </w:rPr>
            </w:pPr>
            <w:r>
              <w:rPr>
                <w:rFonts w:hint="eastAsia" w:ascii="宋体" w:hAnsi="宋体" w:cs="宋体"/>
                <w:kern w:val="2"/>
                <w:sz w:val="18"/>
                <w:szCs w:val="18"/>
              </w:rPr>
              <w:t>80%</w:t>
            </w:r>
          </w:p>
        </w:tc>
        <w:tc>
          <w:tcPr>
            <w:tcW w:w="1418" w:type="dxa"/>
            <w:vAlign w:val="center"/>
          </w:tcPr>
          <w:p w14:paraId="1071AD37">
            <w:pPr>
              <w:widowControl/>
              <w:spacing w:line="240" w:lineRule="exact"/>
              <w:rPr>
                <w:rFonts w:ascii="宋体" w:hAnsi="宋体" w:cs="宋体"/>
                <w:kern w:val="2"/>
                <w:sz w:val="18"/>
                <w:szCs w:val="18"/>
              </w:rPr>
            </w:pPr>
            <w:r>
              <w:rPr>
                <w:rFonts w:hint="eastAsia" w:ascii="宋体" w:hAnsi="宋体" w:cs="宋体"/>
                <w:color w:val="000000"/>
                <w:sz w:val="18"/>
                <w:szCs w:val="18"/>
                <w:lang w:bidi="ar"/>
              </w:rPr>
              <w:t>预期性</w:t>
            </w:r>
          </w:p>
        </w:tc>
        <w:tc>
          <w:tcPr>
            <w:tcW w:w="3462" w:type="dxa"/>
            <w:vAlign w:val="center"/>
          </w:tcPr>
          <w:p w14:paraId="740EBE64">
            <w:pPr>
              <w:widowControl/>
              <w:spacing w:line="240" w:lineRule="exact"/>
              <w:rPr>
                <w:rFonts w:ascii="宋体" w:hAnsi="宋体" w:cs="宋体"/>
                <w:color w:val="000000"/>
                <w:sz w:val="18"/>
                <w:szCs w:val="18"/>
                <w:lang w:bidi="ar"/>
              </w:rPr>
            </w:pPr>
            <w:r>
              <w:rPr>
                <w:rFonts w:ascii="宋体" w:hAnsi="宋体" w:cs="宋体"/>
                <w:sz w:val="18"/>
                <w:szCs w:val="18"/>
              </w:rPr>
              <w:t>指符合条件的惠企政策资金在承诺期限内完成兑现的比例。</w:t>
            </w:r>
          </w:p>
        </w:tc>
      </w:tr>
    </w:tbl>
    <w:p w14:paraId="5CEC4B6A">
      <w:pP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此基础上再奋斗五年，到2035年高新区电子信息、新能源、装备制造、生物医药与大健康四大产业集群全面实现低碳化、绿色化转型跃升，产业发展与生态保护实现协同共生，绿电赋能、创新驱动、链条完整的产业格局全面形成，符合国际竞争标准的绿色低碳产业体系成效显著。科技创新实力、园区治理能力达到全国先进水平，产城融合实现高度一体化发展，公共服务优质均衡，生态环境持续优化，与全国一道基本实现社会主义现代化，成为资源型地区绿色转型、高质量发展的全国示范标杆。</w:t>
      </w:r>
      <w:bookmarkStart w:id="128" w:name="_Toc13405"/>
      <w:bookmarkStart w:id="129" w:name="_Toc23839"/>
      <w:bookmarkStart w:id="130" w:name="_Toc21511"/>
      <w:bookmarkStart w:id="131" w:name="_Toc223176539"/>
      <w:bookmarkStart w:id="132" w:name="_Toc18507"/>
    </w:p>
    <w:p w14:paraId="7016072F">
      <w:pPr>
        <w:spacing w:line="600" w:lineRule="exact"/>
        <w:rPr>
          <w:rFonts w:ascii="仿宋_GB2312" w:hAnsi="仿宋_GB2312" w:eastAsia="仿宋_GB2312" w:cs="仿宋_GB2312"/>
          <w:kern w:val="2"/>
          <w:sz w:val="32"/>
          <w:szCs w:val="32"/>
        </w:rPr>
      </w:pPr>
    </w:p>
    <w:p w14:paraId="181E8293">
      <w:pPr>
        <w:pStyle w:val="3"/>
        <w:keepNext/>
        <w:keepLines/>
        <w:widowControl/>
        <w:autoSpaceDE w:val="0"/>
        <w:autoSpaceDN w:val="0"/>
        <w:adjustRightInd w:val="0"/>
        <w:snapToGrid w:val="0"/>
        <w:spacing w:before="0" w:after="0" w:line="600" w:lineRule="exact"/>
        <w:rPr>
          <w:rFonts w:ascii="黑体" w:hAnsi="黑体" w:cs="黑体"/>
          <w:bCs w:val="0"/>
          <w:szCs w:val="32"/>
        </w:rPr>
      </w:pPr>
      <w:bookmarkStart w:id="133" w:name="_Toc4348"/>
      <w:bookmarkStart w:id="134" w:name="_Toc9776"/>
      <w:bookmarkStart w:id="135" w:name="_Toc9993"/>
      <w:r>
        <w:rPr>
          <w:rFonts w:hint="eastAsia" w:ascii="黑体" w:hAnsi="黑体" w:cs="黑体"/>
          <w:bCs w:val="0"/>
          <w:szCs w:val="32"/>
        </w:rPr>
        <w:t>第三章 培育千亿级产业园  打造新质生产力先导区</w:t>
      </w:r>
      <w:bookmarkEnd w:id="128"/>
      <w:bookmarkEnd w:id="129"/>
      <w:bookmarkEnd w:id="130"/>
      <w:bookmarkEnd w:id="131"/>
      <w:bookmarkEnd w:id="132"/>
      <w:bookmarkEnd w:id="133"/>
      <w:bookmarkEnd w:id="134"/>
      <w:bookmarkEnd w:id="135"/>
    </w:p>
    <w:p w14:paraId="6583F57A">
      <w:pPr>
        <w:spacing w:line="600" w:lineRule="exact"/>
        <w:ind w:firstLine="640" w:firstLineChars="200"/>
        <w:rPr>
          <w:rFonts w:ascii="仿宋_GB2312" w:hAnsi="仿宋_GB2312" w:eastAsia="仿宋_GB2312" w:cs="仿宋_GB2312"/>
          <w:kern w:val="2"/>
          <w:sz w:val="32"/>
          <w:szCs w:val="32"/>
        </w:rPr>
      </w:pPr>
    </w:p>
    <w:p w14:paraId="126D2C61">
      <w:pP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长治高新区将按照长治“十五五”打造“</w:t>
      </w:r>
      <w:r>
        <w:rPr>
          <w:rFonts w:ascii="仿宋_GB2312" w:hAnsi="仿宋_GB2312" w:eastAsia="仿宋_GB2312" w:cs="仿宋_GB2312"/>
          <w:kern w:val="2"/>
          <w:sz w:val="32"/>
          <w:szCs w:val="32"/>
        </w:rPr>
        <w:t>4+6+2”重点产业集群</w:t>
      </w:r>
      <w:r>
        <w:rPr>
          <w:rFonts w:hint="eastAsia" w:ascii="仿宋_GB2312" w:hAnsi="仿宋_GB2312" w:eastAsia="仿宋_GB2312" w:cs="仿宋_GB2312"/>
          <w:kern w:val="2"/>
          <w:sz w:val="32"/>
          <w:szCs w:val="32"/>
          <w:vertAlign w:val="superscript"/>
        </w:rPr>
        <w:t>[7]</w:t>
      </w:r>
      <w:r>
        <w:rPr>
          <w:rFonts w:hint="eastAsia" w:ascii="仿宋_GB2312" w:hAnsi="仿宋_GB2312" w:eastAsia="仿宋_GB2312" w:cs="仿宋_GB2312"/>
          <w:kern w:val="2"/>
          <w:sz w:val="32"/>
          <w:szCs w:val="32"/>
        </w:rPr>
        <w:t>建设的统一布局，聚力打造电子信息、新能源、高端装备制造、生物医药与大健康四大产业集群，大力发展总部经济、现代商贸物流等现代服务业，推进先进制造业与现代服务业深度融合，加快形成先进制造业和现代服务业“双轮驱动”发展模式，加快构建“全链集群、梯次培育、融合赋能”的现代化产业体系，培育千亿级产业园区，加速向国家百强高新区迈进，打造新质生产力先导区。</w:t>
      </w:r>
    </w:p>
    <w:p w14:paraId="014C3DAA">
      <w:pPr>
        <w:spacing w:line="600" w:lineRule="exact"/>
        <w:ind w:firstLine="420" w:firstLineChars="200"/>
        <w:rPr>
          <w:rFonts w:ascii="楷体_GB2312" w:hAnsi="楷体_GB2312" w:eastAsia="楷体_GB2312" w:cs="楷体_GB2312"/>
          <w:szCs w:val="32"/>
        </w:rPr>
      </w:pPr>
    </w:p>
    <w:p w14:paraId="64E64D9D">
      <w:pPr>
        <w:pStyle w:val="4"/>
        <w:keepNext/>
        <w:keepLines/>
        <w:adjustRightInd w:val="0"/>
        <w:snapToGrid w:val="0"/>
        <w:spacing w:line="600" w:lineRule="exact"/>
        <w:ind w:firstLine="640" w:firstLineChars="200"/>
      </w:pPr>
      <w:bookmarkStart w:id="136" w:name="_Toc8518"/>
      <w:bookmarkStart w:id="137" w:name="_Toc223176540"/>
      <w:bookmarkStart w:id="138" w:name="_Toc8323"/>
      <w:bookmarkStart w:id="139" w:name="_Toc1226"/>
      <w:bookmarkStart w:id="140" w:name="_Toc7615"/>
      <w:bookmarkStart w:id="141" w:name="_Toc30727"/>
      <w:bookmarkStart w:id="142" w:name="_Toc20112"/>
      <w:bookmarkStart w:id="143" w:name="_Toc20493"/>
      <w:r>
        <w:rPr>
          <w:rFonts w:hint="eastAsia"/>
        </w:rPr>
        <w:t>第一节 壮大四大新兴产业集群</w:t>
      </w:r>
      <w:bookmarkEnd w:id="136"/>
      <w:bookmarkEnd w:id="137"/>
      <w:bookmarkEnd w:id="138"/>
      <w:bookmarkEnd w:id="139"/>
      <w:bookmarkEnd w:id="140"/>
      <w:bookmarkEnd w:id="141"/>
      <w:bookmarkEnd w:id="142"/>
      <w:bookmarkEnd w:id="143"/>
    </w:p>
    <w:p w14:paraId="723C7C57">
      <w:pPr>
        <w:spacing w:line="600" w:lineRule="exact"/>
        <w:rPr>
          <w:rFonts w:ascii="仿宋_GB2312" w:hAnsi="仿宋_GB2312" w:eastAsia="仿宋_GB2312" w:cs="仿宋_GB2312"/>
          <w:b/>
          <w:bCs/>
          <w:sz w:val="32"/>
          <w:szCs w:val="32"/>
          <w:lang w:bidi="ar"/>
        </w:rPr>
      </w:pPr>
    </w:p>
    <w:p w14:paraId="157B0806">
      <w:pPr>
        <w:widowControl/>
        <w:spacing w:line="600" w:lineRule="exact"/>
        <w:ind w:firstLine="643" w:firstLineChars="200"/>
        <w:rPr>
          <w:rFonts w:ascii="仿宋_GB2312" w:hAnsi="仿宋_GB2312" w:eastAsia="仿宋_GB2312" w:cs="仿宋_GB2312"/>
          <w:kern w:val="2"/>
          <w:sz w:val="32"/>
          <w:szCs w:val="32"/>
        </w:rPr>
      </w:pPr>
      <w:r>
        <w:rPr>
          <w:rFonts w:hint="eastAsia" w:ascii="仿宋_GB2312" w:hAnsi="楷体_GB2312" w:eastAsia="仿宋_GB2312" w:cs="楷体_GB2312"/>
          <w:b/>
          <w:bCs/>
          <w:sz w:val="32"/>
          <w:szCs w:val="32"/>
          <w:lang w:bidi="ar"/>
        </w:rPr>
        <w:t>电子信息产业集群。</w:t>
      </w:r>
      <w:r>
        <w:rPr>
          <w:rFonts w:hint="eastAsia" w:ascii="仿宋_GB2312" w:hAnsi="仿宋_GB2312" w:eastAsia="仿宋_GB2312" w:cs="仿宋_GB2312"/>
          <w:kern w:val="2"/>
          <w:sz w:val="32"/>
          <w:szCs w:val="32"/>
        </w:rPr>
        <w:t>初步形成以立讯、凯松、卓怡恒通等龙头企业为核心的集聚态势。“十五五”时期，坚持以漳泽工业园为承载，围绕智能终端、深紫外LED、电子信息自主创新三大方向集中攻坚，坚持承接东部产业转移和培育现有企业“两手抓”，加快构建梯队完整、特色鲜明的现代化电子信息产业体系，打造具有区域引领力和竞争力的百亿级电子信息产业高地。</w:t>
      </w:r>
    </w:p>
    <w:p w14:paraId="2BEF8FBE">
      <w:pPr>
        <w:widowControl/>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一是实施龙头企业培优工程</w:t>
      </w:r>
      <w:r>
        <w:rPr>
          <w:rFonts w:hint="eastAsia" w:ascii="仿宋_GB2312" w:hAnsi="仿宋_GB2312" w:eastAsia="仿宋_GB2312" w:cs="仿宋_GB2312"/>
          <w:kern w:val="2"/>
          <w:sz w:val="32"/>
          <w:szCs w:val="32"/>
        </w:rPr>
        <w:t>。聚焦链主企业培育，建立全周期服务体系，</w:t>
      </w:r>
      <w:r>
        <w:rPr>
          <w:rFonts w:hint="eastAsia" w:ascii="仿宋_GB2312" w:eastAsia="仿宋_GB2312"/>
          <w:sz w:val="32"/>
          <w:szCs w:val="32"/>
        </w:rPr>
        <w:t>围绕产业链强链、补链、延链方向，支持重点企业开展技术改造、产能扩张和产业链协同升级</w:t>
      </w:r>
      <w:r>
        <w:rPr>
          <w:rFonts w:hint="eastAsia" w:ascii="仿宋_GB2312" w:hAnsi="仿宋_GB2312" w:eastAsia="仿宋_GB2312" w:cs="仿宋_GB2312"/>
          <w:kern w:val="2"/>
          <w:sz w:val="32"/>
          <w:szCs w:val="32"/>
        </w:rPr>
        <w:t>，支持链主企业及重点链核企业开展产能提升、技术改造与智能化升级，着力打造具有行业引领力的领军企业梯队，依托龙头企业在技术、市场和供应链方面的带动作用，推动上下游配套企业集聚发展，形成以龙头企业为核心的产业链协同发展格局，力争“十五五”期间新培育1-2家20亿元和一批亿元以上产值企业。重点支持立讯精密承接高端线束、连接器等业务，围绕消费电子和智能终端产业链延链补链，引导相关配套企业在连接组件、精密结构件和电子模块等领域集聚发展，力争产值达到30亿元；推动凯松电子逐步将深圳总部电容器产能转移到高新区，完善电子元器件产业链布局，带动上下游材料供应和应用企业协同发展，实现产值逐年跃升，到2030年达到10亿元，打造全国重要的电容器生产基地。协助卓怡恒通完成总部搬迁并加快上市进程，成为全市首家上市的电子企业。</w:t>
      </w:r>
    </w:p>
    <w:p w14:paraId="206A4364">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二是实施特色产业集聚工程。</w:t>
      </w:r>
      <w:r>
        <w:rPr>
          <w:rFonts w:hint="eastAsia" w:ascii="仿宋_GB2312" w:hAnsi="仿宋_GB2312" w:eastAsia="仿宋_GB2312" w:cs="仿宋_GB2312"/>
          <w:kern w:val="2"/>
          <w:sz w:val="32"/>
          <w:szCs w:val="32"/>
        </w:rPr>
        <w:t>重点针对深紫外LED和信创产业</w:t>
      </w:r>
      <w:r>
        <w:rPr>
          <w:rFonts w:ascii="仿宋_GB2312" w:hAnsi="仿宋_GB2312" w:eastAsia="仿宋_GB2312" w:cs="仿宋_GB2312"/>
          <w:kern w:val="2"/>
          <w:sz w:val="32"/>
          <w:szCs w:val="32"/>
          <w:vertAlign w:val="superscript"/>
        </w:rPr>
        <w:fldChar w:fldCharType="begin"/>
      </w:r>
      <w:r>
        <w:instrText xml:space="preserve"> REF _Ref223540725 \n \h  \* MERGEFORMAT</w:instrText>
      </w:r>
      <w:r>
        <w:rPr>
          <w:rFonts w:ascii="仿宋_GB2312" w:hAnsi="仿宋_GB2312" w:eastAsia="仿宋_GB2312" w:cs="仿宋_GB2312"/>
          <w:kern w:val="2"/>
          <w:sz w:val="32"/>
          <w:szCs w:val="32"/>
          <w:vertAlign w:val="superscript"/>
        </w:rPr>
        <w:fldChar w:fldCharType="separate"/>
      </w:r>
      <w:r>
        <w:rPr>
          <w:rFonts w:ascii="仿宋_GB2312" w:hAnsi="仿宋_GB2312" w:eastAsia="仿宋_GB2312" w:cs="仿宋_GB2312"/>
          <w:kern w:val="2"/>
          <w:sz w:val="32"/>
          <w:szCs w:val="32"/>
          <w:vertAlign w:val="superscript"/>
        </w:rPr>
        <w:t>[</w:t>
      </w:r>
      <w:r>
        <w:rPr>
          <w:rFonts w:hint="eastAsia" w:ascii="仿宋_GB2312" w:hAnsi="仿宋_GB2312" w:eastAsia="仿宋_GB2312" w:cs="仿宋_GB2312"/>
          <w:kern w:val="2"/>
          <w:sz w:val="32"/>
          <w:szCs w:val="32"/>
          <w:vertAlign w:val="superscript"/>
        </w:rPr>
        <w:t>8</w:t>
      </w:r>
      <w:r>
        <w:rPr>
          <w:rFonts w:ascii="仿宋_GB2312" w:hAnsi="仿宋_GB2312" w:eastAsia="仿宋_GB2312" w:cs="仿宋_GB2312"/>
          <w:kern w:val="2"/>
          <w:sz w:val="32"/>
          <w:szCs w:val="32"/>
          <w:vertAlign w:val="superscript"/>
        </w:rPr>
        <w:t>]</w:t>
      </w:r>
      <w:r>
        <w:rPr>
          <w:rFonts w:ascii="仿宋_GB2312" w:hAnsi="仿宋_GB2312" w:eastAsia="仿宋_GB2312" w:cs="仿宋_GB2312"/>
          <w:kern w:val="2"/>
          <w:sz w:val="32"/>
          <w:szCs w:val="32"/>
          <w:vertAlign w:val="superscript"/>
        </w:rPr>
        <w:fldChar w:fldCharType="end"/>
      </w:r>
      <w:r>
        <w:rPr>
          <w:rFonts w:hint="eastAsia" w:ascii="仿宋_GB2312" w:hAnsi="仿宋_GB2312" w:eastAsia="仿宋_GB2312" w:cs="仿宋_GB2312"/>
          <w:kern w:val="2"/>
          <w:sz w:val="32"/>
          <w:szCs w:val="32"/>
        </w:rPr>
        <w:t>集中发力、做大做强。在深紫外LED产业领域，明确中科潞安紫外光电公司为链主企业，充分发挥其技术和资源引领优势，带动华微紫外、光益生无创医疗等链上企业协同发展，构建从关键材料、芯片制造到器件封装的全产业链生态，形成规模超20亿元的产业集群。在信创产业发展上，坚持“以市场换产业”策略，升级信创产业公共服务平台，引进龙芯GPU生产项目、信创打印机等国产化终端设备生产类链核企业，构建“CPU—操作系统—基础软件—应用软件—整机—系统集成”的全产业链生态，创建省级信创专业镇。</w:t>
      </w:r>
    </w:p>
    <w:p w14:paraId="27A8253A">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三是承接产业转移补链工程。</w:t>
      </w:r>
      <w:r>
        <w:rPr>
          <w:rFonts w:hint="eastAsia" w:ascii="仿宋_GB2312" w:hAnsi="仿宋_GB2312" w:eastAsia="仿宋_GB2312" w:cs="仿宋_GB2312"/>
          <w:kern w:val="2"/>
          <w:sz w:val="32"/>
          <w:szCs w:val="32"/>
        </w:rPr>
        <w:t>紧抓国家战略腹地建设和承接东部产业转移的重大机遇，坚持以集群式理念狠抓招商引资，重点对接京津冀、珠三角、长三角等区域头部电子企业，承接高端电容材料、线束、连接器等高附加值核心零部件制造，实现产业链补齐和强固，引进投产一批行业头部的电子信息企业。</w:t>
      </w:r>
    </w:p>
    <w:tbl>
      <w:tblPr>
        <w:tblStyle w:val="26"/>
        <w:tblW w:w="88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23"/>
      </w:tblGrid>
      <w:tr w14:paraId="0325E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823" w:type="dxa"/>
            <w:tcBorders>
              <w:top w:val="single" w:color="000000" w:sz="4" w:space="0"/>
              <w:left w:val="single" w:color="000000" w:sz="4" w:space="0"/>
              <w:bottom w:val="single" w:color="000000" w:sz="4" w:space="0"/>
              <w:right w:val="single" w:color="000000" w:sz="4" w:space="0"/>
            </w:tcBorders>
            <w:vAlign w:val="center"/>
          </w:tcPr>
          <w:p w14:paraId="78A8EA00">
            <w:pPr>
              <w:pStyle w:val="46"/>
              <w:keepNext/>
              <w:spacing w:line="600" w:lineRule="exact"/>
              <w:ind w:left="11"/>
              <w:rPr>
                <w:rFonts w:ascii="Times New Roman" w:hAnsi="Times New Roman" w:eastAsia="方正仿宋_GB2312"/>
                <w:lang w:bidi="ar"/>
              </w:rPr>
            </w:pPr>
            <w:r>
              <w:rPr>
                <w:rFonts w:ascii="Times New Roman" w:hAnsi="Times New Roman"/>
                <w:lang w:bidi="ar"/>
              </w:rPr>
              <w:t>专栏</w:t>
            </w:r>
            <w:r>
              <w:rPr>
                <w:rFonts w:hint="eastAsia" w:ascii="Times New Roman" w:hAnsi="Times New Roman"/>
                <w:lang w:bidi="ar"/>
              </w:rPr>
              <w:t>2</w:t>
            </w:r>
            <w:r>
              <w:rPr>
                <w:rFonts w:ascii="Times New Roman" w:hAnsi="Times New Roman"/>
                <w:lang w:bidi="ar"/>
              </w:rPr>
              <w:t xml:space="preserve"> </w:t>
            </w:r>
            <w:r>
              <w:rPr>
                <w:rFonts w:hint="eastAsia" w:ascii="Times New Roman" w:hAnsi="Times New Roman"/>
                <w:lang w:bidi="ar"/>
              </w:rPr>
              <w:t xml:space="preserve"> 电子信息产业重点项目</w:t>
            </w:r>
          </w:p>
        </w:tc>
      </w:tr>
      <w:tr w14:paraId="29C06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jc w:val="center"/>
        </w:trPr>
        <w:tc>
          <w:tcPr>
            <w:tcW w:w="8823" w:type="dxa"/>
            <w:tcBorders>
              <w:top w:val="single" w:color="000000" w:sz="4" w:space="0"/>
              <w:left w:val="single" w:color="000000" w:sz="4" w:space="0"/>
              <w:bottom w:val="single" w:color="000000" w:sz="4" w:space="0"/>
              <w:right w:val="single" w:color="000000" w:sz="4" w:space="0"/>
            </w:tcBorders>
          </w:tcPr>
          <w:p w14:paraId="60978005">
            <w:pPr>
              <w:pStyle w:val="47"/>
              <w:keepNext/>
              <w:widowControl/>
              <w:shd w:val="clear" w:color="auto" w:fill="FFFFFF"/>
              <w:tabs>
                <w:tab w:val="left" w:pos="526"/>
              </w:tabs>
              <w:ind w:left="210" w:right="210" w:firstLine="482"/>
              <w:rPr>
                <w:rFonts w:ascii="宋体" w:hAnsi="宋体" w:eastAsia="宋体" w:cs="宋体"/>
                <w:lang w:bidi="ar"/>
              </w:rPr>
            </w:pPr>
            <w:r>
              <w:rPr>
                <w:rFonts w:hint="eastAsia" w:ascii="宋体" w:hAnsi="宋体" w:eastAsia="宋体" w:cs="宋体"/>
                <w:b/>
                <w:bCs w:val="0"/>
                <w:lang w:bidi="ar"/>
              </w:rPr>
              <w:t>华耀亿嘉集成电路封测基地建设项目（二期）</w:t>
            </w:r>
            <w:r>
              <w:rPr>
                <w:rFonts w:hint="eastAsia" w:ascii="宋体" w:hAnsi="宋体" w:eastAsia="宋体" w:cs="宋体"/>
                <w:lang w:bidi="ar"/>
              </w:rPr>
              <w:t>：计划总投资20亿元，建设用地100亩，建成洁净厂房8万平方米，引进国际领先的封测设备6000余台/套，打造集研发、生产于一体的现代化产业园区。项目达产后，具备年产集成电路产品200亿只能力，预计实现年产值20亿元，利税4亿元，带动产业链上下游就业5000余人。</w:t>
            </w:r>
          </w:p>
          <w:p w14:paraId="2F172E90">
            <w:pPr>
              <w:pStyle w:val="47"/>
              <w:keepNext/>
              <w:widowControl/>
              <w:shd w:val="clear" w:color="auto" w:fill="FFFFFF"/>
              <w:tabs>
                <w:tab w:val="left" w:pos="526"/>
              </w:tabs>
              <w:ind w:left="210" w:right="210" w:firstLine="482"/>
              <w:rPr>
                <w:rFonts w:ascii="宋体" w:hAnsi="宋体" w:eastAsia="宋体" w:cs="宋体"/>
                <w:lang w:bidi="ar"/>
              </w:rPr>
            </w:pPr>
            <w:r>
              <w:rPr>
                <w:rFonts w:hint="eastAsia" w:ascii="宋体" w:hAnsi="宋体" w:eastAsia="宋体" w:cs="宋体"/>
                <w:b/>
                <w:bCs w:val="0"/>
                <w:lang w:bidi="ar"/>
              </w:rPr>
              <w:t>卓怡恒通计算机数字化智能制造基地项目：</w:t>
            </w:r>
            <w:r>
              <w:rPr>
                <w:rFonts w:hint="eastAsia" w:ascii="宋体" w:hAnsi="宋体" w:eastAsia="宋体" w:cs="宋体"/>
                <w:lang w:bidi="ar"/>
              </w:rPr>
              <w:t>2026年计划新增投资3000万元，增加整机智能生产线，整机生产能力达到年50万台,实现整机增量突破。计划到2027年营收预计超15亿元，2030年营收预计超20亿元。</w:t>
            </w:r>
          </w:p>
          <w:p w14:paraId="276226A0">
            <w:pPr>
              <w:pStyle w:val="47"/>
              <w:keepNext/>
              <w:widowControl/>
              <w:shd w:val="clear" w:color="auto" w:fill="FFFFFF"/>
              <w:tabs>
                <w:tab w:val="left" w:pos="526"/>
              </w:tabs>
              <w:ind w:left="210" w:right="210" w:firstLine="482"/>
              <w:rPr>
                <w:rFonts w:ascii="宋体" w:hAnsi="宋体" w:eastAsia="宋体" w:cs="宋体"/>
                <w:lang w:bidi="ar"/>
              </w:rPr>
            </w:pPr>
            <w:r>
              <w:rPr>
                <w:rFonts w:hint="eastAsia" w:ascii="宋体" w:hAnsi="宋体" w:eastAsia="宋体" w:cs="宋体"/>
                <w:b/>
                <w:bCs w:val="0"/>
                <w:lang w:bidi="ar"/>
              </w:rPr>
              <w:t>山西立讯扩产项目：</w:t>
            </w:r>
            <w:r>
              <w:rPr>
                <w:rFonts w:hint="eastAsia" w:ascii="宋体" w:hAnsi="宋体" w:eastAsia="宋体" w:cs="宋体"/>
                <w:lang w:bidi="ar"/>
              </w:rPr>
              <w:t>总投资</w:t>
            </w:r>
            <w:r>
              <w:rPr>
                <w:rFonts w:ascii="宋体" w:hAnsi="宋体" w:eastAsia="宋体" w:cs="宋体"/>
                <w:lang w:bidi="ar"/>
              </w:rPr>
              <w:t>1</w:t>
            </w:r>
            <w:r>
              <w:rPr>
                <w:rFonts w:hint="eastAsia" w:ascii="宋体" w:hAnsi="宋体" w:eastAsia="宋体" w:cs="宋体"/>
                <w:lang w:bidi="ar"/>
              </w:rPr>
              <w:t>亿元，于</w:t>
            </w:r>
            <w:r>
              <w:rPr>
                <w:rFonts w:ascii="宋体" w:hAnsi="宋体" w:eastAsia="宋体" w:cs="宋体"/>
                <w:lang w:bidi="ar"/>
              </w:rPr>
              <w:t>2025</w:t>
            </w:r>
            <w:r>
              <w:rPr>
                <w:rFonts w:hint="eastAsia" w:ascii="宋体" w:hAnsi="宋体" w:eastAsia="宋体" w:cs="宋体"/>
                <w:lang w:bidi="ar"/>
              </w:rPr>
              <w:t>年</w:t>
            </w:r>
            <w:r>
              <w:rPr>
                <w:rFonts w:ascii="宋体" w:hAnsi="宋体" w:eastAsia="宋体" w:cs="宋体"/>
                <w:lang w:bidi="ar"/>
              </w:rPr>
              <w:t>8</w:t>
            </w:r>
            <w:r>
              <w:rPr>
                <w:rFonts w:hint="eastAsia" w:ascii="宋体" w:hAnsi="宋体" w:eastAsia="宋体" w:cs="宋体"/>
                <w:lang w:bidi="ar"/>
              </w:rPr>
              <w:t>月开工，计划竣工时间为</w:t>
            </w:r>
            <w:r>
              <w:rPr>
                <w:rFonts w:ascii="宋体" w:hAnsi="宋体" w:eastAsia="宋体" w:cs="宋体"/>
                <w:lang w:bidi="ar"/>
              </w:rPr>
              <w:t>2026</w:t>
            </w:r>
            <w:r>
              <w:rPr>
                <w:rFonts w:hint="eastAsia" w:ascii="宋体" w:hAnsi="宋体" w:eastAsia="宋体" w:cs="宋体"/>
                <w:lang w:bidi="ar"/>
              </w:rPr>
              <w:t>年</w:t>
            </w:r>
            <w:r>
              <w:rPr>
                <w:rFonts w:ascii="宋体" w:hAnsi="宋体" w:eastAsia="宋体" w:cs="宋体"/>
                <w:lang w:bidi="ar"/>
              </w:rPr>
              <w:t>6</w:t>
            </w:r>
            <w:r>
              <w:rPr>
                <w:rFonts w:hint="eastAsia" w:ascii="宋体" w:hAnsi="宋体" w:eastAsia="宋体" w:cs="宋体"/>
                <w:lang w:bidi="ar"/>
              </w:rPr>
              <w:t>月。主要建设现代化智能仓储及电子线束生产设备、辅助设备、配套设施等，建筑面积</w:t>
            </w:r>
            <w:r>
              <w:rPr>
                <w:rFonts w:ascii="宋体" w:hAnsi="宋体" w:eastAsia="宋体" w:cs="宋体"/>
                <w:lang w:bidi="ar"/>
              </w:rPr>
              <w:t>15043</w:t>
            </w:r>
            <w:r>
              <w:rPr>
                <w:rFonts w:hint="eastAsia" w:ascii="宋体" w:hAnsi="宋体" w:eastAsia="宋体" w:cs="宋体"/>
                <w:lang w:bidi="ar"/>
              </w:rPr>
              <w:t>㎡。项目建成后，预计在现有产能基础上扩充</w:t>
            </w:r>
            <w:r>
              <w:rPr>
                <w:rFonts w:ascii="宋体" w:hAnsi="宋体" w:eastAsia="宋体" w:cs="宋体"/>
                <w:lang w:bidi="ar"/>
              </w:rPr>
              <w:t>20</w:t>
            </w:r>
            <w:r>
              <w:rPr>
                <w:rFonts w:hint="eastAsia" w:ascii="宋体" w:hAnsi="宋体" w:eastAsia="宋体" w:cs="宋体"/>
                <w:lang w:bidi="ar"/>
              </w:rPr>
              <w:t>条生产线，有效承接美团、雅迪等客户</w:t>
            </w:r>
            <w:r>
              <w:rPr>
                <w:rFonts w:ascii="宋体" w:hAnsi="宋体" w:eastAsia="宋体" w:cs="宋体"/>
                <w:lang w:bidi="ar"/>
              </w:rPr>
              <w:t>FATP</w:t>
            </w:r>
            <w:r>
              <w:rPr>
                <w:rFonts w:hint="eastAsia" w:ascii="宋体" w:hAnsi="宋体" w:eastAsia="宋体" w:cs="宋体"/>
                <w:lang w:bidi="ar"/>
              </w:rPr>
              <w:t>系统组装类产品，可带动就业岗位</w:t>
            </w:r>
            <w:r>
              <w:rPr>
                <w:rFonts w:ascii="宋体" w:hAnsi="宋体" w:eastAsia="宋体" w:cs="宋体"/>
                <w:lang w:bidi="ar"/>
              </w:rPr>
              <w:t>500</w:t>
            </w:r>
            <w:r>
              <w:rPr>
                <w:rFonts w:hint="eastAsia" w:ascii="宋体" w:hAnsi="宋体" w:eastAsia="宋体" w:cs="宋体"/>
                <w:lang w:bidi="ar"/>
              </w:rPr>
              <w:t>个，产值预计</w:t>
            </w:r>
            <w:r>
              <w:rPr>
                <w:rFonts w:ascii="宋体" w:hAnsi="宋体" w:eastAsia="宋体" w:cs="宋体"/>
                <w:lang w:bidi="ar"/>
              </w:rPr>
              <w:t>2</w:t>
            </w:r>
            <w:r>
              <w:rPr>
                <w:rFonts w:hint="eastAsia" w:ascii="宋体" w:hAnsi="宋体" w:eastAsia="宋体" w:cs="宋体"/>
                <w:lang w:bidi="ar"/>
              </w:rPr>
              <w:t>亿元，整个园区预计产值可实现</w:t>
            </w:r>
            <w:r>
              <w:rPr>
                <w:rFonts w:ascii="宋体" w:hAnsi="宋体" w:eastAsia="宋体" w:cs="宋体"/>
                <w:lang w:bidi="ar"/>
              </w:rPr>
              <w:t>15</w:t>
            </w:r>
            <w:r>
              <w:rPr>
                <w:rFonts w:hint="eastAsia" w:ascii="宋体" w:hAnsi="宋体" w:eastAsia="宋体" w:cs="宋体"/>
                <w:lang w:bidi="ar"/>
              </w:rPr>
              <w:t>亿元，将进一步完善高新区科技产业布局，助力本地电子信息化产业集群发展。</w:t>
            </w:r>
          </w:p>
          <w:p w14:paraId="7B709992">
            <w:pPr>
              <w:pStyle w:val="47"/>
              <w:keepNext/>
              <w:widowControl/>
              <w:shd w:val="clear" w:color="auto" w:fill="FFFFFF"/>
              <w:tabs>
                <w:tab w:val="left" w:pos="526"/>
              </w:tabs>
              <w:ind w:left="210" w:right="210" w:firstLine="482"/>
              <w:rPr>
                <w:rFonts w:ascii="Times New Roman" w:hAnsi="Times New Roman"/>
                <w:bCs w:val="0"/>
                <w:lang w:bidi="ar"/>
              </w:rPr>
            </w:pPr>
            <w:r>
              <w:rPr>
                <w:rFonts w:hint="eastAsia" w:ascii="宋体" w:hAnsi="宋体" w:eastAsia="宋体" w:cs="宋体"/>
                <w:b/>
                <w:bCs w:val="0"/>
                <w:lang w:bidi="ar"/>
              </w:rPr>
              <w:t>中科潞安深紫外LED扩产项目。</w:t>
            </w:r>
            <w:r>
              <w:rPr>
                <w:rFonts w:hint="eastAsia" w:ascii="宋体" w:hAnsi="宋体" w:eastAsia="宋体" w:cs="宋体"/>
                <w:bCs w:val="0"/>
                <w:lang w:bidi="ar"/>
              </w:rPr>
              <w:t>重点对封装、模组进行扩产，同时兼顾外延、芯片的产能提升，预计资金投入3007.8万元。项目扩产后，预计将具备年产紫外LED灯珠1亿颗、模组300万套、外延片3万片、芯片1.2亿颗的生产规模，同时新增80个就业岗位。2026年产值约2.2亿元，将产生显著的经济效益与社会效益，进一步巩固中科潞安在深紫外领域的龙头地位。</w:t>
            </w:r>
          </w:p>
        </w:tc>
      </w:tr>
    </w:tbl>
    <w:p w14:paraId="5451BF34">
      <w:pPr>
        <w:spacing w:line="600" w:lineRule="exact"/>
        <w:ind w:firstLine="643" w:firstLineChars="200"/>
        <w:rPr>
          <w:rFonts w:ascii="仿宋_GB2312" w:hAnsi="仿宋_GB2312" w:eastAsia="仿宋_GB2312" w:cs="仿宋_GB2312"/>
          <w:b/>
          <w:bCs/>
          <w:kern w:val="2"/>
          <w:sz w:val="32"/>
          <w:szCs w:val="32"/>
        </w:rPr>
      </w:pPr>
      <w:r>
        <w:rPr>
          <w:rFonts w:hint="eastAsia" w:ascii="仿宋_GB2312" w:hAnsi="楷体_GB2312" w:eastAsia="仿宋_GB2312" w:cs="楷体_GB2312"/>
          <w:b/>
          <w:bCs/>
          <w:sz w:val="32"/>
          <w:szCs w:val="32"/>
          <w:lang w:bidi="ar"/>
        </w:rPr>
        <w:t>新能源产业集群。</w:t>
      </w:r>
      <w:r>
        <w:rPr>
          <w:rFonts w:hint="eastAsia" w:ascii="仿宋_GB2312" w:hAnsi="仿宋_GB2312" w:eastAsia="仿宋_GB2312" w:cs="仿宋_GB2312"/>
          <w:sz w:val="32"/>
          <w:szCs w:val="32"/>
          <w:lang w:bidi="ar"/>
        </w:rPr>
        <w:t>该集群</w:t>
      </w:r>
      <w:r>
        <w:rPr>
          <w:rFonts w:hint="eastAsia" w:ascii="仿宋_GB2312" w:hAnsi="仿宋_GB2312" w:eastAsia="仿宋_GB2312" w:cs="仿宋_GB2312"/>
          <w:kern w:val="2"/>
          <w:sz w:val="32"/>
          <w:szCs w:val="32"/>
        </w:rPr>
        <w:t>由动力锂电池、光伏发电及新型储能三大板块组成，是高新区加快产业转型、构建新型能源体系、实现绿色发展优势的核心力量。“十五五”将以打造华北重要的新能源产业集聚区为目标，依托长治能源和资源优势，以“绿色低碳、全链布局、应用牵引”为路径，以翟店工业园为主要承载,实施建链稳链工程，推动产业实现规模</w:t>
      </w:r>
      <w:r>
        <w:rPr>
          <w:rFonts w:hint="eastAsia" w:ascii="Calibri" w:hAnsi="Calibri" w:eastAsia="仿宋_GB2312" w:cs="Calibri"/>
          <w:kern w:val="2"/>
          <w:sz w:val="32"/>
          <w:szCs w:val="32"/>
        </w:rPr>
        <w:t>发展、质效提升</w:t>
      </w:r>
      <w:r>
        <w:rPr>
          <w:rFonts w:hint="eastAsia" w:ascii="仿宋_GB2312" w:hAnsi="仿宋_GB2312" w:eastAsia="仿宋_GB2312" w:cs="仿宋_GB2312"/>
          <w:kern w:val="2"/>
          <w:sz w:val="32"/>
          <w:szCs w:val="32"/>
        </w:rPr>
        <w:t>。</w:t>
      </w:r>
    </w:p>
    <w:p w14:paraId="5F210674">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一是聚焦锂电新材料，构建闭环产业生态</w:t>
      </w:r>
      <w:r>
        <w:rPr>
          <w:rFonts w:hint="eastAsia" w:ascii="仿宋_GB2312" w:hAnsi="仿宋_GB2312" w:eastAsia="仿宋_GB2312" w:cs="仿宋_GB2312"/>
          <w:kern w:val="2"/>
          <w:sz w:val="32"/>
          <w:szCs w:val="32"/>
        </w:rPr>
        <w:t>。坚持把发展动力锂电池产业作为建链重点，依托现有正负极材料基础，实现从零到壹的快速突破，努力打造全国重要的磷酸锰铁锂生产基地。</w:t>
      </w:r>
      <w:r>
        <w:rPr>
          <w:rFonts w:hint="eastAsia" w:ascii="仿宋_GB2312" w:hAnsi="微软雅黑" w:eastAsia="仿宋_GB2312" w:cs="微软雅黑"/>
          <w:kern w:val="2"/>
          <w:sz w:val="32"/>
          <w:szCs w:val="32"/>
        </w:rPr>
        <w:t>巩固</w:t>
      </w:r>
      <w:r>
        <w:rPr>
          <w:rFonts w:hint="eastAsia" w:ascii="仿宋_GB2312" w:hAnsi="仿宋_GB2312" w:eastAsia="仿宋_GB2312" w:cs="仿宋_GB2312"/>
          <w:kern w:val="2"/>
          <w:sz w:val="32"/>
          <w:szCs w:val="32"/>
        </w:rPr>
        <w:t>特瓦时年产10万吨磷酸锰铁锂正极材料项目，加快山西晨烯年产4万吨锂电负极材料项目建设，形成一体化锂电材料产业格局。在此基础上，全力推动特瓦时二期年产</w:t>
      </w:r>
      <w:r>
        <w:rPr>
          <w:rFonts w:ascii="仿宋_GB2312" w:hAnsi="仿宋_GB2312" w:eastAsia="仿宋_GB2312" w:cs="仿宋_GB2312"/>
          <w:kern w:val="2"/>
          <w:sz w:val="32"/>
          <w:szCs w:val="32"/>
        </w:rPr>
        <w:t>3</w:t>
      </w:r>
      <w:r>
        <w:rPr>
          <w:rFonts w:hint="eastAsia" w:ascii="仿宋_GB2312" w:hAnsi="仿宋_GB2312" w:eastAsia="仿宋_GB2312" w:cs="仿宋_GB2312"/>
          <w:kern w:val="2"/>
          <w:sz w:val="32"/>
          <w:szCs w:val="32"/>
        </w:rPr>
        <w:t>万吨固态电池正极材料项目建成投产，</w:t>
      </w:r>
      <w:r>
        <w:rPr>
          <w:rFonts w:hint="eastAsia" w:ascii="仿宋_GB2312" w:eastAsia="仿宋_GB2312"/>
          <w:sz w:val="32"/>
          <w:szCs w:val="32"/>
        </w:rPr>
        <w:t>做强正极材料产业</w:t>
      </w:r>
      <w:r>
        <w:rPr>
          <w:rFonts w:hint="eastAsia" w:ascii="仿宋_GB2312" w:hAnsi="仿宋_GB2312" w:eastAsia="仿宋_GB2312" w:cs="仿宋_GB2312"/>
          <w:kern w:val="2"/>
          <w:sz w:val="32"/>
          <w:szCs w:val="32"/>
        </w:rPr>
        <w:t>。在产业链集群化方面，坚持</w:t>
      </w:r>
      <w:r>
        <w:rPr>
          <w:rFonts w:hint="eastAsia" w:ascii="Calibri" w:hAnsi="Calibri" w:eastAsia="仿宋_GB2312" w:cs="仿宋_GB2312"/>
          <w:kern w:val="2"/>
          <w:sz w:val="32"/>
          <w:szCs w:val="32"/>
        </w:rPr>
        <w:t>以绿电、绿证为核心抓手，</w:t>
      </w:r>
      <w:r>
        <w:rPr>
          <w:rFonts w:hint="eastAsia" w:ascii="仿宋_GB2312" w:hAnsi="仿宋_GB2312" w:eastAsia="仿宋_GB2312" w:cs="仿宋_GB2312"/>
          <w:kern w:val="2"/>
          <w:sz w:val="32"/>
          <w:szCs w:val="32"/>
        </w:rPr>
        <w:t>以特瓦时为核心牵引，重点招引电芯、隔膜、电解液、锂电池生产制造等链核企业，构建“材料—电池—回收”的产业闭环生态体系，力争“十五五”期间，动力锂电池产业集群产值实现百亿级突破。</w:t>
      </w:r>
    </w:p>
    <w:p w14:paraId="110184CF">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二是稳定光伏产业，推动技术跃升。</w:t>
      </w:r>
      <w:r>
        <w:rPr>
          <w:rFonts w:hint="eastAsia" w:ascii="仿宋_GB2312" w:hAnsi="仿宋_GB2312" w:eastAsia="仿宋_GB2312" w:cs="仿宋_GB2312"/>
          <w:kern w:val="2"/>
          <w:sz w:val="32"/>
          <w:szCs w:val="32"/>
        </w:rPr>
        <w:t>实施稳链工程，推动光伏产业实现稳中求进、技术跃升。针对行业竞争和产品技术落后的现状，支持潞安太阳能增加新一代光伏组件生产线，扩大高效组件产能，力争到2030年光伏组件转化效率突破25%，建成国家绿色工厂。在市场拓展方面，支持本土企业提升组件技术水平和市场竞争力，积极参与本地及国内外光伏电站项目招标，争取提升技术竞争力及市场份额占比；支持企业参与“一带一路”沿线国家光伏电站建设，拓展国际市场。积极发展分布式光伏，推动光伏建筑一体化应用，开展分布式光储调频电站等“光伏+储能”示范项目。</w:t>
      </w:r>
    </w:p>
    <w:p w14:paraId="0250A590">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三是培育储能产业，强化新能源系统支撑。</w:t>
      </w:r>
      <w:r>
        <w:rPr>
          <w:rFonts w:hint="eastAsia" w:ascii="仿宋_GB2312" w:hAnsi="仿宋_GB2312" w:eastAsia="仿宋_GB2312" w:cs="仿宋_GB2312"/>
          <w:kern w:val="2"/>
          <w:sz w:val="32"/>
          <w:szCs w:val="32"/>
        </w:rPr>
        <w:t>以“多元技术协同、全产业链布局、跨界融合应用”为导向，构建新型储能产业体系。在电化学储能领域，重点发展长时储能锂电池，加快潞州协诚200MW/400MWh新型储能等项目落地，建设规模化储能电池生产基地。在物理储能和热储能领域，积极探索压缩空气储能、飞轮储能、超级电容等技术路径，推动与新能源发电及工业用能场景协同发展，提升可再生能源消纳能力和电力系统调节能力。拓展储能应用场景，推动储能系统在分布式光伏、微电网、虚拟电厂等领域的深度融合，建设源网荷储一体化</w:t>
      </w:r>
      <w:r>
        <w:rPr>
          <w:rFonts w:ascii="仿宋_GB2312" w:hAnsi="仿宋_GB2312" w:eastAsia="仿宋_GB2312" w:cs="仿宋_GB2312"/>
          <w:kern w:val="2"/>
          <w:sz w:val="32"/>
          <w:szCs w:val="32"/>
          <w:vertAlign w:val="superscript"/>
        </w:rPr>
        <w:fldChar w:fldCharType="begin"/>
      </w:r>
      <w:r>
        <w:instrText xml:space="preserve"> REF _Ref223540752 \n \h  \* MERGEFORMAT</w:instrText>
      </w:r>
      <w:r>
        <w:rPr>
          <w:rFonts w:ascii="仿宋_GB2312" w:hAnsi="仿宋_GB2312" w:eastAsia="仿宋_GB2312" w:cs="仿宋_GB2312"/>
          <w:kern w:val="2"/>
          <w:sz w:val="32"/>
          <w:szCs w:val="32"/>
          <w:vertAlign w:val="superscript"/>
        </w:rPr>
        <w:fldChar w:fldCharType="separate"/>
      </w:r>
      <w:r>
        <w:rPr>
          <w:rFonts w:ascii="仿宋_GB2312" w:hAnsi="仿宋_GB2312" w:eastAsia="仿宋_GB2312" w:cs="仿宋_GB2312"/>
          <w:kern w:val="2"/>
          <w:sz w:val="32"/>
          <w:szCs w:val="32"/>
          <w:vertAlign w:val="superscript"/>
        </w:rPr>
        <w:t>[</w:t>
      </w:r>
      <w:r>
        <w:rPr>
          <w:rFonts w:hint="eastAsia" w:ascii="仿宋_GB2312" w:hAnsi="仿宋_GB2312" w:eastAsia="仿宋_GB2312" w:cs="仿宋_GB2312"/>
          <w:kern w:val="2"/>
          <w:sz w:val="32"/>
          <w:szCs w:val="32"/>
          <w:vertAlign w:val="superscript"/>
        </w:rPr>
        <w:t>9</w:t>
      </w:r>
      <w:r>
        <w:rPr>
          <w:rFonts w:ascii="仿宋_GB2312" w:hAnsi="仿宋_GB2312" w:eastAsia="仿宋_GB2312" w:cs="仿宋_GB2312"/>
          <w:kern w:val="2"/>
          <w:sz w:val="32"/>
          <w:szCs w:val="32"/>
          <w:vertAlign w:val="superscript"/>
        </w:rPr>
        <w:t>]</w:t>
      </w:r>
      <w:r>
        <w:rPr>
          <w:rFonts w:ascii="仿宋_GB2312" w:hAnsi="仿宋_GB2312" w:eastAsia="仿宋_GB2312" w:cs="仿宋_GB2312"/>
          <w:kern w:val="2"/>
          <w:sz w:val="32"/>
          <w:szCs w:val="32"/>
          <w:vertAlign w:val="superscript"/>
        </w:rPr>
        <w:fldChar w:fldCharType="end"/>
      </w:r>
      <w:r>
        <w:rPr>
          <w:rFonts w:hint="eastAsia" w:ascii="仿宋_GB2312" w:hAnsi="仿宋_GB2312" w:eastAsia="仿宋_GB2312" w:cs="仿宋_GB2312"/>
          <w:kern w:val="2"/>
          <w:sz w:val="32"/>
          <w:szCs w:val="32"/>
        </w:rPr>
        <w:t>示范园区。依托园区新能源项目和绿色电力资源优势，探索储能系统在工业园区能源管理、电力调峰调频和应急备用等方面的综合应用，打造“新能源+储能+智慧能源管理”的示范应用模式。</w:t>
      </w:r>
    </w:p>
    <w:tbl>
      <w:tblPr>
        <w:tblStyle w:val="26"/>
        <w:tblW w:w="88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23"/>
      </w:tblGrid>
      <w:tr w14:paraId="00998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823" w:type="dxa"/>
            <w:tcBorders>
              <w:top w:val="single" w:color="000000" w:sz="4" w:space="0"/>
              <w:left w:val="single" w:color="000000" w:sz="4" w:space="0"/>
              <w:bottom w:val="single" w:color="000000" w:sz="4" w:space="0"/>
              <w:right w:val="single" w:color="000000" w:sz="4" w:space="0"/>
            </w:tcBorders>
            <w:vAlign w:val="center"/>
          </w:tcPr>
          <w:p w14:paraId="6AEC26CE">
            <w:pPr>
              <w:pStyle w:val="46"/>
              <w:spacing w:line="600" w:lineRule="exact"/>
              <w:ind w:left="11"/>
              <w:rPr>
                <w:rFonts w:ascii="Times New Roman" w:hAnsi="Times New Roman" w:eastAsia="方正仿宋_GB2312"/>
                <w:lang w:bidi="ar"/>
              </w:rPr>
            </w:pPr>
            <w:r>
              <w:rPr>
                <w:rFonts w:ascii="Times New Roman" w:hAnsi="Times New Roman"/>
                <w:lang w:bidi="ar"/>
              </w:rPr>
              <w:t>专栏</w:t>
            </w:r>
            <w:r>
              <w:rPr>
                <w:rFonts w:hint="eastAsia" w:ascii="Times New Roman" w:hAnsi="Times New Roman"/>
                <w:lang w:bidi="ar"/>
              </w:rPr>
              <w:t>3</w:t>
            </w:r>
            <w:r>
              <w:rPr>
                <w:rFonts w:ascii="Times New Roman" w:hAnsi="Times New Roman"/>
                <w:lang w:bidi="ar"/>
              </w:rPr>
              <w:t xml:space="preserve"> </w:t>
            </w:r>
            <w:r>
              <w:rPr>
                <w:rFonts w:hint="eastAsia" w:ascii="Times New Roman" w:hAnsi="Times New Roman"/>
                <w:lang w:bidi="ar"/>
              </w:rPr>
              <w:t xml:space="preserve"> 新能源产业重点项目</w:t>
            </w:r>
          </w:p>
        </w:tc>
      </w:tr>
      <w:tr w14:paraId="50B7E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823" w:type="dxa"/>
            <w:tcBorders>
              <w:top w:val="single" w:color="000000" w:sz="4" w:space="0"/>
              <w:left w:val="single" w:color="000000" w:sz="4" w:space="0"/>
              <w:bottom w:val="single" w:color="000000" w:sz="4" w:space="0"/>
              <w:right w:val="single" w:color="000000" w:sz="4" w:space="0"/>
            </w:tcBorders>
          </w:tcPr>
          <w:p w14:paraId="1DED16CC">
            <w:pPr>
              <w:pStyle w:val="47"/>
              <w:widowControl/>
              <w:shd w:val="clear" w:color="auto" w:fill="FFFFFF"/>
              <w:tabs>
                <w:tab w:val="left" w:pos="526"/>
              </w:tabs>
              <w:ind w:left="210" w:right="210" w:firstLine="482"/>
              <w:rPr>
                <w:rFonts w:ascii="宋体" w:hAnsi="宋体" w:eastAsia="宋体" w:cs="宋体"/>
                <w:lang w:bidi="ar"/>
              </w:rPr>
            </w:pPr>
            <w:r>
              <w:rPr>
                <w:rFonts w:hint="eastAsia" w:ascii="宋体" w:hAnsi="宋体" w:eastAsia="宋体" w:cs="宋体"/>
                <w:b/>
                <w:bCs w:val="0"/>
                <w:lang w:bidi="ar"/>
              </w:rPr>
              <w:t>特瓦时年产3万吨固态电池正极材料项目：</w:t>
            </w:r>
            <w:r>
              <w:rPr>
                <w:rFonts w:hint="eastAsia" w:ascii="宋体" w:hAnsi="宋体" w:eastAsia="宋体" w:cs="宋体"/>
                <w:lang w:bidi="ar"/>
              </w:rPr>
              <w:t>总投资5亿元，在行业内抢先布局固态电池专用正极材料，建成投产后预计可实现年销售收入20亿元，产品应用在新能源汽车固态电池上，有效解决新能源车续航、安全性、成本等全方面的问题，推动整个新能源产业发展。</w:t>
            </w:r>
          </w:p>
          <w:p w14:paraId="2B904F0D">
            <w:pPr>
              <w:pStyle w:val="47"/>
              <w:widowControl/>
              <w:shd w:val="clear" w:color="auto" w:fill="FFFFFF"/>
              <w:tabs>
                <w:tab w:val="left" w:pos="526"/>
              </w:tabs>
              <w:ind w:left="210" w:right="210" w:firstLine="482"/>
              <w:rPr>
                <w:rFonts w:ascii="宋体" w:hAnsi="宋体" w:eastAsia="宋体" w:cs="宋体"/>
                <w:lang w:bidi="ar"/>
              </w:rPr>
            </w:pPr>
            <w:r>
              <w:rPr>
                <w:rFonts w:hint="eastAsia" w:ascii="宋体" w:hAnsi="宋体" w:eastAsia="宋体" w:cs="宋体"/>
                <w:b/>
                <w:bCs w:val="0"/>
                <w:lang w:bidi="ar"/>
              </w:rPr>
              <w:t>潞州协诚200MW/400MWh新型储能项目：</w:t>
            </w:r>
            <w:r>
              <w:rPr>
                <w:rFonts w:hint="eastAsia" w:ascii="宋体" w:hAnsi="宋体" w:eastAsia="宋体" w:cs="宋体"/>
                <w:lang w:bidi="ar"/>
              </w:rPr>
              <w:t>总投资5.5亿元，选址为漳泽工业园张村附近，新建200MW/400MWh新型储能电站一座，采用40套5MW/10MWh储能子系统，每套储能系统含2套储能子系统（磷酸铁锂电池系统）、1套PCS中压一体机构成。每个储能子系统配套建设1台35KV升压箱变，共采用8回35KV集电线路接入新建220KV升压站。项目建成后年营业额约7000万，税收约1000万，建设期间接带动劳动力约200人。</w:t>
            </w:r>
          </w:p>
          <w:p w14:paraId="5A357AE1">
            <w:pPr>
              <w:pStyle w:val="47"/>
              <w:widowControl/>
              <w:shd w:val="clear" w:color="auto" w:fill="FFFFFF"/>
              <w:tabs>
                <w:tab w:val="left" w:pos="526"/>
              </w:tabs>
              <w:ind w:left="210" w:right="210" w:firstLine="480"/>
              <w:rPr>
                <w:rFonts w:ascii="Times New Roman" w:hAnsi="Times New Roman"/>
                <w:lang w:bidi="ar"/>
              </w:rPr>
            </w:pPr>
          </w:p>
        </w:tc>
      </w:tr>
    </w:tbl>
    <w:p w14:paraId="39422ABC">
      <w:pPr>
        <w:spacing w:line="600" w:lineRule="exact"/>
        <w:ind w:firstLine="643" w:firstLineChars="200"/>
        <w:rPr>
          <w:rFonts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rPr>
        <w:t>装备制造产业集群。</w:t>
      </w:r>
      <w:r>
        <w:rPr>
          <w:rFonts w:hint="eastAsia" w:ascii="仿宋_GB2312" w:hAnsi="仿宋_GB2312" w:eastAsia="仿宋_GB2312" w:cs="仿宋_GB2312"/>
          <w:kern w:val="2"/>
          <w:sz w:val="32"/>
          <w:szCs w:val="32"/>
        </w:rPr>
        <w:t>是高新区实现产业高端化、智能化转型的重要支撑。要以“智能化、高端化、集群化”为方向，以翟店工业园为主要承载，推动全区装备制造产业链延链补链强链</w:t>
      </w:r>
      <w:r>
        <w:rPr>
          <w:rFonts w:ascii="仿宋_GB2312" w:hAnsi="仿宋_GB2312" w:eastAsia="仿宋_GB2312" w:cs="仿宋_GB2312"/>
          <w:kern w:val="2"/>
          <w:sz w:val="32"/>
          <w:szCs w:val="32"/>
          <w:vertAlign w:val="superscript"/>
        </w:rPr>
        <w:fldChar w:fldCharType="begin"/>
      </w:r>
      <w:r>
        <w:instrText xml:space="preserve"> REF _Ref223540767 \n \h  \* MERGEFORMAT</w:instrText>
      </w:r>
      <w:r>
        <w:rPr>
          <w:rFonts w:ascii="仿宋_GB2312" w:hAnsi="仿宋_GB2312" w:eastAsia="仿宋_GB2312" w:cs="仿宋_GB2312"/>
          <w:kern w:val="2"/>
          <w:sz w:val="32"/>
          <w:szCs w:val="32"/>
          <w:vertAlign w:val="superscript"/>
        </w:rPr>
        <w:fldChar w:fldCharType="separate"/>
      </w:r>
      <w:r>
        <w:rPr>
          <w:rFonts w:ascii="仿宋_GB2312" w:hAnsi="仿宋_GB2312" w:eastAsia="仿宋_GB2312" w:cs="仿宋_GB2312"/>
          <w:kern w:val="2"/>
          <w:sz w:val="32"/>
          <w:szCs w:val="32"/>
          <w:vertAlign w:val="superscript"/>
        </w:rPr>
        <w:t>[1</w:t>
      </w:r>
      <w:r>
        <w:rPr>
          <w:rFonts w:hint="eastAsia" w:ascii="仿宋_GB2312" w:hAnsi="仿宋_GB2312" w:eastAsia="仿宋_GB2312" w:cs="仿宋_GB2312"/>
          <w:kern w:val="2"/>
          <w:sz w:val="32"/>
          <w:szCs w:val="32"/>
          <w:vertAlign w:val="superscript"/>
        </w:rPr>
        <w:t>0</w:t>
      </w:r>
      <w:r>
        <w:rPr>
          <w:rFonts w:ascii="仿宋_GB2312" w:hAnsi="仿宋_GB2312" w:eastAsia="仿宋_GB2312" w:cs="仿宋_GB2312"/>
          <w:kern w:val="2"/>
          <w:sz w:val="32"/>
          <w:szCs w:val="32"/>
          <w:vertAlign w:val="superscript"/>
        </w:rPr>
        <w:t>]</w:t>
      </w:r>
      <w:r>
        <w:rPr>
          <w:rFonts w:ascii="仿宋_GB2312" w:hAnsi="仿宋_GB2312" w:eastAsia="仿宋_GB2312" w:cs="仿宋_GB2312"/>
          <w:kern w:val="2"/>
          <w:sz w:val="32"/>
          <w:szCs w:val="32"/>
          <w:vertAlign w:val="superscript"/>
        </w:rPr>
        <w:fldChar w:fldCharType="end"/>
      </w:r>
      <w:r>
        <w:rPr>
          <w:rFonts w:hint="eastAsia" w:ascii="仿宋_GB2312" w:hAnsi="仿宋_GB2312" w:eastAsia="仿宋_GB2312" w:cs="仿宋_GB2312"/>
          <w:kern w:val="2"/>
          <w:sz w:val="32"/>
          <w:szCs w:val="32"/>
        </w:rPr>
        <w:t>，致力打造晋东南高端装备基地。</w:t>
      </w:r>
    </w:p>
    <w:p w14:paraId="3A6E34CE">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一是推动聚链补链，完善产业链条。</w:t>
      </w:r>
      <w:r>
        <w:rPr>
          <w:rFonts w:hint="eastAsia" w:ascii="仿宋_GB2312" w:hAnsi="仿宋_GB2312" w:eastAsia="仿宋_GB2312" w:cs="仿宋_GB2312"/>
          <w:kern w:val="2"/>
          <w:sz w:val="32"/>
          <w:szCs w:val="32"/>
        </w:rPr>
        <w:t>聚焦产业集群发展，加快建设高端装备制造产业园二期、三期项目以及中小企业制造园区建设。实施“退城入园”策略，推动全市零散装备制造企业集聚入园，吸引全市更多中小制造企业集群化发展，优化城市空间布局。在核心环节补链方面，加快建设表面处理产业园，有效延伸全市装备制造产业链。同时，强化高新区与潞州区的产业协同，引进布局铸造、锻造等基础制造上游环节链核企业，组建技术研发中心，研发制造运营管理平台，完善装备制造产业链，促进装备制造产业向高端化、智能化迈进。</w:t>
      </w:r>
    </w:p>
    <w:p w14:paraId="30EC99C1">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二是聚焦特色装备，筑牢竞争优势。</w:t>
      </w:r>
      <w:r>
        <w:rPr>
          <w:rFonts w:hint="eastAsia" w:ascii="仿宋_GB2312" w:hAnsi="仿宋_GB2312" w:eastAsia="仿宋_GB2312" w:cs="仿宋_GB2312"/>
          <w:kern w:val="2"/>
          <w:sz w:val="32"/>
          <w:szCs w:val="32"/>
        </w:rPr>
        <w:t>高新区装备制造企业主要集中在煤机和机械设备两大板块。</w:t>
      </w:r>
      <w:r>
        <w:rPr>
          <w:rFonts w:hint="eastAsia" w:ascii="仿宋_GB2312" w:hAnsi="仿宋_GB2312" w:eastAsia="仿宋_GB2312" w:cs="仿宋_GB2312"/>
          <w:b/>
          <w:bCs/>
          <w:kern w:val="2"/>
          <w:sz w:val="32"/>
          <w:szCs w:val="32"/>
        </w:rPr>
        <w:t>在煤机装备制造上</w:t>
      </w:r>
      <w:r>
        <w:rPr>
          <w:rFonts w:hint="eastAsia" w:ascii="仿宋_GB2312" w:hAnsi="仿宋_GB2312" w:eastAsia="仿宋_GB2312" w:cs="仿宋_GB2312"/>
          <w:kern w:val="2"/>
          <w:sz w:val="32"/>
          <w:szCs w:val="32"/>
        </w:rPr>
        <w:t>，以行业骨干企业为链主引领，集聚了贝壳电气、伟奇电气、康维尔传输带等一批装备企业，在行业内具有一定竞争优势。要充分挖掘本地煤炭企业需求，聚焦煤机设备和零部件制造领域，鼓励链主、链核企业同步实施生产线升级改造，加大技术引进和自主创新，重点开发智能采掘、单轨吊等高端装备，推动高新区煤机制造产业形成全流程、全产业链发展生态。积极建设长治工业装备制造产品交易中心，以煤机装备供需对接订货为主，促进全市装备制造销量提升、产能升级。在</w:t>
      </w:r>
      <w:r>
        <w:rPr>
          <w:rFonts w:hint="eastAsia" w:ascii="仿宋_GB2312" w:hAnsi="仿宋_GB2312" w:eastAsia="仿宋_GB2312" w:cs="仿宋_GB2312"/>
          <w:b/>
          <w:bCs/>
          <w:kern w:val="2"/>
          <w:sz w:val="32"/>
          <w:szCs w:val="32"/>
        </w:rPr>
        <w:t>机械设备制造上，</w:t>
      </w:r>
      <w:r>
        <w:rPr>
          <w:rFonts w:hint="eastAsia" w:ascii="仿宋_GB2312" w:hAnsi="仿宋_GB2312" w:eastAsia="仿宋_GB2312" w:cs="仿宋_GB2312"/>
          <w:kern w:val="2"/>
          <w:sz w:val="32"/>
          <w:szCs w:val="32"/>
        </w:rPr>
        <w:t>集聚了钜星锻压、澳瑞特健身器材、长钢锻压机械制造、潞安精诚电机、安得瑞防护设备、嘉源液压、郑煤机液压等一批企业。要加强生产和研发投入，通过生产供应链协同应用、产业链供应链应用等信息化手段，扩大产能，降本增效，提升产品竞争力。</w:t>
      </w:r>
    </w:p>
    <w:p w14:paraId="7FD34F8F">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三是实施数智赋能，打造产业生态。</w:t>
      </w:r>
      <w:r>
        <w:rPr>
          <w:rFonts w:hint="eastAsia" w:ascii="仿宋_GB2312" w:hAnsi="仿宋_GB2312" w:eastAsia="仿宋_GB2312" w:cs="仿宋_GB2312"/>
          <w:kern w:val="2"/>
          <w:sz w:val="32"/>
          <w:szCs w:val="32"/>
        </w:rPr>
        <w:t>充分用好国家赋予长治市中小企业数字化转型城市试点的政策机遇，加快推动一批装备制造中小企业数字化转型。支持重点企业打造智能工厂、数字化车间，带动中小企业通过轻量化上云服务、工业数据采集治理、产线智能连接等方式上云用云，提升数字化、智能化水平。以“业务上云、设备上云、数据上云”为重点路径，推动企业核心业务系统、生产设备和工业数据逐步接入云平台，实现设计、生产、供应链和运维等关键环节的数据贯通与业务协同。依托云网融合、边缘计算和安全防护等数字基础设施，构建设备实时感知、数据集中治理、生产智能调度的工业互联网应用体系，推动装备制造企业在生产管理、质量控制、能源管理和供应链协同等方面实现智能化升级。</w:t>
      </w:r>
    </w:p>
    <w:tbl>
      <w:tblPr>
        <w:tblStyle w:val="26"/>
        <w:tblW w:w="88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23"/>
      </w:tblGrid>
      <w:tr w14:paraId="632A3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823" w:type="dxa"/>
            <w:tcBorders>
              <w:top w:val="single" w:color="000000" w:sz="4" w:space="0"/>
              <w:left w:val="single" w:color="000000" w:sz="4" w:space="0"/>
              <w:bottom w:val="single" w:color="000000" w:sz="4" w:space="0"/>
              <w:right w:val="single" w:color="000000" w:sz="4" w:space="0"/>
            </w:tcBorders>
            <w:vAlign w:val="center"/>
          </w:tcPr>
          <w:p w14:paraId="68A027F8">
            <w:pPr>
              <w:pStyle w:val="46"/>
              <w:spacing w:line="600" w:lineRule="exact"/>
              <w:ind w:left="11"/>
              <w:rPr>
                <w:rFonts w:ascii="Times New Roman" w:hAnsi="Times New Roman" w:eastAsia="方正仿宋_GB2312"/>
                <w:lang w:bidi="ar"/>
              </w:rPr>
            </w:pPr>
            <w:r>
              <w:rPr>
                <w:rFonts w:ascii="Times New Roman" w:hAnsi="Times New Roman"/>
                <w:lang w:bidi="ar"/>
              </w:rPr>
              <w:t>专栏</w:t>
            </w:r>
            <w:r>
              <w:rPr>
                <w:rFonts w:hint="eastAsia" w:ascii="Times New Roman" w:hAnsi="Times New Roman"/>
                <w:lang w:bidi="ar"/>
              </w:rPr>
              <w:t>4</w:t>
            </w:r>
            <w:r>
              <w:rPr>
                <w:rFonts w:ascii="Times New Roman" w:hAnsi="Times New Roman"/>
                <w:lang w:bidi="ar"/>
              </w:rPr>
              <w:t xml:space="preserve"> </w:t>
            </w:r>
            <w:r>
              <w:rPr>
                <w:rFonts w:hint="eastAsia" w:ascii="Times New Roman" w:hAnsi="Times New Roman"/>
                <w:lang w:bidi="ar"/>
              </w:rPr>
              <w:t xml:space="preserve"> 装备制造重点项目</w:t>
            </w:r>
          </w:p>
        </w:tc>
      </w:tr>
      <w:tr w14:paraId="0B10C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jc w:val="center"/>
        </w:trPr>
        <w:tc>
          <w:tcPr>
            <w:tcW w:w="8823" w:type="dxa"/>
            <w:tcBorders>
              <w:top w:val="single" w:color="000000" w:sz="4" w:space="0"/>
              <w:left w:val="single" w:color="000000" w:sz="4" w:space="0"/>
              <w:bottom w:val="single" w:color="000000" w:sz="4" w:space="0"/>
              <w:right w:val="single" w:color="000000" w:sz="4" w:space="0"/>
            </w:tcBorders>
          </w:tcPr>
          <w:p w14:paraId="662EC349">
            <w:pPr>
              <w:pStyle w:val="47"/>
              <w:tabs>
                <w:tab w:val="left" w:pos="526"/>
              </w:tabs>
              <w:ind w:left="0" w:leftChars="0" w:right="210" w:firstLine="482"/>
              <w:rPr>
                <w:rFonts w:ascii="宋体" w:hAnsi="宋体" w:eastAsia="宋体" w:cs="宋体"/>
                <w:bCs w:val="0"/>
                <w:lang w:bidi="ar"/>
              </w:rPr>
            </w:pPr>
            <w:r>
              <w:rPr>
                <w:rFonts w:hint="eastAsia" w:ascii="宋体" w:hAnsi="宋体" w:eastAsia="宋体" w:cs="宋体"/>
                <w:b/>
                <w:lang w:bidi="ar"/>
              </w:rPr>
              <w:t>长治佳电机械设备制造维修保养基地项目：</w:t>
            </w:r>
            <w:r>
              <w:rPr>
                <w:rFonts w:hint="eastAsia" w:ascii="宋体" w:hAnsi="宋体" w:eastAsia="宋体" w:cs="宋体"/>
                <w:bCs w:val="0"/>
                <w:lang w:bidi="ar"/>
              </w:rPr>
              <w:t>总投资3亿元，占地面积2亩，2027年建成，预计年维修和保养防爆机电产品1050台(套)，年产新型节能机电产品10万千瓦，实现年营业收入亿元以上。</w:t>
            </w:r>
          </w:p>
          <w:p w14:paraId="2B06AF99">
            <w:pPr>
              <w:pStyle w:val="47"/>
              <w:tabs>
                <w:tab w:val="left" w:pos="526"/>
              </w:tabs>
              <w:ind w:left="0" w:leftChars="0" w:right="210" w:firstLine="482"/>
              <w:rPr>
                <w:rFonts w:ascii="宋体" w:hAnsi="宋体" w:eastAsia="宋体" w:cs="宋体"/>
                <w:bCs w:val="0"/>
                <w:lang w:bidi="ar"/>
              </w:rPr>
            </w:pPr>
            <w:r>
              <w:rPr>
                <w:rFonts w:hint="eastAsia" w:ascii="宋体" w:hAnsi="宋体" w:eastAsia="宋体" w:cs="宋体"/>
                <w:b/>
                <w:lang w:bidi="ar"/>
              </w:rPr>
              <w:t>成鑫电力电力设施器材制造项目：</w:t>
            </w:r>
            <w:r>
              <w:rPr>
                <w:rFonts w:hint="eastAsia" w:ascii="宋体" w:hAnsi="宋体" w:eastAsia="宋体" w:cs="宋体"/>
                <w:bCs w:val="0"/>
                <w:lang w:bidi="ar"/>
              </w:rPr>
              <w:t>总投资1.05亿元，建设综合楼、厂房，购置电力设施器材制造设备。项目建成后年产值1亿元，纳税500万元。</w:t>
            </w:r>
          </w:p>
          <w:p w14:paraId="3A8B3F86">
            <w:pPr>
              <w:pStyle w:val="47"/>
              <w:tabs>
                <w:tab w:val="left" w:pos="526"/>
              </w:tabs>
              <w:ind w:left="0" w:leftChars="0" w:right="210" w:firstLine="482"/>
              <w:rPr>
                <w:rFonts w:ascii="宋体" w:hAnsi="宋体" w:eastAsia="宋体" w:cs="宋体"/>
                <w:bCs w:val="0"/>
                <w:lang w:bidi="ar"/>
              </w:rPr>
            </w:pPr>
            <w:r>
              <w:rPr>
                <w:rFonts w:hint="eastAsia" w:ascii="宋体" w:hAnsi="宋体" w:eastAsia="宋体" w:cs="宋体"/>
                <w:b/>
                <w:lang w:bidi="ar"/>
              </w:rPr>
              <w:t>表面处理产业园项目。</w:t>
            </w:r>
            <w:r>
              <w:rPr>
                <w:rFonts w:hint="eastAsia" w:ascii="宋体" w:hAnsi="宋体" w:eastAsia="宋体" w:cs="宋体"/>
                <w:bCs w:val="0"/>
                <w:lang w:bidi="ar"/>
              </w:rPr>
              <w:t>位于高新区翟店园区，占地45亩，总投资2.7亿元，由山西长高远达表面处理园区建设发展有限公司投资。项目一期计划建成电镀车间、氧化车间、喷涂、喷粉车间和污水处理厂，建筑面积20000平方米;二期计划在政府配合协调重金属排放量交易的情况下建成镀铬、镀镍、镀金、镀银等重金属电镀车间，建筑面积20000平方米，填补长治区域表面处理产业空白，提升全市装备制造产业发展水平。项目建成投产后，将实现产值2亿元。</w:t>
            </w:r>
          </w:p>
        </w:tc>
      </w:tr>
    </w:tbl>
    <w:p w14:paraId="1CD5C8ED">
      <w:pPr>
        <w:widowControl/>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sz w:val="32"/>
          <w:szCs w:val="32"/>
          <w:lang w:bidi="ar"/>
        </w:rPr>
        <w:t>生物医药及大健康产业集群。</w:t>
      </w:r>
      <w:r>
        <w:rPr>
          <w:rFonts w:hint="eastAsia" w:ascii="仿宋_GB2312" w:hAnsi="仿宋_GB2312" w:eastAsia="仿宋_GB2312" w:cs="仿宋_GB2312"/>
          <w:kern w:val="2"/>
          <w:sz w:val="32"/>
          <w:szCs w:val="32"/>
        </w:rPr>
        <w:t>围绕“研发—制造—服务”全链条，以老顶山物流园为主要承载，加快一批重点医药项目建成投产达效，引进一批大健康服务项目，促进产业集群发展，推动产业向价值链高端攀升，做强省级医药消费品特色园区。</w:t>
      </w:r>
    </w:p>
    <w:p w14:paraId="5089E6EA">
      <w:pPr>
        <w:widowControl/>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一是实施创新药物和仿制药研发突破工程。加快安博泰克创新研发与产业化项目建设，2030年前全面投产达效，产值达到20亿元以上。支持康宝药业、安博泰克、纳安等现有重点医药企业加大研发投入，整合科研专病平台，加速科技成果临床转化，聚焦抗肿瘤、心脑血管疾病等重大疾病领域，开展创新药物和仿制药研发。</w:t>
      </w:r>
    </w:p>
    <w:p w14:paraId="556C8F66">
      <w:pP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二是实施医疗器械产业培育工程。围绕诊断试剂、医用耗材、医疗设备等领域，培育一批专精特新企业。重点发展即时检验（POCT）设备、可穿戴医疗设备、智能康复器械等高附加值产品。推动医疗器械与人工智能、大数据技术融合，结合医共体应用，运用AI辅助提升诊疗效率，发展智慧医疗产品，助力</w:t>
      </w:r>
      <w:r>
        <w:rPr>
          <w:rFonts w:hint="eastAsia" w:ascii="仿宋_GB2312" w:hAnsi="微软雅黑" w:eastAsia="仿宋_GB2312" w:cs="微软雅黑"/>
          <w:kern w:val="2"/>
          <w:sz w:val="32"/>
          <w:szCs w:val="32"/>
        </w:rPr>
        <w:t>奥</w:t>
      </w:r>
      <w:r>
        <w:rPr>
          <w:rFonts w:hint="eastAsia" w:ascii="仿宋_GB2312" w:hAnsi="仿宋_GB2312" w:eastAsia="仿宋_GB2312" w:cs="仿宋_GB2312"/>
          <w:kern w:val="2"/>
          <w:sz w:val="32"/>
          <w:szCs w:val="32"/>
        </w:rPr>
        <w:t>泰医疗等本土企业核</w:t>
      </w:r>
      <w:r>
        <w:rPr>
          <w:rFonts w:hint="eastAsia" w:ascii="仿宋_GB2312" w:hAnsi="微软雅黑" w:eastAsia="仿宋_GB2312" w:cs="微软雅黑"/>
          <w:kern w:val="2"/>
          <w:sz w:val="32"/>
          <w:szCs w:val="32"/>
        </w:rPr>
        <w:t>磁</w:t>
      </w:r>
      <w:r>
        <w:rPr>
          <w:rFonts w:hint="eastAsia" w:ascii="仿宋_GB2312" w:hAnsi="仿宋_GB2312" w:eastAsia="仿宋_GB2312" w:cs="仿宋_GB2312"/>
          <w:kern w:val="2"/>
          <w:sz w:val="32"/>
          <w:szCs w:val="32"/>
        </w:rPr>
        <w:t>共振设备与智能化技术深度融合，优化产品性能与临床适配性。建设医疗器械检验检测平台，加快产品上市进程，缩短产品迭代与上市周期，带动产业链上下游协同发展。</w:t>
      </w:r>
    </w:p>
    <w:p w14:paraId="40C62794">
      <w:pP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三是实施大健康产业提升工程。立足长治冬暖夏凉的气候禀赋与老顶山生态资源优势，与潞州区合作规划建设平安集团大健康产业园，涵盖老年病诊疗中心、康复护理中心、智能养老公寓等业态；同时积极争取国家医养结合、安宁疗护试点项目，实现“小病在园区、大病进医院、康复回园区”的闭环服务。发展健康食品、特医食品及中医药养生产品，深度挖掘地方特色资源，满足不同人群个性化健康需求。依托生物医药产业集群协同优势，整合康宝集团、富山药业、万美医药等企业资源，构建覆盖全市医药批发、统一配送的现代化医药流通体系，提升区域医药供应保障能力。支持澳瑞特等企业升级智能健身器材产品，推广科学健身服务与场景化应用。</w:t>
      </w:r>
    </w:p>
    <w:tbl>
      <w:tblPr>
        <w:tblStyle w:val="26"/>
        <w:tblW w:w="88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23"/>
      </w:tblGrid>
      <w:tr w14:paraId="674A6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823" w:type="dxa"/>
            <w:tcBorders>
              <w:top w:val="single" w:color="000000" w:sz="4" w:space="0"/>
              <w:left w:val="single" w:color="000000" w:sz="4" w:space="0"/>
              <w:bottom w:val="single" w:color="000000" w:sz="4" w:space="0"/>
              <w:right w:val="single" w:color="000000" w:sz="4" w:space="0"/>
            </w:tcBorders>
            <w:vAlign w:val="center"/>
          </w:tcPr>
          <w:p w14:paraId="0CE92559">
            <w:pPr>
              <w:pStyle w:val="46"/>
              <w:spacing w:line="600" w:lineRule="exact"/>
              <w:ind w:left="11"/>
              <w:rPr>
                <w:rFonts w:ascii="Times New Roman" w:hAnsi="Times New Roman" w:eastAsia="方正仿宋_GB2312"/>
                <w:lang w:bidi="ar"/>
              </w:rPr>
            </w:pPr>
            <w:r>
              <w:rPr>
                <w:rFonts w:ascii="Times New Roman" w:hAnsi="Times New Roman"/>
                <w:lang w:bidi="ar"/>
              </w:rPr>
              <w:t xml:space="preserve">专栏5 </w:t>
            </w:r>
            <w:r>
              <w:rPr>
                <w:rFonts w:hint="eastAsia" w:ascii="Times New Roman" w:hAnsi="Times New Roman"/>
                <w:lang w:bidi="ar"/>
              </w:rPr>
              <w:t xml:space="preserve"> 生物医药重点项目</w:t>
            </w:r>
          </w:p>
        </w:tc>
      </w:tr>
      <w:tr w14:paraId="440F6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jc w:val="center"/>
        </w:trPr>
        <w:tc>
          <w:tcPr>
            <w:tcW w:w="8823" w:type="dxa"/>
            <w:tcBorders>
              <w:top w:val="single" w:color="000000" w:sz="4" w:space="0"/>
              <w:left w:val="single" w:color="000000" w:sz="4" w:space="0"/>
              <w:bottom w:val="single" w:color="000000" w:sz="4" w:space="0"/>
              <w:right w:val="single" w:color="000000" w:sz="4" w:space="0"/>
            </w:tcBorders>
          </w:tcPr>
          <w:p w14:paraId="2D3F80ED">
            <w:pPr>
              <w:pStyle w:val="47"/>
              <w:widowControl/>
              <w:tabs>
                <w:tab w:val="left" w:pos="526"/>
              </w:tabs>
              <w:ind w:left="210" w:right="210" w:firstLine="482"/>
              <w:rPr>
                <w:rFonts w:ascii="宋体" w:hAnsi="宋体" w:eastAsia="宋体" w:cs="宋体"/>
                <w:b/>
                <w:lang w:bidi="ar"/>
              </w:rPr>
            </w:pPr>
            <w:r>
              <w:rPr>
                <w:rFonts w:hint="eastAsia" w:ascii="宋体" w:hAnsi="宋体" w:eastAsia="宋体" w:cs="宋体"/>
                <w:b/>
                <w:lang w:bidi="ar"/>
              </w:rPr>
              <w:t>安博泰克创新药物研发和产业化项目：</w:t>
            </w:r>
            <w:r>
              <w:rPr>
                <w:rFonts w:hint="eastAsia" w:ascii="宋体" w:hAnsi="宋体" w:eastAsia="宋体" w:cs="宋体"/>
                <w:color w:val="000000"/>
                <w:lang w:bidi="ar"/>
              </w:rPr>
              <w:t>是长治高新区发展新质生产力的重点项目，总投资15亿元，占地186亩，总建筑面积16.35万㎡，分两期建设国际领先的综合性创新医药产品研发及产业化基地。</w:t>
            </w:r>
            <w:r>
              <w:rPr>
                <w:rFonts w:hint="eastAsia" w:ascii="宋体" w:hAnsi="宋体" w:eastAsia="宋体" w:cs="宋体"/>
                <w:lang w:bidi="ar"/>
              </w:rPr>
              <w:t>一期项目投产达效后，年销售额预计不低于 10 亿元，利税1亿元。全面建成后，年销售额预计不低于40亿元，利税3亿元。</w:t>
            </w:r>
          </w:p>
          <w:p w14:paraId="7841DCBC">
            <w:pPr>
              <w:pStyle w:val="47"/>
              <w:tabs>
                <w:tab w:val="left" w:pos="526"/>
              </w:tabs>
              <w:ind w:left="210" w:right="210" w:firstLine="482"/>
              <w:rPr>
                <w:rFonts w:ascii="宋体" w:hAnsi="宋体" w:eastAsia="宋体" w:cs="宋体"/>
                <w:b/>
                <w:lang w:bidi="ar"/>
              </w:rPr>
            </w:pPr>
            <w:r>
              <w:rPr>
                <w:rFonts w:hint="eastAsia" w:ascii="宋体" w:hAnsi="宋体" w:eastAsia="宋体" w:cs="宋体"/>
                <w:b/>
                <w:lang w:bidi="ar"/>
              </w:rPr>
              <w:t>富山药研制药项目：</w:t>
            </w:r>
            <w:r>
              <w:rPr>
                <w:rFonts w:hint="eastAsia" w:ascii="宋体" w:hAnsi="宋体" w:eastAsia="宋体" w:cs="宋体"/>
                <w:bCs w:val="0"/>
                <w:lang w:bidi="ar"/>
              </w:rPr>
              <w:t>占地20亩，预计投资8000万。建设大型中医药智能博物馆、研发与孵化区、新媒体办公区等。项目建成后预计年营业收入5000万元以上，纳税500万元，直接提供就业岗位200-300个。</w:t>
            </w:r>
          </w:p>
          <w:p w14:paraId="11BE13EF">
            <w:pPr>
              <w:pStyle w:val="47"/>
              <w:tabs>
                <w:tab w:val="left" w:pos="526"/>
              </w:tabs>
              <w:spacing w:line="600" w:lineRule="exact"/>
              <w:ind w:left="239" w:leftChars="114" w:right="210" w:firstLine="240" w:firstLineChars="100"/>
              <w:rPr>
                <w:rFonts w:ascii="宋体" w:hAnsi="宋体" w:eastAsia="宋体" w:cs="宋体"/>
                <w:lang w:bidi="ar"/>
              </w:rPr>
            </w:pPr>
          </w:p>
        </w:tc>
      </w:tr>
    </w:tbl>
    <w:p w14:paraId="1CEACDCA">
      <w:pPr>
        <w:pStyle w:val="4"/>
        <w:keepNext/>
        <w:keepLines/>
        <w:adjustRightInd w:val="0"/>
        <w:snapToGrid w:val="0"/>
        <w:spacing w:line="600" w:lineRule="exact"/>
        <w:ind w:firstLine="640" w:firstLineChars="200"/>
        <w:rPr>
          <w:rFonts w:ascii="楷体_GB2312" w:hAnsi="楷体_GB2312" w:eastAsia="楷体_GB2312" w:cs="楷体_GB2312"/>
        </w:rPr>
      </w:pPr>
      <w:bookmarkStart w:id="144" w:name="_Toc32165"/>
      <w:bookmarkStart w:id="145" w:name="_Toc11737"/>
      <w:bookmarkStart w:id="146" w:name="_Toc27718"/>
      <w:bookmarkStart w:id="147" w:name="_Toc14186"/>
    </w:p>
    <w:p w14:paraId="76E56D82">
      <w:pPr>
        <w:pStyle w:val="4"/>
        <w:keepNext/>
        <w:keepLines/>
        <w:adjustRightInd w:val="0"/>
        <w:snapToGrid w:val="0"/>
        <w:spacing w:line="600" w:lineRule="exact"/>
        <w:ind w:firstLine="640" w:firstLineChars="200"/>
        <w:rPr>
          <w:rFonts w:ascii="楷体_GB2312" w:hAnsi="楷体_GB2312" w:eastAsia="楷体_GB2312" w:cs="楷体_GB2312"/>
          <w:vertAlign w:val="superscript"/>
        </w:rPr>
      </w:pPr>
      <w:bookmarkStart w:id="148" w:name="_Toc13528"/>
      <w:bookmarkStart w:id="149" w:name="_Toc11123"/>
      <w:bookmarkStart w:id="150" w:name="_Toc223176541"/>
      <w:bookmarkStart w:id="151" w:name="_Toc23497"/>
      <w:r>
        <w:rPr>
          <w:rFonts w:hint="eastAsia" w:ascii="楷体_GB2312" w:hAnsi="楷体_GB2312" w:eastAsia="楷体_GB2312" w:cs="楷体_GB2312"/>
        </w:rPr>
        <w:t>第二节 前瞻布局未来产业</w:t>
      </w:r>
      <w:r>
        <w:rPr>
          <w:rFonts w:ascii="楷体_GB2312" w:hAnsi="楷体_GB2312" w:eastAsia="楷体_GB2312" w:cs="楷体_GB2312"/>
          <w:vertAlign w:val="superscript"/>
        </w:rPr>
        <w:fldChar w:fldCharType="begin"/>
      </w:r>
      <w:r>
        <w:instrText xml:space="preserve"> REF _Ref223540778 \n \h  \* MERGEFORMAT</w:instrText>
      </w:r>
      <w:r>
        <w:rPr>
          <w:rFonts w:ascii="楷体_GB2312" w:hAnsi="楷体_GB2312" w:eastAsia="楷体_GB2312" w:cs="楷体_GB2312"/>
          <w:vertAlign w:val="superscript"/>
        </w:rPr>
        <w:fldChar w:fldCharType="separate"/>
      </w:r>
      <w:r>
        <w:rPr>
          <w:rFonts w:ascii="楷体_GB2312" w:hAnsi="楷体_GB2312" w:eastAsia="楷体_GB2312" w:cs="楷体_GB2312"/>
          <w:vertAlign w:val="superscript"/>
        </w:rPr>
        <w:t>[1</w:t>
      </w:r>
      <w:r>
        <w:rPr>
          <w:rFonts w:hint="eastAsia" w:ascii="楷体_GB2312" w:hAnsi="楷体_GB2312" w:eastAsia="楷体_GB2312" w:cs="楷体_GB2312"/>
          <w:vertAlign w:val="superscript"/>
        </w:rPr>
        <w:t>1</w:t>
      </w:r>
      <w:r>
        <w:rPr>
          <w:rFonts w:ascii="楷体_GB2312" w:hAnsi="楷体_GB2312" w:eastAsia="楷体_GB2312" w:cs="楷体_GB2312"/>
          <w:vertAlign w:val="superscript"/>
        </w:rPr>
        <w:t>]</w:t>
      </w:r>
      <w:r>
        <w:rPr>
          <w:rFonts w:ascii="楷体_GB2312" w:hAnsi="楷体_GB2312" w:eastAsia="楷体_GB2312" w:cs="楷体_GB2312"/>
          <w:vertAlign w:val="superscript"/>
        </w:rPr>
        <w:fldChar w:fldCharType="end"/>
      </w:r>
      <w:bookmarkEnd w:id="148"/>
      <w:bookmarkEnd w:id="149"/>
    </w:p>
    <w:p w14:paraId="5AA71E18">
      <w:pPr>
        <w:spacing w:line="600" w:lineRule="exact"/>
        <w:ind w:firstLine="640" w:firstLineChars="200"/>
        <w:rPr>
          <w:rFonts w:ascii="仿宋_GB2312" w:hAnsi="仿宋_GB2312" w:eastAsia="仿宋_GB2312" w:cs="仿宋_GB2312"/>
          <w:kern w:val="2"/>
          <w:sz w:val="32"/>
          <w:szCs w:val="32"/>
        </w:rPr>
      </w:pPr>
    </w:p>
    <w:p w14:paraId="583A60F3">
      <w:pP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发挥未来产业引领作用，坚持前瞻布局与审慎推进相结合，依托重点企业和科研机构开展前沿技术跟踪和中试验证，重点布局发展人工智能、具身智能等未来产业，推动未来产业由探索性布局向规模化应用稳步迈进，不断催生新质生产力增长点。</w:t>
      </w:r>
    </w:p>
    <w:p w14:paraId="52A62923">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kern w:val="2"/>
          <w:sz w:val="32"/>
          <w:szCs w:val="32"/>
        </w:rPr>
        <w:t>人工智能</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bidi="ar"/>
        </w:rPr>
        <w:t>建设人工智能创新中心，引进智能装备制造项目，培育本土 AI 核心企业。聚焦政务、医疗、制造、养老等领域，研发智能集成产品，突破机器视觉、自然语言处理等关键技术，强化OpenCLAW核心控制能力，依托OPC标准实现工业设备互联互通。打造“人工智能+”应用生态，推动OpenCLAW 与 OPC 在多场景规模化应用，构建“研发—制造—落地—升级”闭环发展格局。</w:t>
      </w:r>
    </w:p>
    <w:p w14:paraId="4B84FBE8">
      <w:pPr>
        <w:spacing w:line="600" w:lineRule="exact"/>
        <w:ind w:firstLine="643" w:firstLineChars="200"/>
        <w:rPr>
          <w:rFonts w:ascii="仿宋_GB2312" w:eastAsia="仿宋_GB2312"/>
          <w:b/>
          <w:sz w:val="32"/>
          <w:szCs w:val="32"/>
        </w:rPr>
      </w:pPr>
      <w:r>
        <w:rPr>
          <w:rFonts w:hint="eastAsia" w:ascii="仿宋_GB2312" w:eastAsia="仿宋_GB2312"/>
          <w:b/>
          <w:bCs/>
          <w:sz w:val="32"/>
          <w:szCs w:val="32"/>
        </w:rPr>
        <w:t>具身智能。</w:t>
      </w:r>
      <w:r>
        <w:rPr>
          <w:rFonts w:hint="eastAsia" w:ascii="仿宋_GB2312" w:eastAsia="仿宋_GB2312"/>
          <w:sz w:val="32"/>
          <w:szCs w:val="32"/>
          <w:lang w:bidi="ar"/>
        </w:rPr>
        <w:t xml:space="preserve">以典型应用场景为牵引，提出 </w:t>
      </w:r>
      <w:r>
        <w:rPr>
          <w:rFonts w:ascii="仿宋_GB2312" w:eastAsia="仿宋_GB2312"/>
          <w:sz w:val="32"/>
          <w:szCs w:val="32"/>
          <w:lang w:bidi="ar"/>
        </w:rPr>
        <w:t>“</w:t>
      </w:r>
      <w:r>
        <w:rPr>
          <w:rFonts w:hint="eastAsia" w:ascii="仿宋_GB2312" w:eastAsia="仿宋_GB2312"/>
          <w:sz w:val="32"/>
          <w:szCs w:val="32"/>
          <w:lang w:bidi="ar"/>
        </w:rPr>
        <w:t>艰险繁娱</w:t>
      </w:r>
      <w:r>
        <w:rPr>
          <w:rFonts w:ascii="仿宋_GB2312" w:eastAsia="仿宋_GB2312"/>
          <w:sz w:val="32"/>
          <w:szCs w:val="32"/>
          <w:lang w:bidi="ar"/>
        </w:rPr>
        <w:t>”</w:t>
      </w:r>
      <w:r>
        <w:rPr>
          <w:rFonts w:hint="eastAsia" w:ascii="仿宋_GB2312" w:eastAsia="仿宋_GB2312"/>
          <w:sz w:val="32"/>
          <w:szCs w:val="32"/>
          <w:lang w:bidi="ar"/>
        </w:rPr>
        <w:t xml:space="preserve"> 场景应用概念，聚焦危险、艰难、繁琐场景，兼顾便民娱乐，推动在极端环境、民生等多领域率先突破。工业领域，研发煤矿井下智能机器人，服务极端环境作业；民生领域，布局康养机器人，构建智慧康养服务网络；应急领域，研发救援具身智能机器人，提升抢险救援效能；农业领域，推广智能装备，助力传统农业向智慧农业转型。</w:t>
      </w:r>
    </w:p>
    <w:p w14:paraId="47C0C51A">
      <w:pPr>
        <w:spacing w:line="600" w:lineRule="exact"/>
        <w:ind w:firstLine="643" w:firstLineChars="200"/>
        <w:rPr>
          <w:rFonts w:ascii="仿宋_GB2312" w:eastAsia="仿宋_GB2312"/>
          <w:sz w:val="32"/>
          <w:szCs w:val="32"/>
        </w:rPr>
      </w:pPr>
      <w:r>
        <w:rPr>
          <w:rFonts w:hint="eastAsia" w:ascii="仿宋_GB2312" w:eastAsia="仿宋_GB2312"/>
          <w:b/>
          <w:sz w:val="32"/>
          <w:szCs w:val="32"/>
        </w:rPr>
        <w:t>生物制造。</w:t>
      </w:r>
      <w:r>
        <w:rPr>
          <w:rFonts w:hint="eastAsia" w:ascii="仿宋_GB2312" w:eastAsia="仿宋_GB2312"/>
          <w:sz w:val="32"/>
          <w:szCs w:val="32"/>
        </w:rPr>
        <w:t>依托生物医药与大健康产业基础，加快布局基因技术、合成生物等前沿方向，</w:t>
      </w:r>
      <w:r>
        <w:rPr>
          <w:rFonts w:ascii="仿宋_GB2312" w:eastAsia="仿宋_GB2312"/>
          <w:sz w:val="32"/>
          <w:szCs w:val="32"/>
        </w:rPr>
        <w:t>推动基因编辑、细胞治疗、合成生物制造等新技术在创新药物研发、高端医疗器械等领域的应用与转化，培育具有核心竞争力的生物经济新增长点。</w:t>
      </w:r>
    </w:p>
    <w:p w14:paraId="49565DC5">
      <w:pPr>
        <w:pStyle w:val="4"/>
        <w:keepNext/>
        <w:keepLines/>
        <w:adjustRightInd w:val="0"/>
        <w:snapToGrid w:val="0"/>
        <w:spacing w:line="600" w:lineRule="exact"/>
        <w:ind w:firstLine="640" w:firstLineChars="200"/>
        <w:rPr>
          <w:rFonts w:ascii="楷体_GB2312" w:hAnsi="楷体_GB2312" w:eastAsia="楷体_GB2312" w:cs="楷体_GB2312"/>
        </w:rPr>
      </w:pPr>
    </w:p>
    <w:p w14:paraId="11583AEA">
      <w:pPr>
        <w:pStyle w:val="4"/>
        <w:keepNext/>
        <w:keepLines/>
        <w:adjustRightInd w:val="0"/>
        <w:snapToGrid w:val="0"/>
        <w:spacing w:line="600" w:lineRule="exact"/>
        <w:ind w:firstLine="640" w:firstLineChars="200"/>
        <w:rPr>
          <w:rFonts w:ascii="楷体_GB2312" w:hAnsi="楷体_GB2312" w:eastAsia="楷体_GB2312" w:cs="楷体_GB2312"/>
        </w:rPr>
      </w:pPr>
      <w:bookmarkStart w:id="152" w:name="_Toc21053"/>
      <w:bookmarkStart w:id="153" w:name="_Toc6867"/>
      <w:r>
        <w:rPr>
          <w:rFonts w:hint="eastAsia" w:ascii="楷体_GB2312" w:hAnsi="楷体_GB2312" w:eastAsia="楷体_GB2312" w:cs="楷体_GB2312"/>
        </w:rPr>
        <w:t>第三节 建设现代服务业集聚区</w:t>
      </w:r>
      <w:bookmarkEnd w:id="144"/>
      <w:bookmarkEnd w:id="145"/>
      <w:bookmarkEnd w:id="146"/>
      <w:bookmarkEnd w:id="147"/>
      <w:bookmarkEnd w:id="150"/>
      <w:bookmarkEnd w:id="151"/>
      <w:bookmarkEnd w:id="152"/>
      <w:bookmarkEnd w:id="153"/>
    </w:p>
    <w:p w14:paraId="00D8EF84">
      <w:pPr>
        <w:spacing w:line="600" w:lineRule="exact"/>
        <w:rPr>
          <w:rFonts w:ascii="仿宋_GB2312" w:hAnsi="仿宋_GB2312" w:eastAsia="仿宋_GB2312" w:cs="仿宋_GB2312"/>
          <w:kern w:val="2"/>
          <w:sz w:val="32"/>
          <w:szCs w:val="32"/>
        </w:rPr>
      </w:pPr>
    </w:p>
    <w:p w14:paraId="1D693987">
      <w:pP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现代服务业是推动产业结构升级、价值链攀升的“助推器”，是催生新质生产力、培育新动能的“孵化器”。要结合全区产业发展实际，以科技工业园为主要空间承载，着力加快生活性服务业向多样化升级，生产性服务业向专业化延伸，新兴服务业向高品质拓展，加强与制造业的深度融合，着力构建优质高效、布局完善、竞争力强的现代服务业体系，为潞州区建设区域消费中心提供有力支撑。</w:t>
      </w:r>
    </w:p>
    <w:p w14:paraId="68D0A7B7">
      <w:pPr>
        <w:spacing w:line="600" w:lineRule="exact"/>
        <w:ind w:firstLine="643" w:firstLineChars="200"/>
        <w:rPr>
          <w:rFonts w:ascii="仿宋_GB2312" w:hAnsi="仿宋_GB2312" w:eastAsia="仿宋_GB2312" w:cs="仿宋_GB2312"/>
          <w:bCs/>
          <w:kern w:val="2"/>
          <w:sz w:val="32"/>
          <w:szCs w:val="32"/>
        </w:rPr>
      </w:pPr>
      <w:r>
        <w:rPr>
          <w:rFonts w:hint="eastAsia" w:ascii="仿宋_GB2312" w:hAnsi="仿宋_GB2312" w:eastAsia="仿宋_GB2312" w:cs="仿宋_GB2312"/>
          <w:b/>
          <w:kern w:val="2"/>
          <w:sz w:val="32"/>
          <w:szCs w:val="32"/>
        </w:rPr>
        <w:t>发展总部经济。</w:t>
      </w:r>
      <w:r>
        <w:rPr>
          <w:rFonts w:hint="eastAsia" w:ascii="仿宋_GB2312" w:hAnsi="仿宋_GB2312" w:eastAsia="仿宋_GB2312" w:cs="仿宋_GB2312"/>
          <w:bCs/>
          <w:kern w:val="2"/>
          <w:sz w:val="32"/>
          <w:szCs w:val="32"/>
        </w:rPr>
        <w:t>依托高新区核心区位优势与完善产业配套，以 5G 电子产业园、科技孵化园等为核心承载区，重点发展产业总部、研发总部、销售总部经济，特别是搭建面向全市煤矿企业绿色转型的专项总部服务平台。聚焦煤矿智能化改造、低碳化升级需求，引导全市煤矿重点企业在高新区设立转型发展分部或功</w:t>
      </w:r>
      <w:r>
        <w:rPr>
          <w:rFonts w:hint="eastAsia" w:ascii="仿宋_GB2312" w:hAnsi="仿宋_GB2312" w:eastAsia="仿宋_GB2312" w:cs="仿宋_GB2312"/>
          <w:bCs/>
          <w:spacing w:val="-6"/>
          <w:kern w:val="2"/>
          <w:sz w:val="32"/>
          <w:szCs w:val="32"/>
        </w:rPr>
        <w:t>能性总部，集中开展绿色开采技术研发、节能装备集成、碳足迹</w:t>
      </w:r>
      <w:r>
        <w:rPr>
          <w:rFonts w:hint="eastAsia" w:ascii="仿宋_GB2312" w:hAnsi="仿宋_GB2312" w:eastAsia="仿宋_GB2312" w:cs="仿宋_GB2312"/>
          <w:bCs/>
          <w:spacing w:val="-6"/>
          <w:kern w:val="2"/>
          <w:sz w:val="32"/>
          <w:szCs w:val="32"/>
          <w:vertAlign w:val="superscript"/>
        </w:rPr>
        <w:t>[12]</w:t>
      </w:r>
      <w:r>
        <w:rPr>
          <w:rFonts w:hint="eastAsia" w:ascii="仿宋_GB2312" w:hAnsi="仿宋_GB2312" w:eastAsia="仿宋_GB2312" w:cs="仿宋_GB2312"/>
          <w:bCs/>
          <w:kern w:val="2"/>
          <w:sz w:val="32"/>
          <w:szCs w:val="32"/>
        </w:rPr>
        <w:t>管理，推动煤炭产业与园区新能源、装备制造等主导产业深度协同。搭建全方位总部经济服务平台，优化商事登记、跨境结算、政策兑现等便捷服务，推动总部企业与本地产业链、创新链、能源链深度融合，形成“总部集聚、产业联动、效益倍增、转型赋能”的发展格局。</w:t>
      </w:r>
    </w:p>
    <w:p w14:paraId="27BEFB40">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发展科技服务业。</w:t>
      </w:r>
      <w:r>
        <w:rPr>
          <w:rFonts w:hint="eastAsia" w:ascii="仿宋_GB2312" w:hAnsi="仿宋_GB2312" w:eastAsia="仿宋_GB2312" w:cs="仿宋_GB2312"/>
          <w:kern w:val="2"/>
          <w:sz w:val="32"/>
          <w:szCs w:val="32"/>
        </w:rPr>
        <w:t>围绕四大产业集群，坚持以需求牵引和平台支撑为导向，推动科技服务业向专业化、体系化发展。加强产学研协同创新，搭建数据融合平台，鼓励支持园区企业与高等院校、科研院所开展合作交流。支持区内自定义、因弗美讯等一批信息化企业依托高新区产业数据资源禀赋，构建数据资源管理平台，开发数据要素利用场景，打造晋东南数据要素集聚区。围绕电子信息、装备制造、生物医药等重点产业，积极引进和培育第三方检验检测认证机构，同步构建全产业链质量追溯平台，加快建设一批高水平、专业化的检验检测平台。推进国家煤基合成油产品质量检验检测中心等平台资源建设，为园区企业提供全生命周期、全产业链的质量管理服务。鼓励企业和机构参与行业标准和国际标准制定，以标准引领产品质量提升。</w:t>
      </w:r>
    </w:p>
    <w:p w14:paraId="64B98749">
      <w:pPr>
        <w:spacing w:line="600" w:lineRule="exact"/>
        <w:ind w:firstLine="643" w:firstLineChars="200"/>
        <w:rPr>
          <w:rFonts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rPr>
        <w:t>发展商贸服务业。</w:t>
      </w:r>
      <w:r>
        <w:rPr>
          <w:rFonts w:hint="eastAsia" w:ascii="仿宋_GB2312" w:hAnsi="仿宋_GB2312" w:eastAsia="仿宋_GB2312" w:cs="仿宋_GB2312"/>
          <w:kern w:val="2"/>
          <w:sz w:val="32"/>
          <w:szCs w:val="32"/>
        </w:rPr>
        <w:t>加快推进高铁核心商贸区建设，规划建设商贸会展、商务金融等产业服务功能，高标准建设一批主题楼宇、会展中心、高端商务酒店、商业综合体、人才公寓等高档商务服务设施，打造一流的城市综合服务门户。实施商圈品质提升工程，根据不同商圈特点，对万达、天空之城、双创梦工厂、史家庄、科创城等重点商圈加强规划引导，以数字技术为支撑，推动商业设施、消费环境与服务、管理运营全方位革新，促进商业、文化、旅游、体育等多元消费业态融合发展，打造具有地方特色、功能复合、活力四射的城市新地标。在漳泽工业园、翟店工业园的企业密集区，规划建设青年活力社区，打造兼具文化底</w:t>
      </w:r>
      <w:r>
        <w:rPr>
          <w:rFonts w:hint="eastAsia" w:ascii="仿宋_GB2312" w:hAnsi="微软雅黑" w:eastAsia="仿宋_GB2312" w:cs="微软雅黑"/>
          <w:kern w:val="2"/>
          <w:sz w:val="32"/>
          <w:szCs w:val="32"/>
        </w:rPr>
        <w:t>蕴</w:t>
      </w:r>
      <w:r>
        <w:rPr>
          <w:rFonts w:hint="eastAsia" w:ascii="仿宋_GB2312" w:hAnsi="仿宋_GB2312" w:eastAsia="仿宋_GB2312" w:cs="仿宋_GB2312"/>
          <w:kern w:val="2"/>
          <w:sz w:val="32"/>
          <w:szCs w:val="32"/>
        </w:rPr>
        <w:t>与消费活力的</w:t>
      </w:r>
      <w:r>
        <w:rPr>
          <w:rFonts w:hint="eastAsia" w:ascii="仿宋_GB2312" w:hAnsi="微软雅黑" w:eastAsia="仿宋_GB2312" w:cs="微软雅黑"/>
          <w:kern w:val="2"/>
          <w:sz w:val="32"/>
          <w:szCs w:val="32"/>
        </w:rPr>
        <w:t>沉浸</w:t>
      </w:r>
      <w:r>
        <w:rPr>
          <w:rFonts w:hint="eastAsia" w:ascii="仿宋_GB2312" w:hAnsi="仿宋_GB2312" w:eastAsia="仿宋_GB2312" w:cs="仿宋_GB2312"/>
          <w:kern w:val="2"/>
          <w:sz w:val="32"/>
          <w:szCs w:val="32"/>
        </w:rPr>
        <w:t>式商业场景，增强人才归属感与生活幸福感。</w:t>
      </w:r>
    </w:p>
    <w:p w14:paraId="3C87EED6">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发展现代物流业。</w:t>
      </w:r>
      <w:r>
        <w:rPr>
          <w:rFonts w:hint="eastAsia" w:ascii="仿宋_GB2312" w:hAnsi="仿宋_GB2312" w:eastAsia="仿宋_GB2312" w:cs="仿宋_GB2312"/>
          <w:kern w:val="2"/>
          <w:sz w:val="32"/>
          <w:szCs w:val="32"/>
        </w:rPr>
        <w:t>坚持以服务主导产业和降低企业成本为目标，系统完善园区供应链服务体系。依托老顶山物流园的区位优势，</w:t>
      </w:r>
      <w:r>
        <w:rPr>
          <w:rFonts w:hint="eastAsia" w:ascii="仿宋_GB2312" w:hAnsi="仿宋_GB2312" w:eastAsia="仿宋_GB2312" w:cs="仿宋_GB2312"/>
          <w:bCs/>
          <w:sz w:val="32"/>
          <w:szCs w:val="32"/>
        </w:rPr>
        <w:t>紧扣“智慧化、冷链化、集约化”发展趋势，谋划布局智慧冷链物流中心、区域电商快递分拨中心、城市连锁零售企业配送中心，提升产业链物流协同效率，</w:t>
      </w:r>
      <w:r>
        <w:rPr>
          <w:rFonts w:hint="eastAsia" w:ascii="仿宋_GB2312" w:hAnsi="仿宋_GB2312" w:eastAsia="仿宋_GB2312" w:cs="仿宋_GB2312"/>
          <w:kern w:val="2"/>
          <w:sz w:val="32"/>
          <w:szCs w:val="32"/>
        </w:rPr>
        <w:t>引导市区物流类经营主体退城入郊、集聚发展。重点培育和发展一批具备专业化、一体化服务能力的物流供应链企业。推动区属国有企业成立供应链服务功能性公司，推进智慧运输系统应用，实现运输全过程可视化、智能化管理，围绕主导产业开展原材料采购、产品配送、仓储管理等业务，降低企业运营成本。优化智慧仓储设施布局，提升仓储自动化与数字化管理水平，支持企业建设智能仓储和智慧物流信息平台，提高物流效率和精准化水平。</w:t>
      </w:r>
    </w:p>
    <w:p w14:paraId="45E2501F">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kern w:val="2"/>
          <w:sz w:val="32"/>
          <w:szCs w:val="32"/>
        </w:rPr>
        <w:t>发展新业态新模式服务业。</w:t>
      </w:r>
      <w:r>
        <w:rPr>
          <w:rFonts w:hint="eastAsia" w:ascii="仿宋_GB2312" w:hAnsi="仿宋_GB2312" w:eastAsia="仿宋_GB2312" w:cs="仿宋_GB2312"/>
          <w:kern w:val="2"/>
          <w:sz w:val="32"/>
          <w:szCs w:val="32"/>
        </w:rPr>
        <w:t>顺应数字经济发展趋势，重点培育短剧创作、抖音电商直播等新兴服务业态，推动服务业向数字化、场景化、品牌化转型。规划建设数字内容产业园，引进短剧制作团队、MCN机构、电商直播基地，搭建内容创作、技术支撑、供应链配套、流量运营一体化服务平台。通过项目扶持、平台赋能和场景开放，引导优质内容创作项目集聚发展，推动形成“内容创作—流量转化—产业赋能”的数字服务业生态体系。</w:t>
      </w:r>
    </w:p>
    <w:tbl>
      <w:tblPr>
        <w:tblStyle w:val="26"/>
        <w:tblW w:w="88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23"/>
      </w:tblGrid>
      <w:tr w14:paraId="2FB2C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823" w:type="dxa"/>
            <w:tcBorders>
              <w:top w:val="single" w:color="000000" w:sz="4" w:space="0"/>
              <w:left w:val="single" w:color="000000" w:sz="4" w:space="0"/>
              <w:bottom w:val="single" w:color="000000" w:sz="4" w:space="0"/>
              <w:right w:val="single" w:color="000000" w:sz="4" w:space="0"/>
            </w:tcBorders>
            <w:vAlign w:val="center"/>
          </w:tcPr>
          <w:p w14:paraId="1628A0F0">
            <w:pPr>
              <w:pStyle w:val="46"/>
              <w:spacing w:line="600" w:lineRule="exact"/>
              <w:ind w:left="11"/>
              <w:rPr>
                <w:rFonts w:ascii="Times New Roman" w:hAnsi="Times New Roman" w:eastAsia="方正仿宋_GB2312"/>
                <w:lang w:bidi="ar"/>
              </w:rPr>
            </w:pPr>
            <w:r>
              <w:rPr>
                <w:rFonts w:ascii="Times New Roman" w:hAnsi="Times New Roman"/>
                <w:lang w:bidi="ar"/>
              </w:rPr>
              <w:t>专栏</w:t>
            </w:r>
            <w:r>
              <w:rPr>
                <w:rFonts w:hint="eastAsia" w:ascii="Times New Roman" w:hAnsi="Times New Roman"/>
                <w:lang w:bidi="ar"/>
              </w:rPr>
              <w:t>6</w:t>
            </w:r>
            <w:r>
              <w:rPr>
                <w:rFonts w:ascii="Times New Roman" w:hAnsi="Times New Roman"/>
                <w:lang w:bidi="ar"/>
              </w:rPr>
              <w:t xml:space="preserve"> </w:t>
            </w:r>
            <w:r>
              <w:rPr>
                <w:rFonts w:hint="eastAsia" w:ascii="Times New Roman" w:hAnsi="Times New Roman"/>
                <w:lang w:bidi="ar"/>
              </w:rPr>
              <w:t xml:space="preserve"> 现代服务业重点项目</w:t>
            </w:r>
          </w:p>
        </w:tc>
      </w:tr>
      <w:tr w14:paraId="56C37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jc w:val="center"/>
        </w:trPr>
        <w:tc>
          <w:tcPr>
            <w:tcW w:w="8823" w:type="dxa"/>
            <w:tcBorders>
              <w:top w:val="single" w:color="000000" w:sz="4" w:space="0"/>
              <w:left w:val="single" w:color="000000" w:sz="4" w:space="0"/>
              <w:bottom w:val="single" w:color="000000" w:sz="4" w:space="0"/>
              <w:right w:val="single" w:color="000000" w:sz="4" w:space="0"/>
            </w:tcBorders>
          </w:tcPr>
          <w:p w14:paraId="792F8C43">
            <w:pPr>
              <w:pStyle w:val="47"/>
              <w:tabs>
                <w:tab w:val="left" w:pos="526"/>
              </w:tabs>
              <w:ind w:left="210" w:right="210" w:firstLine="482"/>
              <w:rPr>
                <w:rFonts w:ascii="宋体" w:hAnsi="宋体" w:eastAsia="宋体" w:cs="宋体"/>
                <w:bCs w:val="0"/>
                <w:lang w:bidi="ar"/>
              </w:rPr>
            </w:pPr>
            <w:r>
              <w:rPr>
                <w:rFonts w:hint="eastAsia" w:ascii="宋体" w:hAnsi="宋体" w:eastAsia="宋体" w:cs="宋体"/>
                <w:b/>
                <w:lang w:bidi="ar"/>
              </w:rPr>
              <w:t>零碳智慧物流：</w:t>
            </w:r>
            <w:r>
              <w:rPr>
                <w:rFonts w:hint="eastAsia" w:ascii="宋体" w:hAnsi="宋体" w:eastAsia="宋体" w:cs="宋体"/>
                <w:bCs w:val="0"/>
                <w:lang w:bidi="ar"/>
              </w:rPr>
              <w:t>建立线上综合服务平台，新建2000平米展厅，采购200辆新能源重卡、硬件设备。规模：1、服务全市2万辆新能源重卡；2、承载每年300万吨运输任务。</w:t>
            </w:r>
          </w:p>
          <w:p w14:paraId="3024E75E">
            <w:pPr>
              <w:pStyle w:val="47"/>
              <w:tabs>
                <w:tab w:val="left" w:pos="526"/>
              </w:tabs>
              <w:ind w:left="210" w:right="210" w:firstLine="482"/>
              <w:rPr>
                <w:rFonts w:hint="eastAsia" w:ascii="宋体" w:hAnsi="宋体" w:eastAsia="宋体" w:cs="宋体"/>
                <w:b w:val="0"/>
                <w:bCs w:val="0"/>
                <w:lang w:bidi="ar"/>
              </w:rPr>
            </w:pPr>
            <w:r>
              <w:rPr>
                <w:rFonts w:hint="eastAsia" w:ascii="宋体" w:hAnsi="宋体" w:eastAsia="宋体" w:cs="宋体"/>
                <w:b/>
                <w:bCs/>
                <w:lang w:bidi="ar"/>
              </w:rPr>
              <w:t>君合汇商业项目：</w:t>
            </w:r>
            <w:r>
              <w:rPr>
                <w:rFonts w:hint="eastAsia" w:ascii="宋体" w:hAnsi="宋体" w:eastAsia="宋体" w:cs="宋体"/>
                <w:b w:val="0"/>
                <w:bCs w:val="0"/>
                <w:lang w:bidi="ar"/>
              </w:rPr>
              <w:t>建设写字楼20718.78㎡、产业园42160㎡、酒店9213㎡，配套公建及地下车库。</w:t>
            </w:r>
          </w:p>
          <w:p w14:paraId="12CCD2E6">
            <w:pPr>
              <w:pStyle w:val="47"/>
              <w:tabs>
                <w:tab w:val="left" w:pos="526"/>
              </w:tabs>
              <w:ind w:left="210" w:right="210" w:firstLine="482"/>
              <w:rPr>
                <w:rFonts w:hint="eastAsia" w:ascii="宋体" w:hAnsi="宋体" w:eastAsia="宋体" w:cs="宋体"/>
                <w:b w:val="0"/>
                <w:bCs w:val="0"/>
                <w:lang w:bidi="ar"/>
              </w:rPr>
            </w:pPr>
            <w:r>
              <w:rPr>
                <w:rFonts w:hint="eastAsia" w:ascii="宋体" w:hAnsi="宋体" w:eastAsia="宋体" w:cs="宋体"/>
                <w:b/>
                <w:bCs/>
                <w:lang w:bidi="ar"/>
              </w:rPr>
              <w:t>锦里印象商业街：</w:t>
            </w:r>
            <w:r>
              <w:rPr>
                <w:rFonts w:hint="eastAsia" w:ascii="宋体" w:hAnsi="宋体" w:eastAsia="宋体" w:cs="宋体"/>
                <w:b w:val="0"/>
                <w:bCs w:val="0"/>
                <w:lang w:bidi="ar"/>
              </w:rPr>
              <w:t>位于孵化园北侧，建设20栋2-5层商业建筑。总建筑面积21200㎡，其中：地上11200㎡，地下10000㎡。</w:t>
            </w:r>
          </w:p>
          <w:p w14:paraId="4E01EA7C">
            <w:pPr>
              <w:pStyle w:val="47"/>
              <w:tabs>
                <w:tab w:val="left" w:pos="526"/>
              </w:tabs>
              <w:ind w:left="210" w:right="210" w:firstLine="482"/>
              <w:rPr>
                <w:rFonts w:hint="eastAsia" w:ascii="宋体" w:hAnsi="宋体" w:eastAsia="宋体" w:cs="宋体"/>
                <w:b w:val="0"/>
                <w:bCs w:val="0"/>
                <w:color w:val="0000FF"/>
                <w:lang w:eastAsia="zh-CN" w:bidi="ar"/>
              </w:rPr>
            </w:pPr>
            <w:r>
              <w:rPr>
                <w:rFonts w:hint="eastAsia" w:ascii="宋体" w:hAnsi="宋体" w:eastAsia="宋体" w:cs="宋体"/>
                <w:b/>
                <w:bCs/>
                <w:color w:val="0000FF"/>
                <w:lang w:bidi="ar"/>
              </w:rPr>
              <w:t>华远陆港(长治)智慧物流中心项目：</w:t>
            </w:r>
            <w:r>
              <w:rPr>
                <w:rFonts w:hint="eastAsia" w:ascii="宋体" w:hAnsi="宋体" w:eastAsia="宋体" w:cs="宋体"/>
                <w:b w:val="0"/>
                <w:bCs w:val="0"/>
                <w:color w:val="0000FF"/>
                <w:lang w:val="en-US" w:eastAsia="zh-CN" w:bidi="ar"/>
              </w:rPr>
              <w:t>项目占地31.8462hm2，</w:t>
            </w:r>
            <w:r>
              <w:rPr>
                <w:rFonts w:hint="eastAsia" w:ascii="宋体" w:hAnsi="宋体" w:eastAsia="宋体" w:cs="宋体"/>
                <w:b w:val="0"/>
                <w:bCs w:val="0"/>
                <w:color w:val="0000FF"/>
                <w:lang w:bidi="ar"/>
              </w:rPr>
              <w:t>该项目以智慧化、多式联运、绿色低碳为核心，深度融合现代物流技术与供应链管理，不仅是区域大宗商品（尤其煤炭）物流的核心载体，更是推动长治从传统物流向现代智慧物流、供应链综合服务、国际物流升级的标杆项目</w:t>
            </w:r>
            <w:r>
              <w:rPr>
                <w:rFonts w:hint="eastAsia" w:ascii="宋体" w:hAnsi="宋体" w:eastAsia="宋体" w:cs="宋体"/>
                <w:b w:val="0"/>
                <w:bCs w:val="0"/>
                <w:color w:val="0000FF"/>
                <w:lang w:eastAsia="zh-CN" w:bidi="ar"/>
              </w:rPr>
              <w:t>。</w:t>
            </w:r>
          </w:p>
          <w:p w14:paraId="6AE3C53D">
            <w:pPr>
              <w:pStyle w:val="47"/>
              <w:tabs>
                <w:tab w:val="left" w:pos="526"/>
              </w:tabs>
              <w:ind w:left="210" w:right="210" w:firstLine="482"/>
              <w:rPr>
                <w:rFonts w:hint="eastAsia" w:ascii="宋体" w:hAnsi="宋体" w:eastAsia="宋体" w:cs="宋体"/>
                <w:bCs w:val="0"/>
                <w:lang w:bidi="ar"/>
              </w:rPr>
            </w:pPr>
            <w:r>
              <w:rPr>
                <w:rFonts w:hint="eastAsia" w:ascii="宋体" w:hAnsi="宋体" w:eastAsia="宋体" w:cs="宋体"/>
                <w:b/>
                <w:bCs/>
                <w:color w:val="0000FF"/>
                <w:lang w:val="en-US" w:eastAsia="zh-CN" w:bidi="ar"/>
              </w:rPr>
              <w:t>南垂智慧物流仓储产业园建设</w:t>
            </w:r>
            <w:r>
              <w:rPr>
                <w:rFonts w:hint="eastAsia" w:ascii="宋体" w:hAnsi="宋体" w:eastAsia="宋体" w:cs="宋体"/>
                <w:b/>
                <w:bCs/>
                <w:color w:val="0000FF"/>
                <w:lang w:bidi="ar"/>
              </w:rPr>
              <w:t>项目：</w:t>
            </w:r>
            <w:r>
              <w:rPr>
                <w:rFonts w:hint="eastAsia" w:ascii="宋体" w:hAnsi="宋体" w:eastAsia="宋体" w:cs="宋体"/>
                <w:b w:val="0"/>
                <w:bCs w:val="0"/>
                <w:color w:val="0000FF"/>
                <w:lang w:bidi="ar"/>
              </w:rPr>
              <w:t>建设</w:t>
            </w:r>
            <w:r>
              <w:rPr>
                <w:rFonts w:hint="eastAsia" w:ascii="宋体" w:hAnsi="宋体" w:eastAsia="宋体" w:cs="宋体"/>
                <w:b w:val="0"/>
                <w:bCs w:val="0"/>
                <w:color w:val="0000FF"/>
                <w:lang w:val="en-US" w:eastAsia="zh-CN" w:bidi="ar"/>
              </w:rPr>
              <w:t>物流仓储库房4000m2、管理中心、员工宿舍12000m2、道路及停车场25000m2</w:t>
            </w:r>
            <w:r>
              <w:rPr>
                <w:rFonts w:hint="eastAsia" w:ascii="宋体" w:hAnsi="宋体" w:eastAsia="宋体" w:cs="宋体"/>
                <w:b w:val="0"/>
                <w:bCs w:val="0"/>
                <w:color w:val="0000FF"/>
                <w:lang w:bidi="ar"/>
              </w:rPr>
              <w:t>。</w:t>
            </w:r>
          </w:p>
        </w:tc>
      </w:tr>
    </w:tbl>
    <w:p w14:paraId="24679A54">
      <w:pPr>
        <w:spacing w:line="600" w:lineRule="exact"/>
      </w:pPr>
      <w:bookmarkStart w:id="154" w:name="_Toc30737"/>
      <w:bookmarkStart w:id="155" w:name="_Toc7109"/>
      <w:bookmarkStart w:id="156" w:name="_Toc2897"/>
      <w:bookmarkStart w:id="157" w:name="_Toc25090"/>
    </w:p>
    <w:p w14:paraId="0EF65888">
      <w:pPr>
        <w:pStyle w:val="2"/>
      </w:pPr>
    </w:p>
    <w:p w14:paraId="23F01E66">
      <w:pPr>
        <w:pStyle w:val="2"/>
      </w:pPr>
    </w:p>
    <w:p w14:paraId="62FE75DE">
      <w:pPr>
        <w:pStyle w:val="2"/>
      </w:pPr>
    </w:p>
    <w:p w14:paraId="005BF021">
      <w:pPr>
        <w:pStyle w:val="2"/>
      </w:pPr>
    </w:p>
    <w:p w14:paraId="558E4070">
      <w:pPr>
        <w:pStyle w:val="2"/>
      </w:pPr>
    </w:p>
    <w:p w14:paraId="359854A5">
      <w:pPr>
        <w:pStyle w:val="3"/>
        <w:widowControl/>
        <w:spacing w:before="0" w:after="0" w:line="600" w:lineRule="exact"/>
      </w:pPr>
      <w:bookmarkStart w:id="158" w:name="_Toc14666"/>
      <w:r>
        <w:rPr>
          <w:rFonts w:hint="eastAsia"/>
        </w:rPr>
        <w:t>第四章</w:t>
      </w:r>
      <w:r>
        <w:t xml:space="preserve"> </w:t>
      </w:r>
      <w:r>
        <w:rPr>
          <w:rFonts w:hint="eastAsia"/>
        </w:rPr>
        <w:t>强化创新驱动，引领产业转型升级</w:t>
      </w:r>
      <w:bookmarkEnd w:id="158"/>
    </w:p>
    <w:p w14:paraId="1BC56867">
      <w:pPr>
        <w:pStyle w:val="4"/>
        <w:keepNext/>
        <w:keepLines/>
        <w:adjustRightInd w:val="0"/>
        <w:snapToGrid w:val="0"/>
        <w:spacing w:line="600" w:lineRule="exact"/>
        <w:ind w:firstLine="640" w:firstLineChars="200"/>
      </w:pPr>
      <w:bookmarkStart w:id="159" w:name="_Toc15264"/>
    </w:p>
    <w:p w14:paraId="2FF40666">
      <w:pPr>
        <w:pStyle w:val="4"/>
        <w:keepNext/>
        <w:keepLines/>
        <w:adjustRightInd w:val="0"/>
        <w:snapToGrid w:val="0"/>
        <w:spacing w:line="600" w:lineRule="exact"/>
        <w:ind w:firstLine="640" w:firstLineChars="200"/>
      </w:pPr>
      <w:r>
        <w:rPr>
          <w:rFonts w:hint="eastAsia"/>
        </w:rPr>
        <w:t>第一节 多层次培育创新主体</w:t>
      </w:r>
      <w:bookmarkEnd w:id="159"/>
    </w:p>
    <w:p w14:paraId="3FA64355">
      <w:pPr>
        <w:spacing w:line="600" w:lineRule="exact"/>
        <w:ind w:firstLine="640" w:firstLineChars="200"/>
        <w:rPr>
          <w:rFonts w:ascii="仿宋_GB2312" w:hAnsi="仿宋_GB2312" w:eastAsia="仿宋_GB2312" w:cs="仿宋_GB2312"/>
          <w:kern w:val="2"/>
          <w:sz w:val="32"/>
          <w:szCs w:val="32"/>
        </w:rPr>
      </w:pPr>
    </w:p>
    <w:p w14:paraId="6871EA45">
      <w:pP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坚持企业创新主体地位，以推动创新链、产业链、资金链、人才链深度融合为牵引，围绕创新主体培育、科技金融、人才引育、成果转化等关键环节协同发力，围绕企业从孵化培育、成长壮大到引领发展的不同阶段，系统构建目标清晰、路径贯通、激励有效的科技企业梯次培育体系，推动创新资源向企业集聚、创新成果在企业转化，发挥好企业在创新体系中的主导作用。</w:t>
      </w:r>
    </w:p>
    <w:p w14:paraId="75354376">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加力培育高新技术企业。</w:t>
      </w:r>
      <w:r>
        <w:rPr>
          <w:rFonts w:hint="eastAsia" w:ascii="仿宋_GB2312" w:hAnsi="仿宋_GB2312" w:eastAsia="仿宋_GB2312" w:cs="仿宋_GB2312"/>
          <w:kern w:val="2"/>
          <w:sz w:val="32"/>
          <w:szCs w:val="32"/>
        </w:rPr>
        <w:t>围绕高新区主导产业和能源革命、产业转型重点方向，从“重认定、重数量”向“重研发、重质量”转变。持续落实高新技术企业培育计划，完善高企认定奖励和研发费用补贴等政策，依据高新区四大主导产业和全市能源革命、产业转型要求，加快培育和引进一批具有核心技术、引领产业发展的高新技术企业，聚焦绿电利用、新型储能、碳捕集封存、传统产业低碳改造等领域，加速优质创新资源集聚。引导企业加大研发投入，尤其支持能源革命、环保技术相关研发项目，促进符合条件的科技型中小企业加快成长为高新技术企业。通过强化科技攻关和成果转化，支持现有高企及新引进企业持续投入研发，掌握核心技术，确保高企数量和质量稳步增长。</w:t>
      </w:r>
    </w:p>
    <w:p w14:paraId="176A0360">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着力构建研发平台梯次培育体系。</w:t>
      </w:r>
      <w:r>
        <w:rPr>
          <w:rFonts w:hint="eastAsia" w:ascii="仿宋_GB2312" w:hAnsi="仿宋_GB2312" w:eastAsia="仿宋_GB2312" w:cs="仿宋_GB2312"/>
          <w:kern w:val="2"/>
          <w:sz w:val="32"/>
          <w:szCs w:val="32"/>
        </w:rPr>
        <w:t>深入实施研发平台能级提升计划，鼓励和支持主导产业中的龙头企业牵头，联合高校院所建设省级以上研发平台，</w:t>
      </w:r>
      <w:r>
        <w:rPr>
          <w:rFonts w:hint="eastAsia" w:ascii="仿宋_GB2312" w:hAnsi="仿宋" w:eastAsia="仿宋_GB2312" w:cs="仿宋"/>
          <w:sz w:val="32"/>
          <w:szCs w:val="32"/>
        </w:rPr>
        <w:t>重点支持中兵长智申报省级技术创新中心、卓怡恒通申报省级企业技术中心、光益生申报省级新型研发机构、特瓦时和太行润滑油申报省级工程研究中心、推进华耀亿嘉与集创北方共建高密度集成电路封测技术研发平台，</w:t>
      </w:r>
      <w:r>
        <w:rPr>
          <w:rFonts w:hint="eastAsia" w:ascii="仿宋_GB2312" w:hAnsi="仿宋_GB2312" w:eastAsia="仿宋_GB2312" w:cs="仿宋_GB2312"/>
          <w:kern w:val="2"/>
          <w:sz w:val="32"/>
          <w:szCs w:val="32"/>
        </w:rPr>
        <w:t>形成功能互补、衔接有序的创新平台梯队。建立健全高水平创新联合体、产业研究院等协同平台的遴选与培育机制，鼓励其承担重大科研任务，打造“长治创新联合体”品牌，形成“基础研究平台—应用研发平台—产业协同平台—国家级重大平台”的梯次发展格局。聚焦高效光伏组件回收、固态电池储能等研发，推动能源技术成果本地转化，形成一批自主知识产权技术。</w:t>
      </w:r>
    </w:p>
    <w:p w14:paraId="591036F1">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全力加快科技型企业孵化载体建设。</w:t>
      </w:r>
      <w:r>
        <w:rPr>
          <w:rFonts w:hint="eastAsia" w:ascii="仿宋_GB2312" w:hAnsi="仿宋_GB2312" w:eastAsia="仿宋_GB2312" w:cs="仿宋_GB2312"/>
          <w:kern w:val="2"/>
          <w:sz w:val="32"/>
          <w:szCs w:val="32"/>
        </w:rPr>
        <w:t>聚焦新质生产力培育和产业转型升级需求，构建“孵化器-加速器-产业园区”梯次体系，为初创团队、成长期企业及产业化项目分别提供创业辅导、技术研发、规模化生产等全生命周期服务。推进科技孵化园、清控创新基地、钜星科技企业孵化器、自定义科技孵化器等科技孵化载体提档升级，创建工信部标准级、卓越级科技型企业孵化器。</w:t>
      </w:r>
      <w:r>
        <w:rPr>
          <w:rFonts w:hint="eastAsia" w:ascii="仿宋_GB2312" w:hAnsi="仿宋_GB2312" w:eastAsia="仿宋_GB2312" w:cs="仿宋_GB2312"/>
          <w:sz w:val="32"/>
          <w:szCs w:val="40"/>
        </w:rPr>
        <w:t>同时，围绕未来产业发展方向，探索将适合的标准厂房作为</w:t>
      </w:r>
      <w:r>
        <w:rPr>
          <w:rFonts w:hint="eastAsia" w:ascii="仿宋_GB2312" w:hAnsi="仿宋_GB2312" w:eastAsia="仿宋_GB2312" w:cs="仿宋_GB2312"/>
          <w:kern w:val="2"/>
          <w:sz w:val="32"/>
          <w:szCs w:val="32"/>
        </w:rPr>
        <w:t>应用型孵化载体，推动孵化载体与产业园区协同、项目与主导产业精准匹配，促进技术创新与场景融合。坚持市场化、专业化、开放化导向，引入优质市场主体参与建设运营，深化与中关村等创新区域合作，导入技术转移、创业导师、投融资等高端要素，推广“孵化+基金”“孵化+龙头企业”“孵化+应用场景”模式，推动创新项目就地孵化、加速、产业化，筑牢产业升级创新源头。</w:t>
      </w:r>
    </w:p>
    <w:p w14:paraId="5E1896D0">
      <w:pPr>
        <w:spacing w:line="600" w:lineRule="exact"/>
        <w:ind w:firstLine="640" w:firstLineChars="200"/>
        <w:rPr>
          <w:rFonts w:ascii="仿宋_GB2312" w:hAnsi="仿宋_GB2312" w:eastAsia="仿宋_GB2312" w:cs="仿宋_GB2312"/>
          <w:kern w:val="2"/>
          <w:sz w:val="32"/>
          <w:szCs w:val="32"/>
        </w:rPr>
      </w:pPr>
    </w:p>
    <w:p w14:paraId="705E8C8A">
      <w:pPr>
        <w:pStyle w:val="4"/>
        <w:keepNext/>
        <w:keepLines/>
        <w:adjustRightInd w:val="0"/>
        <w:snapToGrid w:val="0"/>
        <w:spacing w:line="600" w:lineRule="exact"/>
        <w:ind w:firstLine="640" w:firstLineChars="200"/>
      </w:pPr>
      <w:bookmarkStart w:id="160" w:name="_Toc28318"/>
      <w:r>
        <w:rPr>
          <w:rFonts w:hint="eastAsia"/>
        </w:rPr>
        <w:t>第二节 集聚高能级创新要素</w:t>
      </w:r>
      <w:bookmarkEnd w:id="160"/>
    </w:p>
    <w:p w14:paraId="7642884F">
      <w:pPr>
        <w:spacing w:line="600" w:lineRule="exact"/>
        <w:rPr>
          <w:sz w:val="32"/>
          <w:szCs w:val="36"/>
        </w:rPr>
      </w:pPr>
    </w:p>
    <w:p w14:paraId="71743A67">
      <w:pPr>
        <w:pBdr>
          <w:bottom w:val="none" w:color="auto" w:sz="0" w:space="31"/>
        </w:pBd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围绕创新活动的关键要素需求，强化人才、资本等资源的系统配置和协同供给，推动创新要素由“被动集聚”向“精准匹配”转变，为企业创新和成果转化提供稳定支撑。</w:t>
      </w:r>
    </w:p>
    <w:p w14:paraId="12F17D6D">
      <w:pPr>
        <w:pBdr>
          <w:bottom w:val="none" w:color="auto" w:sz="0" w:space="31"/>
        </w:pBdr>
        <w:spacing w:line="600" w:lineRule="exact"/>
        <w:ind w:firstLine="643" w:firstLineChars="200"/>
        <w:rPr>
          <w:rFonts w:ascii="仿宋_GB2312" w:eastAsia="仿宋_GB2312"/>
          <w:sz w:val="32"/>
          <w:szCs w:val="32"/>
        </w:rPr>
      </w:pPr>
      <w:r>
        <w:rPr>
          <w:rFonts w:hint="eastAsia" w:ascii="仿宋_GB2312" w:hAnsi="仿宋_GB2312" w:eastAsia="仿宋_GB2312" w:cs="仿宋_GB2312"/>
          <w:b/>
          <w:bCs/>
          <w:kern w:val="2"/>
          <w:sz w:val="32"/>
          <w:szCs w:val="32"/>
        </w:rPr>
        <w:t>吸引高端创新人才资源。</w:t>
      </w:r>
      <w:r>
        <w:rPr>
          <w:rFonts w:hint="eastAsia" w:ascii="仿宋_GB2312" w:hAnsi="仿宋_GB2312" w:eastAsia="仿宋_GB2312" w:cs="仿宋_GB2312"/>
          <w:bCs/>
          <w:sz w:val="32"/>
          <w:szCs w:val="32"/>
        </w:rPr>
        <w:t>坚持“以项目聚人才、以人才带项目”，系统构建“引、育、用、留”全链条人才服务体系。</w:t>
      </w:r>
      <w:r>
        <w:rPr>
          <w:rFonts w:hint="eastAsia" w:ascii="仿宋_GB2312" w:eastAsia="仿宋_GB2312"/>
          <w:sz w:val="32"/>
          <w:szCs w:val="32"/>
        </w:rPr>
        <w:t>绘制图谱靶向引才，围绕主导产业发展需求，</w:t>
      </w:r>
      <w:r>
        <w:rPr>
          <w:rFonts w:ascii="仿宋_GB2312" w:eastAsia="仿宋_GB2312"/>
          <w:sz w:val="32"/>
          <w:szCs w:val="32"/>
        </w:rPr>
        <w:t>精准绘制</w:t>
      </w:r>
      <w:r>
        <w:rPr>
          <w:rFonts w:hint="eastAsia" w:ascii="仿宋_GB2312" w:eastAsia="仿宋_GB2312"/>
          <w:sz w:val="32"/>
          <w:szCs w:val="32"/>
        </w:rPr>
        <w:t>高端紧缺</w:t>
      </w:r>
      <w:r>
        <w:rPr>
          <w:rFonts w:ascii="仿宋_GB2312" w:eastAsia="仿宋_GB2312"/>
          <w:sz w:val="32"/>
          <w:szCs w:val="32"/>
        </w:rPr>
        <w:t>人才图谱，持续打造</w:t>
      </w:r>
      <w:r>
        <w:rPr>
          <w:rFonts w:hint="eastAsia" w:ascii="仿宋_GB2312" w:eastAsia="仿宋_GB2312"/>
          <w:sz w:val="32"/>
          <w:szCs w:val="32"/>
        </w:rPr>
        <w:t>“</w:t>
      </w:r>
      <w:r>
        <w:rPr>
          <w:rFonts w:ascii="仿宋_GB2312" w:eastAsia="仿宋_GB2312"/>
          <w:sz w:val="32"/>
          <w:szCs w:val="32"/>
        </w:rPr>
        <w:t>智荟高新区</w:t>
      </w:r>
      <w:r>
        <w:rPr>
          <w:rFonts w:hint="eastAsia" w:ascii="仿宋_GB2312" w:eastAsia="仿宋_GB2312"/>
          <w:sz w:val="32"/>
          <w:szCs w:val="32"/>
        </w:rPr>
        <w:t>”</w:t>
      </w:r>
      <w:r>
        <w:rPr>
          <w:rFonts w:ascii="仿宋_GB2312" w:eastAsia="仿宋_GB2312"/>
          <w:sz w:val="32"/>
          <w:szCs w:val="32"/>
        </w:rPr>
        <w:t>等品牌活动，</w:t>
      </w:r>
      <w:r>
        <w:rPr>
          <w:rFonts w:hint="eastAsia" w:ascii="仿宋_GB2312" w:eastAsia="仿宋_GB2312"/>
          <w:sz w:val="32"/>
          <w:szCs w:val="32"/>
        </w:rPr>
        <w:t>持续</w:t>
      </w:r>
      <w:r>
        <w:rPr>
          <w:rFonts w:hint="eastAsia" w:ascii="仿宋_GB2312" w:hAnsi="___WRD_EMBED_SUB_52" w:eastAsia="仿宋_GB2312" w:cs="___WRD_EMBED_SUB_52"/>
          <w:sz w:val="32"/>
          <w:szCs w:val="32"/>
        </w:rPr>
        <w:t>实施“金</w:t>
      </w:r>
      <w:r>
        <w:rPr>
          <w:rFonts w:hint="eastAsia" w:ascii="仿宋_GB2312" w:hAnsi="微软雅黑" w:eastAsia="仿宋_GB2312" w:cs="微软雅黑"/>
          <w:sz w:val="32"/>
          <w:szCs w:val="32"/>
        </w:rPr>
        <w:t>梧桐英</w:t>
      </w:r>
      <w:r>
        <w:rPr>
          <w:rFonts w:hint="eastAsia" w:ascii="仿宋_GB2312" w:hAnsi="___WRD_EMBED_SUB_52" w:eastAsia="仿宋_GB2312" w:cs="___WRD_EMBED_SUB_52"/>
          <w:sz w:val="32"/>
          <w:szCs w:val="32"/>
        </w:rPr>
        <w:t>才计划”，</w:t>
      </w:r>
      <w:r>
        <w:rPr>
          <w:rFonts w:hint="eastAsia" w:ascii="仿宋_GB2312" w:eastAsia="仿宋_GB2312"/>
          <w:sz w:val="32"/>
          <w:szCs w:val="32"/>
        </w:rPr>
        <w:t>创新人才评价与引进机制，打破学历和职称限制,重点向掌握关键技术的专家和实战技能型人才</w:t>
      </w:r>
      <w:r>
        <w:rPr>
          <w:rFonts w:hint="eastAsia" w:ascii="仿宋_GB2312" w:hAnsi="微软雅黑" w:eastAsia="仿宋_GB2312" w:cs="微软雅黑"/>
          <w:sz w:val="32"/>
          <w:szCs w:val="32"/>
        </w:rPr>
        <w:t>倾斜</w:t>
      </w:r>
      <w:r>
        <w:rPr>
          <w:rFonts w:hint="eastAsia" w:ascii="仿宋_GB2312" w:eastAsia="仿宋_GB2312"/>
          <w:sz w:val="32"/>
          <w:szCs w:val="32"/>
        </w:rPr>
        <w:t>，</w:t>
      </w:r>
      <w:r>
        <w:rPr>
          <w:rFonts w:ascii="仿宋_GB2312" w:eastAsia="仿宋_GB2312"/>
          <w:sz w:val="32"/>
          <w:szCs w:val="32"/>
        </w:rPr>
        <w:t>力争精准引进100名高层次创新人才及</w:t>
      </w:r>
      <w:r>
        <w:rPr>
          <w:rFonts w:hint="eastAsia" w:ascii="仿宋_GB2312" w:eastAsia="仿宋_GB2312"/>
          <w:sz w:val="32"/>
          <w:szCs w:val="32"/>
        </w:rPr>
        <w:t>创业</w:t>
      </w:r>
      <w:r>
        <w:rPr>
          <w:rFonts w:ascii="仿宋_GB2312" w:eastAsia="仿宋_GB2312"/>
          <w:sz w:val="32"/>
          <w:szCs w:val="32"/>
        </w:rPr>
        <w:t>团队</w:t>
      </w:r>
      <w:r>
        <w:rPr>
          <w:rFonts w:hint="eastAsia" w:ascii="仿宋_GB2312" w:eastAsia="仿宋_GB2312"/>
          <w:sz w:val="32"/>
          <w:szCs w:val="32"/>
        </w:rPr>
        <w:t>，实现</w:t>
      </w:r>
      <w:r>
        <w:rPr>
          <w:rFonts w:ascii="仿宋_GB2312" w:eastAsia="仿宋_GB2312"/>
          <w:sz w:val="32"/>
          <w:szCs w:val="32"/>
        </w:rPr>
        <w:t>人才引进与项目招商同频共振。</w:t>
      </w:r>
      <w:r>
        <w:rPr>
          <w:rFonts w:hint="eastAsia" w:ascii="仿宋_GB2312" w:eastAsia="仿宋_GB2312"/>
          <w:sz w:val="32"/>
          <w:szCs w:val="32"/>
        </w:rPr>
        <w:t>产教融合协同育才，强化校企合作深度，支持企业与高校共建合作平台，推广双元制培养模式，开展“订单式培养”与现代学徒制试点</w:t>
      </w:r>
      <w:r>
        <w:rPr>
          <w:rFonts w:ascii="仿宋_GB2312" w:eastAsia="仿宋_GB2312"/>
          <w:sz w:val="32"/>
          <w:szCs w:val="32"/>
        </w:rPr>
        <w:t>，精准培育产业急需的工程师队伍和高</w:t>
      </w:r>
      <w:r>
        <w:rPr>
          <w:rFonts w:hint="eastAsia" w:ascii="仿宋_GB2312" w:eastAsia="仿宋_GB2312"/>
          <w:sz w:val="32"/>
          <w:szCs w:val="32"/>
        </w:rPr>
        <w:t>技能人才</w:t>
      </w:r>
      <w:r>
        <w:rPr>
          <w:rFonts w:ascii="仿宋_GB2312" w:eastAsia="仿宋_GB2312"/>
          <w:sz w:val="32"/>
          <w:szCs w:val="32"/>
        </w:rPr>
        <w:t>。</w:t>
      </w:r>
      <w:r>
        <w:rPr>
          <w:rFonts w:hint="eastAsia" w:ascii="仿宋_GB2312" w:eastAsia="仿宋_GB2312"/>
          <w:sz w:val="32"/>
          <w:szCs w:val="32"/>
        </w:rPr>
        <w:t>平台建设柔性聚才，</w:t>
      </w:r>
      <w:r>
        <w:rPr>
          <w:rFonts w:ascii="仿宋_GB2312" w:eastAsia="仿宋_GB2312"/>
          <w:sz w:val="32"/>
          <w:szCs w:val="32"/>
        </w:rPr>
        <w:t>支持龙头企业联合高校、科研院所共建高水平产业研究院、院士及博士工作站</w:t>
      </w:r>
      <w:r>
        <w:rPr>
          <w:rFonts w:hint="eastAsia" w:ascii="仿宋_GB2312" w:eastAsia="仿宋_GB2312"/>
          <w:sz w:val="32"/>
          <w:szCs w:val="32"/>
        </w:rPr>
        <w:t>;</w:t>
      </w:r>
      <w:r>
        <w:rPr>
          <w:rFonts w:ascii="仿宋_GB2312" w:eastAsia="仿宋_GB2312"/>
          <w:sz w:val="32"/>
          <w:szCs w:val="32"/>
        </w:rPr>
        <w:t>积极</w:t>
      </w:r>
      <w:r>
        <w:rPr>
          <w:rFonts w:hint="eastAsia" w:ascii="仿宋_GB2312" w:eastAsia="仿宋_GB2312"/>
          <w:sz w:val="32"/>
          <w:szCs w:val="32"/>
        </w:rPr>
        <w:t>探索“</w:t>
      </w:r>
      <w:r>
        <w:rPr>
          <w:rFonts w:ascii="仿宋_GB2312" w:eastAsia="仿宋_GB2312"/>
          <w:sz w:val="32"/>
          <w:szCs w:val="32"/>
        </w:rPr>
        <w:t>共享专家</w:t>
      </w:r>
      <w:r>
        <w:rPr>
          <w:rFonts w:hint="eastAsia" w:ascii="仿宋_GB2312" w:eastAsia="仿宋_GB2312"/>
          <w:sz w:val="32"/>
          <w:szCs w:val="32"/>
        </w:rPr>
        <w:t>”、柔性协作</w:t>
      </w:r>
      <w:r>
        <w:rPr>
          <w:rFonts w:ascii="仿宋_GB2312" w:eastAsia="仿宋_GB2312"/>
          <w:sz w:val="32"/>
          <w:szCs w:val="32"/>
        </w:rPr>
        <w:t>等灵活机制</w:t>
      </w:r>
      <w:r>
        <w:rPr>
          <w:rFonts w:hint="eastAsia" w:ascii="仿宋_GB2312" w:eastAsia="仿宋_GB2312"/>
          <w:sz w:val="32"/>
          <w:szCs w:val="32"/>
        </w:rPr>
        <w:t>，</w:t>
      </w:r>
      <w:r>
        <w:rPr>
          <w:rFonts w:ascii="仿宋_GB2312" w:eastAsia="仿宋_GB2312"/>
          <w:sz w:val="32"/>
          <w:szCs w:val="32"/>
        </w:rPr>
        <w:t>突破</w:t>
      </w:r>
      <w:r>
        <w:rPr>
          <w:rFonts w:hint="eastAsia" w:ascii="仿宋_GB2312" w:eastAsia="仿宋_GB2312"/>
          <w:sz w:val="32"/>
          <w:szCs w:val="32"/>
        </w:rPr>
        <w:t>跨区域人才资源整合与高效利用。体系优化服务留才，</w:t>
      </w:r>
      <w:r>
        <w:rPr>
          <w:rFonts w:hint="eastAsia" w:ascii="仿宋_GB2312" w:hAnsi="仿宋_GB2312" w:eastAsia="仿宋_GB2312" w:cs="仿宋_GB2312"/>
          <w:kern w:val="2"/>
          <w:sz w:val="32"/>
          <w:szCs w:val="32"/>
        </w:rPr>
        <w:t>加快建设人才公寓和配套生活设施，</w:t>
      </w:r>
      <w:r>
        <w:rPr>
          <w:rFonts w:ascii="仿宋_GB2312" w:eastAsia="仿宋_GB2312"/>
          <w:sz w:val="32"/>
          <w:szCs w:val="32"/>
        </w:rPr>
        <w:t>引导主城区咨询、法务、金融</w:t>
      </w:r>
      <w:r>
        <w:rPr>
          <w:rFonts w:hint="eastAsia" w:ascii="仿宋_GB2312" w:eastAsia="仿宋_GB2312"/>
          <w:sz w:val="32"/>
          <w:szCs w:val="32"/>
        </w:rPr>
        <w:t>、财务</w:t>
      </w:r>
      <w:r>
        <w:rPr>
          <w:rFonts w:ascii="仿宋_GB2312" w:eastAsia="仿宋_GB2312"/>
          <w:sz w:val="32"/>
          <w:szCs w:val="32"/>
        </w:rPr>
        <w:t>等专业服务机构资源向</w:t>
      </w:r>
      <w:r>
        <w:rPr>
          <w:rFonts w:hint="eastAsia" w:ascii="仿宋_GB2312" w:eastAsia="仿宋_GB2312"/>
          <w:sz w:val="32"/>
          <w:szCs w:val="32"/>
        </w:rPr>
        <w:t>高新区集聚</w:t>
      </w:r>
      <w:r>
        <w:rPr>
          <w:rFonts w:ascii="仿宋_GB2312" w:eastAsia="仿宋_GB2312"/>
          <w:sz w:val="32"/>
          <w:szCs w:val="32"/>
        </w:rPr>
        <w:t>，构建起支撑产业创新发展的多元化</w:t>
      </w:r>
      <w:r>
        <w:rPr>
          <w:rFonts w:hint="eastAsia" w:ascii="仿宋_GB2312" w:eastAsia="仿宋_GB2312"/>
          <w:sz w:val="32"/>
          <w:szCs w:val="32"/>
        </w:rPr>
        <w:t>“</w:t>
      </w:r>
      <w:r>
        <w:rPr>
          <w:rFonts w:ascii="仿宋_GB2312" w:eastAsia="仿宋_GB2312"/>
          <w:sz w:val="32"/>
          <w:szCs w:val="32"/>
        </w:rPr>
        <w:t>外脑</w:t>
      </w:r>
      <w:r>
        <w:rPr>
          <w:rFonts w:hint="eastAsia" w:ascii="仿宋_GB2312" w:eastAsia="仿宋_GB2312"/>
          <w:sz w:val="32"/>
          <w:szCs w:val="32"/>
        </w:rPr>
        <w:t>”</w:t>
      </w:r>
      <w:r>
        <w:rPr>
          <w:rFonts w:ascii="仿宋_GB2312" w:eastAsia="仿宋_GB2312"/>
          <w:sz w:val="32"/>
          <w:szCs w:val="32"/>
        </w:rPr>
        <w:t>网络</w:t>
      </w:r>
      <w:r>
        <w:rPr>
          <w:rFonts w:hint="eastAsia" w:ascii="仿宋_GB2312" w:eastAsia="仿宋_GB2312"/>
          <w:sz w:val="32"/>
          <w:szCs w:val="32"/>
        </w:rPr>
        <w:t>,</w:t>
      </w:r>
      <w:r>
        <w:rPr>
          <w:rFonts w:hint="eastAsia" w:ascii="仿宋_GB2312" w:hAnsi="___WRD_EMBED_SUB_52" w:eastAsia="仿宋_GB2312" w:cs="___WRD_EMBED_SUB_52"/>
          <w:sz w:val="32"/>
          <w:szCs w:val="32"/>
        </w:rPr>
        <w:t>加快形成以人才引领创新、以创新驱动产业发展的良性循环。</w:t>
      </w:r>
    </w:p>
    <w:p w14:paraId="556589C0">
      <w:pPr>
        <w:pBdr>
          <w:bottom w:val="none" w:color="auto" w:sz="0" w:space="31"/>
        </w:pBd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发挥金融支撑创新作用。</w:t>
      </w:r>
      <w:r>
        <w:rPr>
          <w:rFonts w:hint="eastAsia" w:ascii="仿宋_GB2312" w:hAnsi="仿宋_GB2312" w:eastAsia="仿宋_GB2312" w:cs="仿宋_GB2312"/>
          <w:kern w:val="2"/>
          <w:sz w:val="32"/>
          <w:szCs w:val="32"/>
        </w:rPr>
        <w:t>全面强化科技金融支撑，健全多元化的科技金融服务体系。加大对产业基金集群培育力度，加大现有6支基金的盘活利用。积极推动科技金融产品创新，鼓励商业银行采用知识产权质押、预期收益质押、科技保险等方式，为促进技术转移转化提供更多金融产品服务。构建绿色金融体系，引导金融资源投向新能源、环保装备等绿色产业。同时，建立健全上市培育体系，推动具备条件的企业积极对接新三板、创业板、科创板、中小板和主板，支持和鼓励企业利用资本市场做大做优。</w:t>
      </w:r>
    </w:p>
    <w:p w14:paraId="33626BB5">
      <w:pPr>
        <w:pStyle w:val="4"/>
        <w:keepNext/>
        <w:keepLines/>
        <w:adjustRightInd w:val="0"/>
        <w:snapToGrid w:val="0"/>
        <w:spacing w:line="600" w:lineRule="exact"/>
        <w:ind w:firstLine="640" w:firstLineChars="200"/>
      </w:pPr>
      <w:bookmarkStart w:id="161" w:name="_Toc28181"/>
      <w:r>
        <w:rPr>
          <w:rFonts w:hint="eastAsia"/>
        </w:rPr>
        <w:t>第三节 加强科技自主创新</w:t>
      </w:r>
      <w:bookmarkEnd w:id="161"/>
    </w:p>
    <w:p w14:paraId="61CADA3D">
      <w:pPr>
        <w:pBdr>
          <w:bottom w:val="none" w:color="auto" w:sz="0" w:space="31"/>
        </w:pBdr>
        <w:spacing w:line="600" w:lineRule="exact"/>
        <w:ind w:firstLine="420" w:firstLineChars="200"/>
      </w:pPr>
    </w:p>
    <w:p w14:paraId="3E234E0C">
      <w:pPr>
        <w:pBdr>
          <w:bottom w:val="none" w:color="auto" w:sz="0" w:space="31"/>
        </w:pBd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加强科技自主创新是发展新质生产力的核心支撑。要坚持以基础研究和前沿技术储备为支撑，依托高校院所、重点实验室开展前沿研究和中长期技术储备，以关键核心技术攻关为突破，以高效成果转化为牵引，以完善知识产权体系为保障，系统构建活力充沛、效能卓越的创新生态，为产业向高端化、智能化、绿色化跃升注入强劲动能。</w:t>
      </w:r>
    </w:p>
    <w:p w14:paraId="6B75EDCF">
      <w:pPr>
        <w:pBdr>
          <w:bottom w:val="none" w:color="auto" w:sz="0" w:space="31"/>
        </w:pBd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攻关关键核心技术。</w:t>
      </w:r>
      <w:r>
        <w:rPr>
          <w:rFonts w:hint="eastAsia" w:ascii="仿宋_GB2312" w:hAnsi="仿宋_GB2312" w:eastAsia="仿宋_GB2312" w:cs="仿宋_GB2312"/>
          <w:kern w:val="2"/>
          <w:sz w:val="32"/>
          <w:szCs w:val="32"/>
        </w:rPr>
        <w:t>聚焦电子信息、新能源、装备制造、生物医药等四大主导产业发展需求，实施“卡脖子”技术攻关工程。采取“揭榜挂帅”等机制，引导企业、高校和科研院所联合承担重大科技攻关项目，围绕深紫外LED芯片、钙钛矿-硅基叠层太阳能电池、锂电池固态电池、国产化智能计算机、半导体集成电路封测、高端数控机床、大分子靶向药物等关键领域、“人工智能+”能源创新等关键领域集中攻关，推动突破一批关键核心技术，为全市能源转型提供强有力科技支撑。鼓励企业加大研发投入，设立高水平研发机构，重点推进应用性研究，聚焦产业痛点开展核心技术自主研发并推动成果产业化，精准引进先进技术与专利，经消化吸收再创新补齐产业短板，鼓励核心技术企业向上下游输出技术、专利及服务，带动产业链整体技术提升、实现技术价值最大化。同时支持企业争取承担国家和省级重大科技项目。同时，推动基础研究和应用基础研究，支持原创性、颠覆性技术创新，为高新区产业抢占未来竞争制高点提供技术储备。</w:t>
      </w:r>
    </w:p>
    <w:p w14:paraId="26311B08">
      <w:pPr>
        <w:pBdr>
          <w:bottom w:val="none" w:color="auto" w:sz="0" w:space="31"/>
        </w:pBdr>
        <w:spacing w:line="600" w:lineRule="exact"/>
        <w:ind w:firstLine="643" w:firstLineChars="200"/>
        <w:rPr>
          <w:rFonts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rPr>
        <w:t>促进科技成果转化。</w:t>
      </w:r>
      <w:r>
        <w:rPr>
          <w:rFonts w:hint="eastAsia" w:ascii="仿宋_GB2312" w:hAnsi="仿宋_GB2312" w:eastAsia="仿宋_GB2312" w:cs="仿宋_GB2312"/>
          <w:kern w:val="2"/>
          <w:sz w:val="32"/>
          <w:szCs w:val="32"/>
        </w:rPr>
        <w:t>加快构建区域性技术转移体系，</w:t>
      </w:r>
      <w:r>
        <w:rPr>
          <w:rFonts w:hint="eastAsia" w:ascii="仿宋_GB2312" w:eastAsia="仿宋_GB2312"/>
          <w:sz w:val="32"/>
          <w:szCs w:val="32"/>
        </w:rPr>
        <w:t>规划</w:t>
      </w:r>
      <w:r>
        <w:rPr>
          <w:rFonts w:ascii="仿宋_GB2312" w:hAnsi="方正仿宋_GBK" w:eastAsia="仿宋_GB2312" w:cs="方正仿宋_GBK"/>
          <w:sz w:val="32"/>
          <w:szCs w:val="32"/>
        </w:rPr>
        <w:t>建设</w:t>
      </w:r>
      <w:r>
        <w:rPr>
          <w:rFonts w:hint="eastAsia" w:ascii="仿宋_GB2312" w:hAnsi="方正仿宋_GBK" w:eastAsia="仿宋_GB2312" w:cs="方正仿宋_GBK"/>
          <w:sz w:val="32"/>
          <w:szCs w:val="32"/>
        </w:rPr>
        <w:t>集</w:t>
      </w:r>
      <w:r>
        <w:rPr>
          <w:rFonts w:ascii="仿宋_GB2312" w:hAnsi="方正仿宋_GBK" w:eastAsia="仿宋_GB2312" w:cs="方正仿宋_GBK"/>
          <w:sz w:val="32"/>
          <w:szCs w:val="32"/>
        </w:rPr>
        <w:t>技术研发、成果转化和产业孵化功能于一体的科技成果转化路演中心</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聚焦企业自主研发成果、引进先进技术转化成果、核心技术输出配套成果，完善科技创新成果展示、前沿科技展示、科技成果路演和孵化、新产品首发路演和技术交易、举办创新创业大赛活动等核心功能，推动各类企业应用性研究成果落地见效。</w:t>
      </w:r>
      <w:r>
        <w:rPr>
          <w:rFonts w:ascii="仿宋_GB2312" w:hAnsi="仿宋_GB2312" w:eastAsia="仿宋_GB2312" w:cs="仿宋_GB2312"/>
          <w:sz w:val="32"/>
          <w:szCs w:val="32"/>
        </w:rPr>
        <w:t>引入市场化技术转移机构，培育一批技术经理人队伍，</w:t>
      </w:r>
      <w:r>
        <w:rPr>
          <w:rFonts w:hint="eastAsia" w:ascii="仿宋_GB2312" w:hAnsi="方正楷体_GBK" w:eastAsia="仿宋_GB2312" w:cs="方正楷体_GBK"/>
          <w:bCs/>
          <w:sz w:val="32"/>
          <w:szCs w:val="32"/>
        </w:rPr>
        <w:t>联动技术、资本、人才、政策等多元要素，打造覆盖企业三大技术转化方向的成果转化和路演基地，打通技术研发、成果转化和产业应用的闭环体系，提升企业应用性研究成果转化效率和产业化水平。</w:t>
      </w:r>
    </w:p>
    <w:p w14:paraId="44E6CD0F">
      <w:pPr>
        <w:pBdr>
          <w:bottom w:val="none" w:color="auto" w:sz="0" w:space="31"/>
        </w:pBdr>
        <w:spacing w:line="600" w:lineRule="exact"/>
        <w:ind w:firstLine="643" w:firstLineChars="200"/>
      </w:pPr>
      <w:r>
        <w:rPr>
          <w:rFonts w:hint="eastAsia" w:ascii="仿宋_GB2312" w:hAnsi="仿宋_GB2312" w:eastAsia="仿宋_GB2312" w:cs="仿宋_GB2312"/>
          <w:b/>
          <w:bCs/>
          <w:kern w:val="2"/>
          <w:sz w:val="32"/>
          <w:szCs w:val="32"/>
        </w:rPr>
        <w:t>完善知识产权保护服务。</w:t>
      </w:r>
      <w:r>
        <w:rPr>
          <w:rFonts w:hint="eastAsia" w:ascii="仿宋_GB2312" w:hAnsi="仿宋_GB2312" w:eastAsia="仿宋_GB2312" w:cs="仿宋_GB2312"/>
          <w:kern w:val="2"/>
          <w:sz w:val="32"/>
          <w:szCs w:val="32"/>
        </w:rPr>
        <w:t>建立健全知识产权创造、运用、保护、管理和服务全链条体系。加强知识产权源头保护，鼓励和引导企业开展高价值专利布局和国际专利申请。完善知识产权运营体系，推动知识产权资产化、金融化，探索知识产权证券化试点。严厉打击侵犯知识产权的行为，加强行政执法和司法保护的协作，营造公平竞争的市场环境。同时，强化知识产权公共服务，强化知识产权服务工作站职能，提供快速确权、专业维权、法律咨询、评估交易等一站式服务，为创新主体提供坚实的法律保障和专业支持。</w:t>
      </w:r>
    </w:p>
    <w:p w14:paraId="65559968">
      <w:pPr>
        <w:pStyle w:val="3"/>
        <w:keepNext/>
        <w:keepLines/>
        <w:widowControl/>
        <w:autoSpaceDE w:val="0"/>
        <w:autoSpaceDN w:val="0"/>
        <w:adjustRightInd w:val="0"/>
        <w:snapToGrid w:val="0"/>
        <w:spacing w:before="0" w:after="0" w:line="600" w:lineRule="exact"/>
        <w:ind w:firstLine="1280" w:firstLineChars="400"/>
        <w:jc w:val="both"/>
        <w:rPr>
          <w:rFonts w:ascii="黑体" w:hAnsi="黑体" w:cs="黑体"/>
          <w:bCs w:val="0"/>
          <w:szCs w:val="32"/>
        </w:rPr>
      </w:pPr>
      <w:bookmarkStart w:id="162" w:name="_Toc4870"/>
      <w:bookmarkStart w:id="163" w:name="_Toc16536"/>
      <w:bookmarkStart w:id="164" w:name="_Toc27296"/>
      <w:bookmarkStart w:id="165" w:name="_Toc223176543"/>
      <w:r>
        <w:rPr>
          <w:rFonts w:hint="eastAsia" w:ascii="黑体" w:hAnsi="黑体" w:cs="黑体"/>
          <w:bCs w:val="0"/>
          <w:szCs w:val="32"/>
        </w:rPr>
        <w:t>第五章</w:t>
      </w:r>
      <w:r>
        <w:rPr>
          <w:rFonts w:ascii="黑体" w:hAnsi="黑体" w:cs="黑体"/>
          <w:bCs w:val="0"/>
          <w:szCs w:val="32"/>
        </w:rPr>
        <w:t xml:space="preserve"> </w:t>
      </w:r>
      <w:r>
        <w:rPr>
          <w:rFonts w:hint="eastAsia" w:ascii="黑体" w:hAnsi="黑体" w:cs="黑体"/>
          <w:bCs w:val="0"/>
          <w:szCs w:val="32"/>
        </w:rPr>
        <w:t>促进产城融合，打造城市发展增长极</w:t>
      </w:r>
      <w:bookmarkEnd w:id="154"/>
      <w:bookmarkEnd w:id="155"/>
      <w:bookmarkEnd w:id="156"/>
      <w:bookmarkEnd w:id="157"/>
      <w:bookmarkEnd w:id="162"/>
      <w:bookmarkEnd w:id="163"/>
      <w:bookmarkEnd w:id="164"/>
      <w:bookmarkEnd w:id="165"/>
    </w:p>
    <w:p w14:paraId="1FEB0645">
      <w:pPr>
        <w:pStyle w:val="4"/>
        <w:keepNext/>
        <w:keepLines/>
        <w:adjustRightInd w:val="0"/>
        <w:snapToGrid w:val="0"/>
        <w:spacing w:line="600" w:lineRule="exact"/>
        <w:ind w:firstLine="640" w:firstLineChars="200"/>
      </w:pPr>
      <w:bookmarkStart w:id="166" w:name="_Toc25551"/>
      <w:bookmarkStart w:id="167" w:name="_Toc10123"/>
      <w:bookmarkStart w:id="168" w:name="_Toc223176544"/>
      <w:bookmarkStart w:id="169" w:name="_Toc5880"/>
      <w:bookmarkStart w:id="170" w:name="_Toc26519"/>
      <w:bookmarkStart w:id="171" w:name="_Toc9507"/>
      <w:bookmarkStart w:id="172" w:name="_Toc8918"/>
    </w:p>
    <w:p w14:paraId="165C5697">
      <w:pPr>
        <w:pStyle w:val="4"/>
        <w:keepNext/>
        <w:keepLines/>
        <w:adjustRightInd w:val="0"/>
        <w:snapToGrid w:val="0"/>
        <w:spacing w:line="600" w:lineRule="exact"/>
        <w:ind w:firstLine="640" w:firstLineChars="200"/>
      </w:pPr>
      <w:bookmarkStart w:id="173" w:name="_Toc13347"/>
      <w:r>
        <w:rPr>
          <w:rFonts w:hint="eastAsia"/>
        </w:rPr>
        <w:t>第一节 优化空间布局</w:t>
      </w:r>
      <w:bookmarkEnd w:id="166"/>
      <w:bookmarkEnd w:id="167"/>
      <w:bookmarkEnd w:id="168"/>
      <w:bookmarkEnd w:id="169"/>
      <w:bookmarkEnd w:id="170"/>
      <w:bookmarkEnd w:id="171"/>
      <w:bookmarkEnd w:id="172"/>
      <w:bookmarkEnd w:id="173"/>
    </w:p>
    <w:p w14:paraId="6F72AA4E">
      <w:pPr>
        <w:widowControl/>
        <w:spacing w:line="600" w:lineRule="exact"/>
        <w:ind w:firstLine="640" w:firstLineChars="200"/>
        <w:jc w:val="left"/>
        <w:rPr>
          <w:sz w:val="32"/>
          <w:szCs w:val="32"/>
        </w:rPr>
      </w:pPr>
    </w:p>
    <w:p w14:paraId="1CFC6F2B">
      <w:pPr>
        <w:widowControl/>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sz w:val="32"/>
          <w:szCs w:val="32"/>
          <w:lang w:bidi="ar"/>
        </w:rPr>
        <w:t>坚持</w:t>
      </w:r>
      <w:r>
        <w:rPr>
          <w:rFonts w:hint="eastAsia" w:ascii="仿宋_GB2312" w:hAnsi="仿宋_GB2312" w:eastAsia="仿宋_GB2312" w:cs="仿宋_GB2312"/>
          <w:kern w:val="2"/>
          <w:sz w:val="32"/>
          <w:szCs w:val="32"/>
        </w:rPr>
        <w:t>以产促城、以城兴产和集约高效、功能协同原则，全面遵循产城融合的发展理念，致力于将高新区建设成为“宜业、宜居、宜游”的现代化产业新城，打造长治向北发展增长极。</w:t>
      </w:r>
    </w:p>
    <w:p w14:paraId="1B418FC7">
      <w:pPr>
        <w:widowControl/>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sz w:val="32"/>
          <w:szCs w:val="32"/>
          <w:lang w:bidi="ar"/>
        </w:rPr>
        <w:t>总体空间结构。</w:t>
      </w:r>
      <w:r>
        <w:rPr>
          <w:rFonts w:hint="eastAsia" w:ascii="仿宋_GB2312" w:hAnsi="仿宋_GB2312" w:eastAsia="仿宋_GB2312" w:cs="仿宋_GB2312"/>
          <w:kern w:val="2"/>
          <w:sz w:val="32"/>
          <w:szCs w:val="32"/>
        </w:rPr>
        <w:t>围绕打造现代化科技产业新城目标，</w:t>
      </w:r>
      <w:r>
        <w:rPr>
          <w:rFonts w:hint="eastAsia" w:ascii="仿宋_GB2312" w:hAnsi="仿宋_GB2312" w:eastAsia="仿宋_GB2312" w:cs="仿宋_GB2312"/>
          <w:bCs/>
          <w:sz w:val="32"/>
          <w:szCs w:val="32"/>
        </w:rPr>
        <w:t>按照</w:t>
      </w:r>
      <w:r>
        <w:rPr>
          <w:rFonts w:ascii="仿宋_GB2312" w:hAnsi="仿宋_GB2312" w:eastAsia="仿宋_GB2312" w:cs="仿宋_GB2312"/>
          <w:bCs/>
          <w:sz w:val="32"/>
          <w:szCs w:val="32"/>
        </w:rPr>
        <w:t>“产业用地50%、居住商业用地30%、其他配套用地20%”的比例要求，合理配置土地资源，</w:t>
      </w:r>
      <w:r>
        <w:rPr>
          <w:rFonts w:hint="eastAsia" w:ascii="仿宋_GB2312" w:hAnsi="仿宋_GB2312" w:eastAsia="仿宋_GB2312" w:cs="仿宋_GB2312"/>
          <w:kern w:val="2"/>
          <w:sz w:val="32"/>
          <w:szCs w:val="32"/>
        </w:rPr>
        <w:t>构建“一心统领、一带贯穿、三区协同、四轴联动”的空间结构，以此作为指导未来发展和重大项目落地的基本框架，打造集群发展的生产力布局。</w:t>
      </w:r>
    </w:p>
    <w:p w14:paraId="3D357FE3">
      <w:pPr>
        <w:spacing w:line="600" w:lineRule="exact"/>
        <w:ind w:firstLine="640"/>
        <w:rPr>
          <w:rFonts w:ascii="仿宋_GB2312" w:hAnsi="仿宋_GB2312" w:eastAsia="仿宋_GB2312" w:cs="仿宋_GB2312"/>
          <w:kern w:val="2"/>
          <w:sz w:val="32"/>
          <w:szCs w:val="32"/>
        </w:rPr>
      </w:pPr>
      <w:r>
        <w:rPr>
          <w:rFonts w:ascii="仿宋_GB2312" w:hAnsi="仿宋_GB2312" w:eastAsia="仿宋_GB2312" w:cs="仿宋_GB2312"/>
          <w:b/>
          <w:bCs/>
          <w:kern w:val="2"/>
          <w:sz w:val="32"/>
          <w:szCs w:val="32"/>
        </w:rPr>
        <w:t>“一心”</w:t>
      </w:r>
      <w:r>
        <w:rPr>
          <w:rFonts w:hint="eastAsia" w:ascii="仿宋_GB2312" w:hAnsi="仿宋_GB2312" w:eastAsia="仿宋_GB2312" w:cs="仿宋_GB2312"/>
          <w:kern w:val="2"/>
          <w:sz w:val="32"/>
          <w:szCs w:val="32"/>
        </w:rPr>
        <w:t>科技发展核心。依托高铁、高架与航空枢纽的复合区位优势，以科技工业园为载体，聚力建设集行政服务、科技创新、商务金融、会展文旅等功能于一体的综合发展服务核心，全面增强科技创新策源与综合服务辐射能级，塑造引领全区高质量发展的核心引擎。</w:t>
      </w:r>
    </w:p>
    <w:p w14:paraId="487802F4">
      <w:pPr>
        <w:spacing w:line="600" w:lineRule="exact"/>
        <w:ind w:firstLine="64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“一带”</w:t>
      </w:r>
      <w:r>
        <w:rPr>
          <w:rFonts w:hint="eastAsia" w:ascii="仿宋_GB2312" w:hAnsi="仿宋_GB2312" w:eastAsia="仿宋_GB2312" w:cs="仿宋_GB2312"/>
          <w:kern w:val="2"/>
          <w:sz w:val="32"/>
          <w:szCs w:val="32"/>
        </w:rPr>
        <w:t>生态景观廊道。依托老顶山—漳泽湖自然本底，实施高铁核心片区中央绿廊、三垂冈生态走廊等项目建设，沿主要道路和产业园区规划建设一批城市综合公园、社区公园、专类公园及游园等，形成点、线、面相结合的网络化生态绿地系统，打造</w:t>
      </w:r>
      <w:r>
        <w:rPr>
          <w:rFonts w:hint="eastAsia" w:ascii="仿宋_GB2312" w:hAnsi="仿宋_GB2312" w:eastAsia="仿宋_GB2312" w:cs="仿宋_GB2312"/>
          <w:kern w:val="2"/>
          <w:sz w:val="32"/>
          <w:szCs w:val="32"/>
          <w:lang w:eastAsia="zh-CN"/>
        </w:rPr>
        <w:t>青山绿水</w:t>
      </w:r>
      <w:r>
        <w:rPr>
          <w:rFonts w:hint="eastAsia" w:ascii="仿宋_GB2312" w:hAnsi="仿宋_GB2312" w:eastAsia="仿宋_GB2312" w:cs="仿宋_GB2312"/>
          <w:kern w:val="2"/>
          <w:sz w:val="32"/>
          <w:szCs w:val="32"/>
        </w:rPr>
        <w:t>环绕的景观体系。</w:t>
      </w:r>
    </w:p>
    <w:p w14:paraId="3F161C2A">
      <w:pPr>
        <w:spacing w:line="600" w:lineRule="exact"/>
        <w:ind w:firstLine="640"/>
        <w:rPr>
          <w:rFonts w:ascii="仿宋_GB2312" w:hAnsi="仿宋_GB2312" w:eastAsia="仿宋_GB2312" w:cs="仿宋_GB2312"/>
          <w:kern w:val="2"/>
          <w:sz w:val="32"/>
          <w:szCs w:val="32"/>
        </w:rPr>
      </w:pPr>
      <w:r>
        <w:rPr>
          <w:rFonts w:ascii="仿宋_GB2312" w:hAnsi="仿宋_GB2312" w:eastAsia="仿宋_GB2312" w:cs="仿宋_GB2312"/>
          <w:b/>
          <w:bCs/>
          <w:kern w:val="2"/>
          <w:sz w:val="32"/>
          <w:szCs w:val="32"/>
        </w:rPr>
        <w:t>“三区”</w:t>
      </w:r>
      <w:r>
        <w:rPr>
          <w:rFonts w:hint="eastAsia" w:ascii="仿宋_GB2312" w:hAnsi="仿宋_GB2312" w:eastAsia="仿宋_GB2312" w:cs="仿宋_GB2312"/>
          <w:kern w:val="2"/>
          <w:sz w:val="32"/>
          <w:szCs w:val="32"/>
        </w:rPr>
        <w:t>产业功能片区：漳泽片区重点发展电子信息与智能制造，建设全省重要的电子产品制造基地；翟店片区突出装备制造与锂电池新材料双轮驱动，打造先进制造与新能源材料产业高地；老顶山片区聚焦生物医药与大健康产业，构建涵盖研发、生产、流通的产业生态圈。</w:t>
      </w:r>
    </w:p>
    <w:p w14:paraId="4E4342B6">
      <w:pPr>
        <w:spacing w:line="600" w:lineRule="exact"/>
        <w:ind w:firstLine="640"/>
        <w:rPr>
          <w:rFonts w:ascii="___WRD_EMBED_SUB_53" w:hAnsi="___WRD_EMBED_SUB_53" w:eastAsia="___WRD_EMBED_SUB_53" w:cs="___WRD_EMBED_SUB_53"/>
          <w:kern w:val="2"/>
          <w:sz w:val="32"/>
          <w:szCs w:val="32"/>
        </w:rPr>
      </w:pPr>
      <w:r>
        <w:rPr>
          <w:rFonts w:ascii="仿宋_GB2312" w:hAnsi="仿宋_GB2312" w:eastAsia="仿宋_GB2312" w:cs="仿宋_GB2312"/>
          <w:b/>
          <w:bCs/>
          <w:kern w:val="2"/>
          <w:sz w:val="32"/>
          <w:szCs w:val="32"/>
        </w:rPr>
        <w:t>“四轴”</w:t>
      </w:r>
      <w:r>
        <w:rPr>
          <w:rFonts w:hint="eastAsia" w:ascii="仿宋_GB2312" w:hAnsi="仿宋_GB2312" w:eastAsia="仿宋_GB2312" w:cs="仿宋_GB2312"/>
          <w:kern w:val="2"/>
          <w:sz w:val="32"/>
          <w:szCs w:val="32"/>
        </w:rPr>
        <w:t>发展主廊线：</w:t>
      </w:r>
      <w:r>
        <w:rPr>
          <w:rFonts w:ascii="仿宋_GB2312" w:hAnsi="仿宋_GB2312" w:eastAsia="仿宋_GB2312" w:cs="仿宋_GB2312"/>
          <w:kern w:val="2"/>
          <w:sz w:val="32"/>
          <w:szCs w:val="32"/>
        </w:rPr>
        <w:t>构建长潞连接线公共服务联动轴、西环路和东环路2条产业服务联动轴、高新大道山水联系轴，通过廊</w:t>
      </w:r>
      <w:r>
        <w:rPr>
          <w:rFonts w:ascii="方正仿宋_GB2312" w:hAnsi="方正仿宋_GB2312" w:eastAsia="方正仿宋_GB2312" w:cs="方正仿宋_GB2312"/>
          <w:kern w:val="2"/>
          <w:sz w:val="32"/>
          <w:szCs w:val="32"/>
        </w:rPr>
        <w:t>线</w:t>
      </w:r>
      <w:r>
        <w:rPr>
          <w:rFonts w:hint="eastAsia" w:ascii="方正仿宋_GB2312" w:hAnsi="方正仿宋_GB2312" w:eastAsia="方正仿宋_GB2312" w:cs="方正仿宋_GB2312"/>
          <w:kern w:val="2"/>
          <w:sz w:val="32"/>
          <w:szCs w:val="32"/>
        </w:rPr>
        <w:t>两侧地</w:t>
      </w:r>
      <w:r>
        <w:rPr>
          <w:rFonts w:hint="eastAsia" w:ascii="仿宋_GB2312" w:hAnsi="仿宋_GB2312" w:eastAsia="仿宋_GB2312" w:cs="仿宋_GB2312"/>
          <w:kern w:val="2"/>
          <w:sz w:val="32"/>
          <w:szCs w:val="32"/>
        </w:rPr>
        <w:t>标塑造、节点打造和功能串联，提升城市空间识别度。</w:t>
      </w:r>
    </w:p>
    <w:p w14:paraId="05631697">
      <w:pPr>
        <w:spacing w:line="600" w:lineRule="exact"/>
        <w:ind w:firstLine="1600" w:firstLineChars="500"/>
        <w:rPr>
          <w:rFonts w:ascii="仿宋_GB2312" w:hAnsi="仿宋_GB2312" w:eastAsia="仿宋_GB2312" w:cs="仿宋_GB2312"/>
          <w:kern w:val="2"/>
          <w:sz w:val="32"/>
          <w:szCs w:val="32"/>
        </w:rPr>
      </w:pPr>
      <w:r>
        <w:rPr>
          <w:rFonts w:ascii="仿宋_GB2312" w:hAnsi="仿宋_GB2312" w:eastAsia="仿宋_GB2312" w:cs="仿宋_GB2312"/>
          <w:kern w:val="2"/>
          <w:sz w:val="32"/>
          <w:szCs w:val="32"/>
        </w:rPr>
        <w:drawing>
          <wp:anchor distT="0" distB="0" distL="114300" distR="114300" simplePos="0" relativeHeight="251659264" behindDoc="0" locked="0" layoutInCell="1" allowOverlap="1">
            <wp:simplePos x="0" y="0"/>
            <wp:positionH relativeFrom="column">
              <wp:posOffset>5715</wp:posOffset>
            </wp:positionH>
            <wp:positionV relativeFrom="paragraph">
              <wp:posOffset>134620</wp:posOffset>
            </wp:positionV>
            <wp:extent cx="5731510" cy="8107680"/>
            <wp:effectExtent l="0" t="0" r="13970" b="0"/>
            <wp:wrapSquare wrapText="bothSides"/>
            <wp:docPr id="1" name="图片 3"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地图&#10;&#10;AI 生成的内容可能不正确。"/>
                    <pic:cNvPicPr>
                      <a:picLocks noChangeAspect="1"/>
                    </pic:cNvPicPr>
                  </pic:nvPicPr>
                  <pic:blipFill>
                    <a:blip r:embed="rId10"/>
                    <a:stretch>
                      <a:fillRect/>
                    </a:stretch>
                  </pic:blipFill>
                  <pic:spPr>
                    <a:xfrm>
                      <a:off x="0" y="0"/>
                      <a:ext cx="5731510" cy="8107680"/>
                    </a:xfrm>
                    <a:prstGeom prst="rect">
                      <a:avLst/>
                    </a:prstGeom>
                    <a:noFill/>
                    <a:ln>
                      <a:noFill/>
                    </a:ln>
                  </pic:spPr>
                </pic:pic>
              </a:graphicData>
            </a:graphic>
          </wp:anchor>
        </w:drawing>
      </w:r>
      <w:r>
        <w:rPr>
          <w:rFonts w:hint="eastAsia" w:ascii="仿宋_GB2312" w:hAnsi="仿宋_GB2312" w:eastAsia="仿宋_GB2312" w:cs="仿宋_GB2312"/>
          <w:kern w:val="2"/>
          <w:sz w:val="32"/>
          <w:szCs w:val="32"/>
        </w:rPr>
        <w:t>长治高新技术产业开发区起步区空间布局</w:t>
      </w:r>
    </w:p>
    <w:p w14:paraId="4566437F">
      <w:pPr>
        <w:pStyle w:val="4"/>
        <w:keepNext/>
        <w:keepLines/>
        <w:adjustRightInd w:val="0"/>
        <w:snapToGrid w:val="0"/>
        <w:spacing w:line="600" w:lineRule="exact"/>
        <w:ind w:firstLine="640" w:firstLineChars="200"/>
      </w:pPr>
      <w:bookmarkStart w:id="174" w:name="_Toc21727"/>
      <w:bookmarkStart w:id="175" w:name="_Toc29488"/>
      <w:bookmarkStart w:id="176" w:name="_Toc223176545"/>
      <w:bookmarkStart w:id="177" w:name="_Toc10013"/>
      <w:bookmarkStart w:id="178" w:name="_Toc2687"/>
      <w:bookmarkStart w:id="179" w:name="_Toc11761"/>
      <w:bookmarkStart w:id="180" w:name="_Toc11464"/>
      <w:bookmarkStart w:id="181" w:name="_Toc3590"/>
      <w:r>
        <w:rPr>
          <w:rFonts w:hint="eastAsia"/>
        </w:rPr>
        <w:t>第二节</w:t>
      </w:r>
      <w:r>
        <w:t xml:space="preserve"> </w:t>
      </w:r>
      <w:r>
        <w:rPr>
          <w:rFonts w:hint="eastAsia"/>
        </w:rPr>
        <w:t>推进各片区产业协同发展</w:t>
      </w:r>
      <w:bookmarkEnd w:id="174"/>
      <w:bookmarkEnd w:id="175"/>
      <w:bookmarkEnd w:id="176"/>
      <w:bookmarkEnd w:id="177"/>
      <w:bookmarkEnd w:id="178"/>
      <w:bookmarkEnd w:id="179"/>
      <w:bookmarkEnd w:id="180"/>
      <w:bookmarkEnd w:id="181"/>
    </w:p>
    <w:p w14:paraId="7F383227">
      <w:pPr>
        <w:spacing w:line="600" w:lineRule="exact"/>
        <w:rPr>
          <w:sz w:val="32"/>
          <w:szCs w:val="36"/>
        </w:rPr>
      </w:pPr>
    </w:p>
    <w:p w14:paraId="29E90C43">
      <w:pPr>
        <w:spacing w:line="600" w:lineRule="exact"/>
        <w:ind w:firstLine="640" w:firstLineChars="200"/>
        <w:rPr>
          <w:rFonts w:ascii="仿宋_GB2312" w:hAnsi="仿宋_GB2312" w:eastAsia="仿宋_GB2312" w:cs="仿宋_GB2312"/>
          <w:b/>
          <w:bCs/>
          <w:kern w:val="2"/>
          <w:sz w:val="32"/>
          <w:szCs w:val="32"/>
        </w:rPr>
      </w:pPr>
      <w:r>
        <w:rPr>
          <w:rFonts w:hint="eastAsia" w:ascii="仿宋_GB2312" w:hAnsi="仿宋_GB2312" w:eastAsia="仿宋_GB2312" w:cs="仿宋_GB2312"/>
          <w:kern w:val="2"/>
          <w:sz w:val="32"/>
          <w:szCs w:val="32"/>
        </w:rPr>
        <w:t>坚持“一个园区、一个主导产业”的发展定位，按照“功能清晰、专业集聚、机制协同、错位发展”的原则，统筹推进科技工业园、漳泽工业园、翟店工业园和老顶山物流园差异化布局与协同联动。通过明确各片区主攻方向和功能边界，建立跨园区产业协作和要素流动机制，推动研发、中试、制造、配套和服务在不同园区间高效衔接，构建分工合理、协同高效的园区发展格局，共同支撑百亿级高新产业集群建设。</w:t>
      </w:r>
    </w:p>
    <w:p w14:paraId="6C88372F">
      <w:pPr>
        <w:spacing w:line="600" w:lineRule="exact"/>
        <w:ind w:firstLine="643" w:firstLineChars="200"/>
        <w:rPr>
          <w:rFonts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rPr>
        <w:t>依托科技工业园，打造创新驱动主引擎。</w:t>
      </w:r>
      <w:r>
        <w:rPr>
          <w:rFonts w:hint="eastAsia" w:ascii="仿宋_GB2312" w:hAnsi="仿宋_GB2312" w:eastAsia="仿宋_GB2312" w:cs="仿宋_GB2312"/>
          <w:kern w:val="2"/>
          <w:sz w:val="32"/>
          <w:szCs w:val="32"/>
        </w:rPr>
        <w:t>科技工业园是高新区实现创新驱动发展战略的核心承载区。该片区将聚焦高新技术产业和总部经济，吸引研发机构、企业总部、创新平台集聚，持续提升创新策源能力。特别是要重点推进长钢锻压东厂区的盘活利用，通过实施“工改科”等方式，以“新业态、新场景、新技术”为导向，导入智能制造、数字经济、工业设计、人工智能、科技服务等高端要素，打造集研发创新、成果转化、场景应用于一体的高新示范园区，发挥创新驱动主引擎作用。</w:t>
      </w:r>
    </w:p>
    <w:p w14:paraId="40BA05E7">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依托漳泽工业园，打造电子信息产业制造基地。</w:t>
      </w:r>
      <w:r>
        <w:rPr>
          <w:rFonts w:ascii="仿宋_GB2312" w:hAnsi="仿宋_GB2312" w:eastAsia="仿宋_GB2312" w:cs="仿宋_GB2312"/>
          <w:kern w:val="2"/>
          <w:sz w:val="32"/>
          <w:szCs w:val="32"/>
        </w:rPr>
        <w:t>该园区</w:t>
      </w:r>
      <w:r>
        <w:rPr>
          <w:rFonts w:hint="eastAsia" w:ascii="仿宋_GB2312" w:hAnsi="仿宋_GB2312" w:eastAsia="仿宋_GB2312" w:cs="仿宋_GB2312"/>
          <w:kern w:val="2"/>
          <w:sz w:val="32"/>
          <w:szCs w:val="32"/>
        </w:rPr>
        <w:t>主攻电子信息产业，重点发展集成电路、智能终端、信创产业、新型显示、深紫外LED等细分领域，以链主企业为牵引，实施补链强链招商，提升产业集聚度和制造能力，建设成为全省重要的电子产品制造基地。</w:t>
      </w:r>
    </w:p>
    <w:p w14:paraId="3B814443">
      <w:pPr>
        <w:spacing w:line="600" w:lineRule="exact"/>
        <w:ind w:firstLine="643" w:firstLineChars="200"/>
        <w:rPr>
          <w:rFonts w:ascii="仿宋_GB2312" w:hAnsi="仿宋_GB2312" w:eastAsia="仿宋_GB2312" w:cs="仿宋_GB2312"/>
          <w:kern w:val="2"/>
          <w:sz w:val="32"/>
          <w:szCs w:val="32"/>
        </w:rPr>
      </w:pPr>
      <w:r>
        <w:rPr>
          <w:rFonts w:ascii="仿宋_GB2312" w:hAnsi="仿宋_GB2312" w:eastAsia="仿宋_GB2312" w:cs="仿宋_GB2312"/>
          <w:b/>
          <w:bCs/>
          <w:kern w:val="2"/>
          <w:sz w:val="32"/>
          <w:szCs w:val="32"/>
        </w:rPr>
        <w:t>依托</w:t>
      </w:r>
      <w:r>
        <w:rPr>
          <w:rFonts w:hint="eastAsia" w:ascii="仿宋_GB2312" w:hAnsi="仿宋_GB2312" w:eastAsia="仿宋_GB2312" w:cs="仿宋_GB2312"/>
          <w:b/>
          <w:bCs/>
          <w:kern w:val="2"/>
          <w:sz w:val="32"/>
          <w:szCs w:val="32"/>
        </w:rPr>
        <w:t>翟店工业园，打造先进制造产业高地。</w:t>
      </w:r>
      <w:r>
        <w:rPr>
          <w:rFonts w:hint="eastAsia" w:ascii="仿宋_GB2312" w:hAnsi="仿宋_GB2312" w:eastAsia="仿宋_GB2312" w:cs="仿宋_GB2312"/>
          <w:kern w:val="2"/>
          <w:sz w:val="32"/>
          <w:szCs w:val="32"/>
        </w:rPr>
        <w:t>突出装备制造与锂电池新材料两大主导产业的培育。在装备制造方面，依托装备制造产业园，吸引更多制造类企业集群入园发展，并围绕整机制造、核心零部件等环节延链补链。在新能源方面，重点推进锂电池正负极材料投产达效，延伸锂电池上下游产业链，构建锂电池全产业链发展格局。</w:t>
      </w:r>
    </w:p>
    <w:p w14:paraId="692493E8">
      <w:pPr>
        <w:spacing w:line="600" w:lineRule="exact"/>
        <w:ind w:firstLine="643" w:firstLineChars="200"/>
        <w:rPr>
          <w:rFonts w:ascii="仿宋_GB2312" w:hAnsi="仿宋_GB2312" w:eastAsia="仿宋_GB2312" w:cs="仿宋_GB2312"/>
          <w:b/>
          <w:kern w:val="2"/>
          <w:sz w:val="32"/>
          <w:szCs w:val="32"/>
        </w:rPr>
      </w:pPr>
      <w:r>
        <w:rPr>
          <w:rFonts w:hint="eastAsia" w:ascii="仿宋_GB2312" w:hAnsi="仿宋_GB2312" w:eastAsia="仿宋_GB2312" w:cs="仿宋_GB2312"/>
          <w:b/>
          <w:bCs/>
          <w:kern w:val="2"/>
          <w:sz w:val="32"/>
          <w:szCs w:val="32"/>
        </w:rPr>
        <w:t>依托老顶山物流园，建设生物医药与大健康核心区。</w:t>
      </w:r>
      <w:r>
        <w:rPr>
          <w:rFonts w:hint="eastAsia" w:ascii="仿宋_GB2312" w:hAnsi="仿宋_GB2312" w:eastAsia="仿宋_GB2312" w:cs="仿宋_GB2312"/>
          <w:kern w:val="2"/>
          <w:sz w:val="32"/>
          <w:szCs w:val="32"/>
        </w:rPr>
        <w:t>围绕生物医药研发、生产、流通等全产业链环节，积极引进医药制造、医疗器械、健康产品等高成长性企业，构建具有区域特色的生物医药和大健康产业集群。同时，发挥老顶山物流园的区位优势，引导市区工贸类经营主体退城入郊、集聚发展，以腾退城市核心发展空间，打造集聚工贸、物流、大健康为一体的复合型功能区。</w:t>
      </w:r>
    </w:p>
    <w:p w14:paraId="3B4B15C1">
      <w:pPr>
        <w:spacing w:line="600" w:lineRule="exact"/>
      </w:pPr>
    </w:p>
    <w:p w14:paraId="4A8E6B39">
      <w:pPr>
        <w:pStyle w:val="4"/>
        <w:keepNext/>
        <w:keepLines/>
        <w:adjustRightInd w:val="0"/>
        <w:snapToGrid w:val="0"/>
        <w:spacing w:line="600" w:lineRule="exact"/>
        <w:ind w:firstLine="640" w:firstLineChars="200"/>
      </w:pPr>
      <w:bookmarkStart w:id="182" w:name="_Toc223176546"/>
      <w:bookmarkStart w:id="183" w:name="_Toc27066"/>
      <w:bookmarkStart w:id="184" w:name="_Toc6221"/>
      <w:bookmarkStart w:id="185" w:name="_Toc19100"/>
      <w:bookmarkStart w:id="186" w:name="_Toc20633"/>
      <w:bookmarkStart w:id="187" w:name="_Toc1218"/>
      <w:bookmarkStart w:id="188" w:name="_Toc4203"/>
      <w:bookmarkStart w:id="189" w:name="_Toc4523"/>
      <w:r>
        <w:rPr>
          <w:rFonts w:hint="eastAsia"/>
        </w:rPr>
        <w:t>第三节 提质升级基础设施能级</w:t>
      </w:r>
      <w:bookmarkEnd w:id="182"/>
      <w:bookmarkEnd w:id="183"/>
      <w:bookmarkEnd w:id="184"/>
      <w:bookmarkEnd w:id="185"/>
      <w:bookmarkEnd w:id="186"/>
      <w:bookmarkEnd w:id="187"/>
      <w:bookmarkEnd w:id="188"/>
      <w:bookmarkEnd w:id="189"/>
    </w:p>
    <w:p w14:paraId="54B448F1">
      <w:pPr>
        <w:spacing w:line="600" w:lineRule="exact"/>
        <w:ind w:firstLine="640" w:firstLineChars="200"/>
        <w:rPr>
          <w:rFonts w:ascii="仿宋_GB2312" w:hAnsi="仿宋_GB2312" w:eastAsia="仿宋_GB2312" w:cs="仿宋_GB2312"/>
          <w:kern w:val="2"/>
          <w:sz w:val="32"/>
          <w:szCs w:val="32"/>
        </w:rPr>
      </w:pPr>
    </w:p>
    <w:p w14:paraId="235F1A39">
      <w:pP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基础设施是保障园区高效运行和产业高质量发展的关键支撑。坚持以适度超前、量力而行的原则，科学规划交通等基础设施，打造“互联互通、数字智能、安全可靠”的现代化园区承载体系。</w:t>
      </w:r>
    </w:p>
    <w:p w14:paraId="127DB9ED">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构建高效便捷的交通体系。</w:t>
      </w:r>
      <w:r>
        <w:rPr>
          <w:rFonts w:hint="eastAsia" w:ascii="仿宋_GB2312" w:hAnsi="仿宋_GB2312" w:eastAsia="仿宋_GB2312" w:cs="仿宋_GB2312"/>
          <w:kern w:val="2"/>
          <w:sz w:val="32"/>
          <w:szCs w:val="32"/>
        </w:rPr>
        <w:t>聚焦产业物流需求和产城融合目标，全面优化骨干路网结构。加快推进高新大道东延、产业大道、延安北路延伸、西环路北延</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color w:val="0000FF"/>
          <w:kern w:val="2"/>
          <w:sz w:val="32"/>
          <w:szCs w:val="32"/>
          <w:lang w:val="en-US" w:eastAsia="zh-CN"/>
        </w:rPr>
        <w:t>顺泽街、新航路、航镇路、科航路、健康西路、长治高新区绿色交通和海绵城市示范项目（中央绿廊）、港泽西路、商纬街、商纬二街、商纬八街、商纬南街、商经二路、商经三路、赵凹北路、东环路、潞泽街（延安北路-长潞连接线）、顺泽北街、港园路、港泽东路、威远门北路（海森街-高新大道）、漳纬四街、宝峰路、商经一路、商纬支一街，商纬支二街、港兴线、漳纬二路、港园一路、港园二路、南垂规划道路</w:t>
      </w:r>
      <w:r>
        <w:rPr>
          <w:rFonts w:hint="eastAsia" w:ascii="仿宋_GB2312" w:hAnsi="仿宋_GB2312" w:eastAsia="仿宋_GB2312" w:cs="仿宋_GB2312"/>
          <w:kern w:val="2"/>
          <w:sz w:val="32"/>
          <w:szCs w:val="32"/>
        </w:rPr>
        <w:t>等骨干路网项目建设，打通交通“堵点”，形成“四横四纵”的循环路网系统，实现各产业片区间的快速联通和与周边区域的快速对接。</w:t>
      </w:r>
      <w:r>
        <w:rPr>
          <w:rFonts w:hint="eastAsia" w:ascii="仿宋_GB2312" w:hAnsi="仿宋_GB2312" w:eastAsia="仿宋_GB2312" w:cs="仿宋_GB2312"/>
          <w:color w:val="0000FF"/>
          <w:kern w:val="2"/>
          <w:sz w:val="32"/>
          <w:szCs w:val="32"/>
          <w:lang w:val="en-US" w:eastAsia="zh-CN"/>
        </w:rPr>
        <w:t>同步将长治市城市综合交通枢纽项目（高铁长治东站综合客运枢纽）纳入专项规划统筹推进，总投资9.8亿元、总建筑面积12.6万平方米，集成高铁、公路客运、公交、出租、社会车辆于一体，打造“零换乘”区域性门户枢纽，强化高新区与主城区、对外大通道的高效衔接，提升枢纽集疏运能力与辐射带动能级。</w:t>
      </w:r>
      <w:r>
        <w:rPr>
          <w:rFonts w:ascii="仿宋_GB2312" w:hAnsi="仿宋_GB2312" w:eastAsia="仿宋_GB2312" w:cs="仿宋_GB2312"/>
          <w:bCs/>
          <w:sz w:val="32"/>
          <w:szCs w:val="32"/>
        </w:rPr>
        <w:t>将地下管廊纳入城市综合管控体系，供水、电力、通信、热力等管线逐步实施入廊管理，提升基础设施综合利用效率与安全运行水平。</w:t>
      </w:r>
      <w:r>
        <w:rPr>
          <w:rFonts w:hint="eastAsia" w:ascii="仿宋_GB2312" w:hAnsi="仿宋_GB2312" w:eastAsia="仿宋_GB2312" w:cs="仿宋_GB2312"/>
          <w:kern w:val="2"/>
          <w:sz w:val="32"/>
          <w:szCs w:val="32"/>
        </w:rPr>
        <w:t>加快智慧交通系统建设，提升路网智能化管控与交通信息服务水平。持续优化园区公共交通系统，增加公交线路覆盖密度，提高公交服务效率。结合园区配套设施建设，科学规划公共停车场和充电设施，加快推广新能源汽车在园区公交、物流、公务等领域的应用，打造绿色智慧交通系统。</w:t>
      </w:r>
      <w:r>
        <w:rPr>
          <w:rFonts w:hint="eastAsia" w:ascii="仿宋_GB2312" w:hAnsi="仿宋_GB2312" w:eastAsia="仿宋_GB2312" w:cs="仿宋_GB2312"/>
          <w:color w:val="0000FF"/>
          <w:kern w:val="2"/>
          <w:sz w:val="32"/>
          <w:szCs w:val="32"/>
          <w:lang w:val="en-US" w:eastAsia="zh-CN"/>
        </w:rPr>
        <w:t>推进‌海绵城市建设‌和‌城市内涝治理，提升区域防洪排涝能力，加快长治高新区调蓄池及配套设施的建设。</w:t>
      </w:r>
    </w:p>
    <w:p w14:paraId="452C2A6C">
      <w:pPr>
        <w:spacing w:line="600" w:lineRule="exact"/>
        <w:ind w:firstLine="643" w:firstLineChars="200"/>
        <w:rPr>
          <w:rFonts w:hint="eastAsia" w:ascii="仿宋_GB2312" w:hAnsi="仿宋_GB2312" w:eastAsia="仿宋_GB2312" w:cs="仿宋_GB2312"/>
          <w:color w:val="0000FF"/>
          <w:kern w:val="2"/>
          <w:sz w:val="32"/>
          <w:szCs w:val="32"/>
          <w:lang w:val="en-US" w:eastAsia="zh-CN"/>
        </w:rPr>
      </w:pPr>
      <w:r>
        <w:rPr>
          <w:rFonts w:hint="eastAsia" w:ascii="仿宋_GB2312" w:hAnsi="仿宋_GB2312" w:eastAsia="仿宋_GB2312" w:cs="仿宋_GB2312"/>
          <w:b/>
          <w:bCs/>
          <w:kern w:val="2"/>
          <w:sz w:val="32"/>
          <w:szCs w:val="32"/>
        </w:rPr>
        <w:t>加快新型基础设施建设。</w:t>
      </w:r>
      <w:r>
        <w:rPr>
          <w:rFonts w:hint="eastAsia" w:ascii="仿宋_GB2312" w:hAnsi="仿宋_GB2312" w:eastAsia="仿宋_GB2312" w:cs="仿宋_GB2312"/>
          <w:kern w:val="2"/>
          <w:sz w:val="32"/>
          <w:szCs w:val="32"/>
        </w:rPr>
        <w:t>把握数字化发展趋势，超前部署以数字信息为核心的新型基础设施。全面推进5G网络建设和深度覆盖，重点保障主导产业园区、研发中心和核心生产区域的5G网络质量。围绕“产业赋能”战略，加快5G+工业互联网平台融合应用，推动智能制造与产业协同数字化转型。围绕高新区四大主导产业发展需求，推动人工智能技术在装备制造、生物医药、电子信息、新材料等重点领域的深度融合应用，重点布局智能检测、工艺优化、药物研发辅助设计、材料性能预测、工业视觉识别等应用场景。</w:t>
      </w:r>
      <w:r>
        <w:rPr>
          <w:rFonts w:ascii="仿宋_GB2312" w:hAnsi="仿宋_GB2312" w:eastAsia="仿宋_GB2312" w:cs="仿宋_GB2312"/>
          <w:kern w:val="2"/>
          <w:sz w:val="32"/>
          <w:szCs w:val="32"/>
        </w:rPr>
        <w:t>全面摸排园区现有数据中心资源，针对利用率不高的现状，探索与电信运营商、云服务商或重点企业合作，</w:t>
      </w:r>
      <w:r>
        <w:rPr>
          <w:rFonts w:hint="eastAsia" w:ascii="仿宋_GB2312" w:hAnsi="仿宋_GB2312" w:eastAsia="仿宋_GB2312" w:cs="仿宋_GB2312"/>
          <w:kern w:val="2"/>
          <w:sz w:val="32"/>
          <w:szCs w:val="32"/>
        </w:rPr>
        <w:t>提高</w:t>
      </w:r>
      <w:r>
        <w:rPr>
          <w:rFonts w:hint="eastAsia" w:ascii="仿宋_GB2312" w:eastAsia="仿宋_GB2312"/>
          <w:sz w:val="32"/>
          <w:szCs w:val="32"/>
        </w:rPr>
        <w:t>算力资源利用效率，支撑重点产业数字化、智能化升级</w:t>
      </w:r>
      <w:r>
        <w:rPr>
          <w:rFonts w:ascii="仿宋_GB2312" w:hAnsi="仿宋_GB2312" w:eastAsia="仿宋_GB2312" w:cs="仿宋_GB2312"/>
          <w:kern w:val="2"/>
          <w:sz w:val="32"/>
          <w:szCs w:val="32"/>
        </w:rPr>
        <w:t>。</w:t>
      </w:r>
      <w:r>
        <w:rPr>
          <w:rFonts w:hint="eastAsia" w:ascii="仿宋_GB2312" w:hAnsi="仿宋_GB2312" w:eastAsia="仿宋_GB2312" w:cs="仿宋_GB2312"/>
          <w:color w:val="0000FF"/>
          <w:kern w:val="2"/>
          <w:sz w:val="32"/>
          <w:szCs w:val="32"/>
          <w:lang w:val="en-US" w:eastAsia="zh-CN"/>
        </w:rPr>
        <w:t>坚持军地融合、平战结合、统筹共建原则，将区域部队基础设施建设全面纳入城市基础设施专项规划一体实施。统筹推进部队战备通行道路、营区配套管网、应急保障场地、安防防护设施、营区环境整治及配套附属工程建设，同步对接城市路网、地下管廊、防洪排涝、智慧安防、5G通信、算力保障等公共基础设施体系，实现军地基础设施无缝衔接、资源共享、标准统一。持续完善国防战备保障体系，补齐部队营区配套短板，优化战备通行、应急抢险、指挥保障功能，全面提升区域国防基础设施保障能力、应急处置能力和军地协同发展水平，构建适配新时代国防建设需求、与城市高质量发展相协调的军民融合基础设施发展格局。</w:t>
      </w:r>
    </w:p>
    <w:p w14:paraId="04FDAC87">
      <w:pPr>
        <w:spacing w:line="600" w:lineRule="exact"/>
        <w:ind w:firstLine="640" w:firstLineChars="200"/>
        <w:rPr>
          <w:rFonts w:ascii="仿宋_GB2312" w:hAnsi="仿宋_GB2312" w:eastAsia="仿宋_GB2312" w:cs="仿宋_GB2312"/>
          <w:kern w:val="2"/>
          <w:sz w:val="32"/>
          <w:szCs w:val="32"/>
        </w:rPr>
      </w:pPr>
    </w:p>
    <w:tbl>
      <w:tblPr>
        <w:tblStyle w:val="26"/>
        <w:tblW w:w="88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23"/>
      </w:tblGrid>
      <w:tr w14:paraId="7BC41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823" w:type="dxa"/>
            <w:tcBorders>
              <w:top w:val="single" w:color="000000" w:sz="4" w:space="0"/>
              <w:left w:val="single" w:color="000000" w:sz="4" w:space="0"/>
              <w:bottom w:val="single" w:color="000000" w:sz="4" w:space="0"/>
              <w:right w:val="single" w:color="000000" w:sz="4" w:space="0"/>
            </w:tcBorders>
            <w:vAlign w:val="center"/>
          </w:tcPr>
          <w:p w14:paraId="03695A91">
            <w:pPr>
              <w:pStyle w:val="46"/>
              <w:spacing w:line="600" w:lineRule="exact"/>
              <w:ind w:left="11"/>
              <w:rPr>
                <w:rFonts w:ascii="Times New Roman" w:hAnsi="Times New Roman" w:eastAsia="方正仿宋_GB2312"/>
                <w:lang w:bidi="ar"/>
              </w:rPr>
            </w:pPr>
            <w:r>
              <w:rPr>
                <w:rFonts w:ascii="Times New Roman" w:hAnsi="Times New Roman"/>
                <w:lang w:bidi="ar"/>
              </w:rPr>
              <w:t>专栏</w:t>
            </w:r>
            <w:r>
              <w:rPr>
                <w:rFonts w:hint="eastAsia" w:ascii="Times New Roman" w:hAnsi="Times New Roman"/>
                <w:lang w:val="en-US" w:eastAsia="zh-CN" w:bidi="ar"/>
              </w:rPr>
              <w:t>7</w:t>
            </w:r>
            <w:r>
              <w:rPr>
                <w:rFonts w:ascii="Times New Roman" w:hAnsi="Times New Roman"/>
                <w:lang w:bidi="ar"/>
              </w:rPr>
              <w:t xml:space="preserve"> </w:t>
            </w:r>
            <w:r>
              <w:rPr>
                <w:rFonts w:hint="eastAsia" w:ascii="Times New Roman" w:hAnsi="Times New Roman"/>
                <w:lang w:bidi="ar"/>
              </w:rPr>
              <w:t xml:space="preserve"> 提升基础设施能级重点项目</w:t>
            </w:r>
          </w:p>
        </w:tc>
      </w:tr>
      <w:tr w14:paraId="3B40C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jc w:val="center"/>
        </w:trPr>
        <w:tc>
          <w:tcPr>
            <w:tcW w:w="8823" w:type="dxa"/>
            <w:tcBorders>
              <w:top w:val="single" w:color="000000" w:sz="4" w:space="0"/>
              <w:left w:val="single" w:color="000000" w:sz="4" w:space="0"/>
              <w:bottom w:val="single" w:color="000000" w:sz="4" w:space="0"/>
              <w:right w:val="single" w:color="000000" w:sz="4" w:space="0"/>
            </w:tcBorders>
          </w:tcPr>
          <w:p w14:paraId="2DE44BE9">
            <w:pPr>
              <w:pStyle w:val="47"/>
              <w:widowControl/>
              <w:shd w:val="clear" w:color="auto" w:fill="FFFFFF"/>
              <w:tabs>
                <w:tab w:val="left" w:pos="526"/>
              </w:tabs>
              <w:ind w:left="210" w:right="210" w:firstLine="482"/>
              <w:rPr>
                <w:rFonts w:ascii="宋体" w:hAnsi="宋体" w:eastAsia="宋体" w:cs="宋体"/>
                <w:lang w:bidi="ar"/>
              </w:rPr>
            </w:pPr>
            <w:r>
              <w:rPr>
                <w:rFonts w:hint="eastAsia" w:ascii="宋体" w:hAnsi="宋体" w:eastAsia="宋体" w:cs="宋体"/>
                <w:b/>
                <w:lang w:bidi="ar"/>
              </w:rPr>
              <w:t>长治高新区起步区产业大道（长潞线—延安北路）市政道路：</w:t>
            </w:r>
            <w:r>
              <w:rPr>
                <w:rFonts w:hint="eastAsia" w:ascii="宋体" w:hAnsi="宋体" w:eastAsia="宋体" w:cs="宋体"/>
                <w:lang w:bidi="ar"/>
              </w:rPr>
              <w:t>长治高新区起步区产业大道（长潞线-延安北路）市政道路设计起点西起延安北路，路线呈东西走向，东至长潞连接线,道路总长约1.12km，道路红线宽度40m，道路等级为城市主干路，设计速度50km/h，双向六车道。项目建设内容包括道路工程、交通工程、综合管线工程、道路照明工程、绿化工程等。</w:t>
            </w:r>
          </w:p>
          <w:p w14:paraId="2A40F865">
            <w:pPr>
              <w:pStyle w:val="47"/>
              <w:widowControl/>
              <w:shd w:val="clear" w:color="auto" w:fill="FFFFFF"/>
              <w:tabs>
                <w:tab w:val="left" w:pos="526"/>
              </w:tabs>
              <w:ind w:left="210" w:right="210" w:firstLine="482"/>
              <w:rPr>
                <w:rFonts w:ascii="宋体" w:hAnsi="宋体" w:eastAsia="宋体" w:cs="宋体"/>
                <w:lang w:bidi="ar"/>
              </w:rPr>
            </w:pPr>
            <w:r>
              <w:rPr>
                <w:rFonts w:hint="eastAsia" w:ascii="宋体" w:hAnsi="宋体" w:eastAsia="宋体" w:cs="宋体"/>
                <w:b/>
                <w:lang w:bidi="ar"/>
              </w:rPr>
              <w:t>长治高新区科航路：</w:t>
            </w:r>
            <w:r>
              <w:rPr>
                <w:rFonts w:hint="eastAsia" w:ascii="宋体" w:hAnsi="宋体" w:eastAsia="宋体" w:cs="宋体"/>
                <w:lang w:bidi="ar"/>
              </w:rPr>
              <w:t>项目西起长潞连接线，东至东环路，道路等级为城市次干路，道路总长约1.14km，项目总投资为</w:t>
            </w:r>
            <w:r>
              <w:rPr>
                <w:rFonts w:ascii="宋体" w:hAnsi="宋体" w:eastAsia="宋体" w:cs="宋体"/>
                <w:lang w:bidi="ar"/>
              </w:rPr>
              <w:t>7700</w:t>
            </w:r>
            <w:r>
              <w:rPr>
                <w:rFonts w:hint="eastAsia" w:ascii="宋体" w:hAnsi="宋体" w:eastAsia="宋体" w:cs="宋体"/>
                <w:lang w:bidi="ar"/>
              </w:rPr>
              <w:t>万元，包括道路工程、交通工程、雨污水工程、给水工程、电力工程、道路照明工程、绿化工程等内容。</w:t>
            </w:r>
          </w:p>
          <w:p w14:paraId="198610DD">
            <w:pPr>
              <w:pStyle w:val="47"/>
              <w:widowControl/>
              <w:shd w:val="clear" w:color="auto" w:fill="FFFFFF"/>
              <w:tabs>
                <w:tab w:val="left" w:pos="526"/>
              </w:tabs>
              <w:ind w:left="210" w:right="210" w:firstLine="482"/>
              <w:rPr>
                <w:rFonts w:hint="eastAsia" w:ascii="宋体" w:hAnsi="宋体" w:eastAsia="宋体" w:cs="宋体"/>
                <w:color w:val="0000FF"/>
                <w:lang w:bidi="ar"/>
              </w:rPr>
            </w:pPr>
            <w:r>
              <w:rPr>
                <w:rFonts w:hint="eastAsia" w:ascii="宋体" w:hAnsi="宋体" w:eastAsia="宋体" w:cs="宋体"/>
                <w:b/>
                <w:bCs w:val="0"/>
                <w:color w:val="0000FF"/>
                <w:lang w:bidi="ar"/>
              </w:rPr>
              <w:t>高新大道市政道路工程：</w:t>
            </w:r>
            <w:r>
              <w:rPr>
                <w:rFonts w:hint="eastAsia" w:ascii="宋体" w:hAnsi="宋体" w:eastAsia="宋体" w:cs="宋体"/>
                <w:color w:val="0000FF"/>
                <w:lang w:bidi="ar"/>
              </w:rPr>
              <w:t>设计道路起点为榆黄路，东至东环路，全长4.78km，道路等级为城市主干路，红线宽度60m，设计速度50km/h。</w:t>
            </w:r>
          </w:p>
          <w:p w14:paraId="53868D20">
            <w:pPr>
              <w:pStyle w:val="47"/>
              <w:widowControl/>
              <w:shd w:val="clear" w:color="auto" w:fill="FFFFFF"/>
              <w:tabs>
                <w:tab w:val="left" w:pos="526"/>
              </w:tabs>
              <w:ind w:left="210" w:right="210" w:firstLine="480"/>
              <w:rPr>
                <w:rFonts w:hint="eastAsia" w:ascii="宋体" w:hAnsi="宋体" w:eastAsia="宋体" w:cs="宋体"/>
                <w:color w:val="0000FF"/>
                <w:lang w:val="en-US" w:eastAsia="zh-CN" w:bidi="ar"/>
              </w:rPr>
            </w:pPr>
            <w:r>
              <w:rPr>
                <w:rFonts w:hint="eastAsia" w:ascii="宋体" w:hAnsi="宋体" w:eastAsia="宋体" w:cs="宋体"/>
                <w:b/>
                <w:bCs w:val="0"/>
                <w:color w:val="0000FF"/>
                <w:lang w:val="en-US" w:eastAsia="zh-CN" w:bidi="ar"/>
              </w:rPr>
              <w:t>顺泽街：</w:t>
            </w:r>
            <w:r>
              <w:rPr>
                <w:rFonts w:hint="eastAsia" w:ascii="宋体" w:hAnsi="宋体" w:eastAsia="宋体" w:cs="宋体"/>
                <w:color w:val="0000FF"/>
                <w:lang w:val="en-US" w:eastAsia="zh-CN" w:bidi="ar"/>
              </w:rPr>
              <w:t>设计道路起点为延安北路，东至东环路，全长**km，道路等级为城市主干路，红线宽度**m，设计速度**km/h。</w:t>
            </w:r>
          </w:p>
          <w:p w14:paraId="6B1AD55E">
            <w:pPr>
              <w:pStyle w:val="47"/>
              <w:widowControl/>
              <w:shd w:val="clear" w:color="auto" w:fill="FFFFFF"/>
              <w:tabs>
                <w:tab w:val="left" w:pos="526"/>
              </w:tabs>
              <w:ind w:left="210" w:right="210" w:firstLine="480"/>
              <w:rPr>
                <w:rFonts w:hint="eastAsia" w:ascii="宋体" w:hAnsi="宋体" w:eastAsia="宋体" w:cs="宋体"/>
                <w:color w:val="0000FF"/>
                <w:lang w:val="en-US" w:eastAsia="zh-CN" w:bidi="ar"/>
              </w:rPr>
            </w:pPr>
            <w:r>
              <w:rPr>
                <w:rFonts w:hint="eastAsia" w:ascii="宋体" w:hAnsi="宋体" w:eastAsia="宋体" w:cs="宋体"/>
                <w:b/>
                <w:bCs w:val="0"/>
                <w:color w:val="0000FF"/>
                <w:lang w:val="en-US" w:eastAsia="zh-CN" w:bidi="ar"/>
              </w:rPr>
              <w:t>新航路：</w:t>
            </w:r>
            <w:r>
              <w:rPr>
                <w:rFonts w:hint="eastAsia" w:ascii="宋体" w:hAnsi="宋体" w:eastAsia="宋体" w:cs="宋体"/>
                <w:color w:val="0000FF"/>
                <w:lang w:val="en-US" w:eastAsia="zh-CN" w:bidi="ar"/>
              </w:rPr>
              <w:t xml:space="preserve">道路长约0.78km，道路红线宽度30m，道路等级为城市次干路，设计速度40km/h，双向四车道。项目建设内容包括道路工程、交通工程、综合管线、道路照明工程等。 </w:t>
            </w:r>
          </w:p>
          <w:p w14:paraId="64C63BC9">
            <w:pPr>
              <w:pStyle w:val="47"/>
              <w:widowControl/>
              <w:shd w:val="clear" w:color="auto" w:fill="FFFFFF"/>
              <w:tabs>
                <w:tab w:val="left" w:pos="526"/>
              </w:tabs>
              <w:ind w:left="210" w:right="210" w:firstLine="480"/>
              <w:rPr>
                <w:rFonts w:hint="eastAsia" w:ascii="宋体" w:hAnsi="宋体" w:eastAsia="宋体" w:cs="宋体"/>
                <w:color w:val="0000FF"/>
                <w:lang w:val="en-US" w:eastAsia="zh-CN" w:bidi="ar"/>
              </w:rPr>
            </w:pPr>
            <w:r>
              <w:rPr>
                <w:rFonts w:hint="eastAsia" w:ascii="宋体" w:hAnsi="宋体" w:eastAsia="宋体" w:cs="宋体"/>
                <w:b/>
                <w:bCs w:val="0"/>
                <w:color w:val="0000FF"/>
                <w:lang w:val="en-US" w:eastAsia="zh-CN" w:bidi="ar"/>
              </w:rPr>
              <w:t>航镇路：</w:t>
            </w:r>
            <w:r>
              <w:rPr>
                <w:rFonts w:hint="eastAsia" w:ascii="宋体" w:hAnsi="宋体" w:eastAsia="宋体" w:cs="宋体"/>
                <w:color w:val="0000FF"/>
                <w:lang w:val="en-US" w:eastAsia="zh-CN" w:bidi="ar"/>
              </w:rPr>
              <w:t>道路总长约0.51km，道路红线宽度30米，道路等级为城市次干路，设计速度40km/h，双向四车道。建设内容包括道路、交通、雨水、污水、给水、中水、照明、电力、绿化等工程。</w:t>
            </w:r>
          </w:p>
          <w:p w14:paraId="6B16D6CC">
            <w:pPr>
              <w:pStyle w:val="47"/>
              <w:widowControl/>
              <w:shd w:val="clear" w:color="auto" w:fill="FFFFFF"/>
              <w:tabs>
                <w:tab w:val="left" w:pos="526"/>
              </w:tabs>
              <w:ind w:left="210" w:right="210" w:firstLine="480"/>
              <w:rPr>
                <w:rFonts w:hint="eastAsia" w:ascii="宋体" w:hAnsi="宋体" w:eastAsia="宋体" w:cs="宋体"/>
                <w:color w:val="0000FF"/>
                <w:lang w:val="en-US" w:eastAsia="zh-CN" w:bidi="ar"/>
              </w:rPr>
            </w:pPr>
            <w:r>
              <w:rPr>
                <w:rFonts w:hint="eastAsia" w:ascii="宋体" w:hAnsi="宋体" w:eastAsia="宋体" w:cs="宋体"/>
                <w:b/>
                <w:bCs w:val="0"/>
                <w:color w:val="0000FF"/>
                <w:lang w:val="en-US" w:eastAsia="zh-CN" w:bidi="ar"/>
              </w:rPr>
              <w:t>科航路：</w:t>
            </w:r>
            <w:r>
              <w:rPr>
                <w:rFonts w:hint="eastAsia" w:ascii="宋体" w:hAnsi="宋体" w:eastAsia="宋体" w:cs="宋体"/>
                <w:color w:val="0000FF"/>
                <w:lang w:val="en-US" w:eastAsia="zh-CN" w:bidi="ar"/>
              </w:rPr>
              <w:t>道路总长约1.14km，道路红线宽度36米，道路等级为城市次干路，设计速度40km/h，双向四车道。</w:t>
            </w:r>
          </w:p>
          <w:p w14:paraId="643ED66D">
            <w:pPr>
              <w:pStyle w:val="47"/>
              <w:widowControl/>
              <w:shd w:val="clear" w:color="auto" w:fill="FFFFFF"/>
              <w:tabs>
                <w:tab w:val="left" w:pos="526"/>
              </w:tabs>
              <w:ind w:left="210" w:right="210" w:firstLine="480"/>
              <w:rPr>
                <w:rFonts w:hint="default" w:ascii="宋体" w:hAnsi="宋体" w:eastAsia="宋体" w:cs="宋体"/>
                <w:color w:val="0000FF"/>
                <w:lang w:val="en-US" w:eastAsia="zh-CN" w:bidi="ar"/>
              </w:rPr>
            </w:pPr>
            <w:r>
              <w:rPr>
                <w:rFonts w:hint="eastAsia" w:ascii="宋体" w:hAnsi="宋体" w:eastAsia="宋体" w:cs="宋体"/>
                <w:b/>
                <w:bCs w:val="0"/>
                <w:color w:val="0000FF"/>
                <w:lang w:val="en-US" w:eastAsia="zh-CN" w:bidi="ar"/>
              </w:rPr>
              <w:t>健康西路：</w:t>
            </w:r>
            <w:r>
              <w:rPr>
                <w:rFonts w:hint="eastAsia" w:ascii="宋体" w:hAnsi="宋体" w:eastAsia="宋体" w:cs="宋体"/>
                <w:color w:val="0000FF"/>
                <w:lang w:val="en-US" w:eastAsia="zh-CN" w:bidi="ar"/>
              </w:rPr>
              <w:t>道路总长1.73公里，北环街-漳纬七街段道路红线宽度13米，漳纬七街—海森街段道路红线宽度16米，海森街-漳园街段道路红线宽度20米，道路等级为城市支路，设计速度20km/h，双向两车道。建设内容含道路工程、排水工程、给水工程、照明工程、交通工程、绿化工程、电力工程等。</w:t>
            </w:r>
          </w:p>
          <w:p w14:paraId="387AF0C4">
            <w:pPr>
              <w:pStyle w:val="47"/>
              <w:widowControl/>
              <w:shd w:val="clear" w:color="auto" w:fill="FFFFFF"/>
              <w:tabs>
                <w:tab w:val="left" w:pos="526"/>
              </w:tabs>
              <w:ind w:left="210" w:right="210" w:firstLine="480"/>
              <w:rPr>
                <w:rFonts w:hint="eastAsia" w:ascii="宋体" w:hAnsi="宋体" w:eastAsia="宋体" w:cs="宋体"/>
                <w:b/>
                <w:bCs w:val="0"/>
                <w:color w:val="0000FF"/>
                <w:lang w:eastAsia="zh-CN" w:bidi="ar"/>
              </w:rPr>
            </w:pPr>
            <w:r>
              <w:rPr>
                <w:rFonts w:hint="eastAsia" w:ascii="宋体" w:hAnsi="宋体" w:eastAsia="宋体" w:cs="宋体"/>
                <w:b/>
                <w:bCs w:val="0"/>
                <w:color w:val="0000FF"/>
                <w:lang w:bidi="ar"/>
              </w:rPr>
              <w:t>港园一路</w:t>
            </w:r>
            <w:r>
              <w:rPr>
                <w:rFonts w:hint="eastAsia" w:ascii="宋体" w:hAnsi="宋体" w:eastAsia="宋体" w:cs="宋体"/>
                <w:b/>
                <w:bCs w:val="0"/>
                <w:color w:val="0000FF"/>
                <w:lang w:eastAsia="zh-CN" w:bidi="ar"/>
              </w:rPr>
              <w:t>：</w:t>
            </w:r>
            <w:r>
              <w:rPr>
                <w:rFonts w:hint="eastAsia" w:ascii="宋体" w:hAnsi="宋体" w:eastAsia="宋体" w:cs="宋体"/>
                <w:color w:val="0000FF"/>
                <w:lang w:val="en-US" w:eastAsia="zh-CN" w:bidi="ar"/>
              </w:rPr>
              <w:t>项目西起潞阳大道</w:t>
            </w:r>
            <w:r>
              <w:rPr>
                <w:rFonts w:hint="eastAsia" w:ascii="宋体" w:hAnsi="宋体" w:eastAsia="宋体" w:cs="宋体"/>
                <w:color w:val="0000FF"/>
                <w:lang w:bidi="ar"/>
              </w:rPr>
              <w:t>，东至</w:t>
            </w:r>
            <w:r>
              <w:rPr>
                <w:rFonts w:hint="eastAsia" w:ascii="宋体" w:hAnsi="宋体" w:eastAsia="宋体" w:cs="宋体"/>
                <w:color w:val="0000FF"/>
                <w:lang w:val="en-US" w:eastAsia="zh-CN" w:bidi="ar"/>
              </w:rPr>
              <w:t>乌海线</w:t>
            </w:r>
            <w:r>
              <w:rPr>
                <w:rFonts w:hint="eastAsia" w:ascii="宋体" w:hAnsi="宋体" w:eastAsia="宋体" w:cs="宋体"/>
                <w:color w:val="0000FF"/>
                <w:lang w:bidi="ar"/>
              </w:rPr>
              <w:t>，全长</w:t>
            </w:r>
            <w:r>
              <w:rPr>
                <w:rFonts w:hint="eastAsia" w:ascii="宋体" w:hAnsi="宋体" w:eastAsia="宋体" w:cs="宋体"/>
                <w:color w:val="0000FF"/>
                <w:lang w:val="en-US" w:eastAsia="zh-CN" w:bidi="ar"/>
              </w:rPr>
              <w:t>863</w:t>
            </w:r>
            <w:r>
              <w:rPr>
                <w:rFonts w:hint="eastAsia" w:ascii="宋体" w:hAnsi="宋体" w:eastAsia="宋体" w:cs="宋体"/>
                <w:color w:val="0000FF"/>
                <w:lang w:bidi="ar"/>
              </w:rPr>
              <w:t>m，道路等级为城市</w:t>
            </w:r>
            <w:r>
              <w:rPr>
                <w:rFonts w:hint="eastAsia" w:ascii="宋体" w:hAnsi="宋体" w:eastAsia="宋体" w:cs="宋体"/>
                <w:color w:val="0000FF"/>
                <w:lang w:val="en-US" w:eastAsia="zh-CN" w:bidi="ar"/>
              </w:rPr>
              <w:t>支</w:t>
            </w:r>
            <w:r>
              <w:rPr>
                <w:rFonts w:hint="eastAsia" w:ascii="宋体" w:hAnsi="宋体" w:eastAsia="宋体" w:cs="宋体"/>
                <w:color w:val="0000FF"/>
                <w:lang w:bidi="ar"/>
              </w:rPr>
              <w:t>路，</w:t>
            </w:r>
            <w:r>
              <w:rPr>
                <w:rFonts w:hint="eastAsia" w:ascii="宋体" w:hAnsi="宋体" w:eastAsia="宋体" w:cs="宋体"/>
                <w:color w:val="0000FF"/>
                <w:lang w:val="en-US" w:eastAsia="zh-CN" w:bidi="ar"/>
              </w:rPr>
              <w:t>道路红线</w:t>
            </w:r>
            <w:r>
              <w:rPr>
                <w:rFonts w:hint="eastAsia" w:ascii="宋体" w:hAnsi="宋体" w:eastAsia="宋体" w:cs="宋体"/>
                <w:color w:val="0000FF"/>
                <w:lang w:bidi="ar"/>
              </w:rPr>
              <w:t>宽度</w:t>
            </w:r>
            <w:r>
              <w:rPr>
                <w:rFonts w:hint="eastAsia" w:ascii="宋体" w:hAnsi="宋体" w:eastAsia="宋体" w:cs="宋体"/>
                <w:color w:val="0000FF"/>
                <w:lang w:val="en-US" w:eastAsia="zh-CN" w:bidi="ar"/>
              </w:rPr>
              <w:t>3</w:t>
            </w:r>
            <w:r>
              <w:rPr>
                <w:rFonts w:hint="eastAsia" w:ascii="宋体" w:hAnsi="宋体" w:eastAsia="宋体" w:cs="宋体"/>
                <w:color w:val="0000FF"/>
                <w:lang w:bidi="ar"/>
              </w:rPr>
              <w:t>0m，设计速度50km/h。</w:t>
            </w:r>
          </w:p>
          <w:p w14:paraId="2612973F">
            <w:pPr>
              <w:pStyle w:val="47"/>
              <w:widowControl/>
              <w:shd w:val="clear" w:color="auto" w:fill="FFFFFF"/>
              <w:tabs>
                <w:tab w:val="left" w:pos="526"/>
              </w:tabs>
              <w:ind w:left="210" w:right="210" w:firstLine="480"/>
              <w:rPr>
                <w:rFonts w:hint="eastAsia" w:ascii="宋体" w:hAnsi="宋体" w:eastAsia="宋体" w:cs="宋体"/>
                <w:b/>
                <w:bCs w:val="0"/>
                <w:color w:val="0000FF"/>
                <w:lang w:eastAsia="zh-CN" w:bidi="ar"/>
              </w:rPr>
            </w:pPr>
            <w:r>
              <w:rPr>
                <w:rFonts w:hint="eastAsia" w:ascii="宋体" w:hAnsi="宋体" w:eastAsia="宋体" w:cs="宋体"/>
                <w:b/>
                <w:bCs w:val="0"/>
                <w:color w:val="0000FF"/>
                <w:lang w:bidi="ar"/>
              </w:rPr>
              <w:t>港元二路</w:t>
            </w:r>
            <w:r>
              <w:rPr>
                <w:rFonts w:hint="eastAsia" w:ascii="宋体" w:hAnsi="宋体" w:eastAsia="宋体" w:cs="宋体"/>
                <w:b/>
                <w:bCs w:val="0"/>
                <w:color w:val="0000FF"/>
                <w:lang w:eastAsia="zh-CN" w:bidi="ar"/>
              </w:rPr>
              <w:t>：</w:t>
            </w:r>
            <w:r>
              <w:rPr>
                <w:rFonts w:hint="eastAsia" w:ascii="宋体" w:hAnsi="宋体" w:eastAsia="宋体" w:cs="宋体"/>
                <w:color w:val="0000FF"/>
                <w:lang w:val="en-US" w:eastAsia="zh-CN" w:bidi="ar"/>
              </w:rPr>
              <w:t>项目西起潞阳大道</w:t>
            </w:r>
            <w:r>
              <w:rPr>
                <w:rFonts w:hint="eastAsia" w:ascii="宋体" w:hAnsi="宋体" w:eastAsia="宋体" w:cs="宋体"/>
                <w:color w:val="0000FF"/>
                <w:lang w:bidi="ar"/>
              </w:rPr>
              <w:t>，东至</w:t>
            </w:r>
            <w:r>
              <w:rPr>
                <w:rFonts w:hint="eastAsia" w:ascii="宋体" w:hAnsi="宋体" w:eastAsia="宋体" w:cs="宋体"/>
                <w:color w:val="0000FF"/>
                <w:lang w:val="en-US" w:eastAsia="zh-CN" w:bidi="ar"/>
              </w:rPr>
              <w:t>乌海线</w:t>
            </w:r>
            <w:r>
              <w:rPr>
                <w:rFonts w:hint="eastAsia" w:ascii="宋体" w:hAnsi="宋体" w:eastAsia="宋体" w:cs="宋体"/>
                <w:color w:val="0000FF"/>
                <w:lang w:bidi="ar"/>
              </w:rPr>
              <w:t>，全长</w:t>
            </w:r>
            <w:r>
              <w:rPr>
                <w:rFonts w:hint="eastAsia" w:ascii="宋体" w:hAnsi="宋体" w:eastAsia="宋体" w:cs="宋体"/>
                <w:color w:val="0000FF"/>
                <w:lang w:val="en-US" w:eastAsia="zh-CN" w:bidi="ar"/>
              </w:rPr>
              <w:t>888</w:t>
            </w:r>
            <w:r>
              <w:rPr>
                <w:rFonts w:hint="eastAsia" w:ascii="宋体" w:hAnsi="宋体" w:eastAsia="宋体" w:cs="宋体"/>
                <w:color w:val="0000FF"/>
                <w:lang w:bidi="ar"/>
              </w:rPr>
              <w:t>m，道路等级为城市</w:t>
            </w:r>
            <w:r>
              <w:rPr>
                <w:rFonts w:hint="eastAsia" w:ascii="宋体" w:hAnsi="宋体" w:eastAsia="宋体" w:cs="宋体"/>
                <w:color w:val="0000FF"/>
                <w:lang w:val="en-US" w:eastAsia="zh-CN" w:bidi="ar"/>
              </w:rPr>
              <w:t>支</w:t>
            </w:r>
            <w:r>
              <w:rPr>
                <w:rFonts w:hint="eastAsia" w:ascii="宋体" w:hAnsi="宋体" w:eastAsia="宋体" w:cs="宋体"/>
                <w:color w:val="0000FF"/>
                <w:lang w:bidi="ar"/>
              </w:rPr>
              <w:t>路，</w:t>
            </w:r>
            <w:r>
              <w:rPr>
                <w:rFonts w:hint="eastAsia" w:ascii="宋体" w:hAnsi="宋体" w:eastAsia="宋体" w:cs="宋体"/>
                <w:color w:val="0000FF"/>
                <w:lang w:val="en-US" w:eastAsia="zh-CN" w:bidi="ar"/>
              </w:rPr>
              <w:t>道路红线</w:t>
            </w:r>
            <w:r>
              <w:rPr>
                <w:rFonts w:hint="eastAsia" w:ascii="宋体" w:hAnsi="宋体" w:eastAsia="宋体" w:cs="宋体"/>
                <w:color w:val="0000FF"/>
                <w:lang w:bidi="ar"/>
              </w:rPr>
              <w:t>宽度</w:t>
            </w:r>
            <w:r>
              <w:rPr>
                <w:rFonts w:hint="eastAsia" w:ascii="宋体" w:hAnsi="宋体" w:eastAsia="宋体" w:cs="宋体"/>
                <w:color w:val="0000FF"/>
                <w:lang w:val="en-US" w:eastAsia="zh-CN" w:bidi="ar"/>
              </w:rPr>
              <w:t>2</w:t>
            </w:r>
            <w:r>
              <w:rPr>
                <w:rFonts w:hint="eastAsia" w:ascii="宋体" w:hAnsi="宋体" w:eastAsia="宋体" w:cs="宋体"/>
                <w:color w:val="0000FF"/>
                <w:lang w:bidi="ar"/>
              </w:rPr>
              <w:t>0m，设计速度50km/h</w:t>
            </w:r>
            <w:r>
              <w:rPr>
                <w:rFonts w:hint="eastAsia" w:ascii="宋体" w:hAnsi="宋体" w:eastAsia="宋体" w:cs="宋体"/>
                <w:color w:val="0000FF"/>
                <w:lang w:eastAsia="zh-CN" w:bidi="ar"/>
              </w:rPr>
              <w:t>。</w:t>
            </w:r>
          </w:p>
          <w:p w14:paraId="5E0C28D4">
            <w:pPr>
              <w:pStyle w:val="47"/>
              <w:widowControl/>
              <w:shd w:val="clear" w:color="auto" w:fill="FFFFFF"/>
              <w:tabs>
                <w:tab w:val="left" w:pos="526"/>
              </w:tabs>
              <w:ind w:left="210" w:right="210" w:firstLine="480"/>
              <w:rPr>
                <w:rFonts w:hint="eastAsia" w:ascii="宋体" w:hAnsi="宋体" w:eastAsia="宋体" w:cs="宋体"/>
                <w:color w:val="0000FF"/>
                <w:lang w:eastAsia="zh-CN" w:bidi="ar"/>
              </w:rPr>
            </w:pPr>
            <w:r>
              <w:rPr>
                <w:rFonts w:hint="eastAsia" w:ascii="宋体" w:hAnsi="宋体" w:eastAsia="宋体" w:cs="宋体"/>
                <w:b/>
                <w:bCs w:val="0"/>
                <w:color w:val="0000FF"/>
                <w:lang w:bidi="ar"/>
              </w:rPr>
              <w:t>南垂道路</w:t>
            </w:r>
            <w:r>
              <w:rPr>
                <w:rFonts w:hint="eastAsia" w:ascii="宋体" w:hAnsi="宋体" w:eastAsia="宋体" w:cs="宋体"/>
                <w:b/>
                <w:bCs w:val="0"/>
                <w:color w:val="0000FF"/>
                <w:lang w:eastAsia="zh-CN" w:bidi="ar"/>
              </w:rPr>
              <w:t>：</w:t>
            </w:r>
            <w:r>
              <w:rPr>
                <w:rFonts w:hint="eastAsia" w:ascii="宋体" w:hAnsi="宋体" w:eastAsia="宋体" w:cs="宋体"/>
                <w:color w:val="0000FF"/>
                <w:lang w:val="en-US" w:eastAsia="zh-CN" w:bidi="ar"/>
              </w:rPr>
              <w:t>项目</w:t>
            </w:r>
            <w:r>
              <w:rPr>
                <w:rFonts w:hint="eastAsia" w:ascii="宋体" w:hAnsi="宋体" w:eastAsia="宋体" w:cs="宋体"/>
                <w:color w:val="0000FF"/>
                <w:lang w:bidi="ar"/>
              </w:rPr>
              <w:t>东</w:t>
            </w:r>
            <w:r>
              <w:rPr>
                <w:rFonts w:hint="eastAsia" w:ascii="宋体" w:hAnsi="宋体" w:eastAsia="宋体" w:cs="宋体"/>
                <w:color w:val="0000FF"/>
                <w:lang w:val="en-US" w:eastAsia="zh-CN" w:bidi="ar"/>
              </w:rPr>
              <w:t>起乌海线</w:t>
            </w:r>
            <w:r>
              <w:rPr>
                <w:rFonts w:hint="eastAsia" w:ascii="宋体" w:hAnsi="宋体" w:eastAsia="宋体" w:cs="宋体"/>
                <w:color w:val="0000FF"/>
                <w:lang w:bidi="ar"/>
              </w:rPr>
              <w:t>，</w:t>
            </w:r>
            <w:r>
              <w:rPr>
                <w:rFonts w:hint="eastAsia" w:ascii="宋体" w:hAnsi="宋体" w:eastAsia="宋体" w:cs="宋体"/>
                <w:color w:val="0000FF"/>
                <w:lang w:val="en-US" w:eastAsia="zh-CN" w:bidi="ar"/>
              </w:rPr>
              <w:t>南至港园一路，环南垂驾校规划地块道路，</w:t>
            </w:r>
            <w:r>
              <w:rPr>
                <w:rFonts w:hint="eastAsia" w:ascii="宋体" w:hAnsi="宋体" w:eastAsia="宋体" w:cs="宋体"/>
                <w:color w:val="0000FF"/>
                <w:lang w:bidi="ar"/>
              </w:rPr>
              <w:t>全长</w:t>
            </w:r>
            <w:r>
              <w:rPr>
                <w:rFonts w:hint="eastAsia" w:ascii="宋体" w:hAnsi="宋体" w:eastAsia="宋体" w:cs="宋体"/>
                <w:color w:val="0000FF"/>
                <w:lang w:val="en-US" w:eastAsia="zh-CN" w:bidi="ar"/>
              </w:rPr>
              <w:t>700</w:t>
            </w:r>
            <w:r>
              <w:rPr>
                <w:rFonts w:hint="eastAsia" w:ascii="宋体" w:hAnsi="宋体" w:eastAsia="宋体" w:cs="宋体"/>
                <w:color w:val="0000FF"/>
                <w:lang w:bidi="ar"/>
              </w:rPr>
              <w:t>m，道路等级为城市</w:t>
            </w:r>
            <w:r>
              <w:rPr>
                <w:rFonts w:hint="eastAsia" w:ascii="宋体" w:hAnsi="宋体" w:eastAsia="宋体" w:cs="宋体"/>
                <w:color w:val="0000FF"/>
                <w:lang w:val="en-US" w:eastAsia="zh-CN" w:bidi="ar"/>
              </w:rPr>
              <w:t>支</w:t>
            </w:r>
            <w:r>
              <w:rPr>
                <w:rFonts w:hint="eastAsia" w:ascii="宋体" w:hAnsi="宋体" w:eastAsia="宋体" w:cs="宋体"/>
                <w:color w:val="0000FF"/>
                <w:lang w:bidi="ar"/>
              </w:rPr>
              <w:t>路，</w:t>
            </w:r>
            <w:r>
              <w:rPr>
                <w:rFonts w:hint="eastAsia" w:ascii="宋体" w:hAnsi="宋体" w:eastAsia="宋体" w:cs="宋体"/>
                <w:color w:val="0000FF"/>
                <w:lang w:val="en-US" w:eastAsia="zh-CN" w:bidi="ar"/>
              </w:rPr>
              <w:t>道路红线</w:t>
            </w:r>
            <w:r>
              <w:rPr>
                <w:rFonts w:hint="eastAsia" w:ascii="宋体" w:hAnsi="宋体" w:eastAsia="宋体" w:cs="宋体"/>
                <w:color w:val="0000FF"/>
                <w:lang w:bidi="ar"/>
              </w:rPr>
              <w:t>宽度</w:t>
            </w:r>
            <w:r>
              <w:rPr>
                <w:rFonts w:hint="eastAsia" w:ascii="宋体" w:hAnsi="宋体" w:eastAsia="宋体" w:cs="宋体"/>
                <w:color w:val="0000FF"/>
                <w:lang w:val="en-US" w:eastAsia="zh-CN" w:bidi="ar"/>
              </w:rPr>
              <w:t>2</w:t>
            </w:r>
            <w:r>
              <w:rPr>
                <w:rFonts w:hint="eastAsia" w:ascii="宋体" w:hAnsi="宋体" w:eastAsia="宋体" w:cs="宋体"/>
                <w:color w:val="0000FF"/>
                <w:lang w:bidi="ar"/>
              </w:rPr>
              <w:t>0m，设计速度50km/h</w:t>
            </w:r>
            <w:r>
              <w:rPr>
                <w:rFonts w:hint="eastAsia" w:ascii="宋体" w:hAnsi="宋体" w:eastAsia="宋体" w:cs="宋体"/>
                <w:color w:val="0000FF"/>
                <w:lang w:eastAsia="zh-CN" w:bidi="ar"/>
              </w:rPr>
              <w:t>。</w:t>
            </w:r>
          </w:p>
          <w:p w14:paraId="47419D6A">
            <w:pPr>
              <w:pStyle w:val="47"/>
              <w:widowControl/>
              <w:shd w:val="clear" w:color="auto" w:fill="FFFFFF"/>
              <w:tabs>
                <w:tab w:val="left" w:pos="526"/>
              </w:tabs>
              <w:ind w:left="0" w:leftChars="0" w:right="210" w:firstLine="0" w:firstLineChars="0"/>
              <w:rPr>
                <w:rFonts w:ascii="Times New Roman" w:hAnsi="Times New Roman"/>
                <w:bCs w:val="0"/>
                <w:lang w:bidi="ar"/>
              </w:rPr>
            </w:pPr>
          </w:p>
        </w:tc>
      </w:tr>
    </w:tbl>
    <w:p w14:paraId="40528852">
      <w:pPr>
        <w:keepNext/>
        <w:keepLines/>
        <w:autoSpaceDE w:val="0"/>
        <w:autoSpaceDN w:val="0"/>
        <w:adjustRightInd w:val="0"/>
        <w:snapToGrid w:val="0"/>
        <w:spacing w:line="600" w:lineRule="exact"/>
        <w:ind w:firstLine="420" w:firstLineChars="200"/>
        <w:rPr>
          <w:rFonts w:ascii="楷体" w:hAnsi="楷体" w:eastAsia="楷体" w:cs="楷体"/>
          <w:szCs w:val="32"/>
        </w:rPr>
      </w:pPr>
    </w:p>
    <w:p w14:paraId="394490A6">
      <w:pPr>
        <w:pStyle w:val="4"/>
        <w:keepNext/>
        <w:keepLines/>
        <w:adjustRightInd w:val="0"/>
        <w:snapToGrid w:val="0"/>
        <w:spacing w:line="600" w:lineRule="exact"/>
        <w:ind w:firstLine="640" w:firstLineChars="200"/>
      </w:pPr>
      <w:bookmarkStart w:id="190" w:name="_Toc2802"/>
      <w:bookmarkStart w:id="191" w:name="_Toc31536"/>
      <w:bookmarkStart w:id="192" w:name="_Toc13108"/>
      <w:bookmarkStart w:id="193" w:name="_Toc13136"/>
      <w:bookmarkStart w:id="194" w:name="_Toc12621"/>
      <w:bookmarkStart w:id="195" w:name="_Toc223176547"/>
      <w:bookmarkStart w:id="196" w:name="_Toc26072"/>
      <w:bookmarkStart w:id="197" w:name="_Toc24590"/>
      <w:r>
        <w:rPr>
          <w:rFonts w:hint="eastAsia"/>
        </w:rPr>
        <w:t>第四节 完善公共服务与生活配套</w:t>
      </w:r>
      <w:bookmarkEnd w:id="190"/>
      <w:bookmarkEnd w:id="191"/>
      <w:bookmarkEnd w:id="192"/>
      <w:bookmarkEnd w:id="193"/>
      <w:bookmarkEnd w:id="194"/>
      <w:bookmarkEnd w:id="195"/>
      <w:bookmarkEnd w:id="196"/>
      <w:bookmarkEnd w:id="197"/>
    </w:p>
    <w:p w14:paraId="166E0880">
      <w:pPr>
        <w:spacing w:line="600" w:lineRule="exact"/>
        <w:ind w:firstLine="640" w:firstLineChars="200"/>
        <w:rPr>
          <w:rFonts w:ascii="仿宋_GB2312" w:hAnsi="仿宋_GB2312" w:eastAsia="仿宋_GB2312" w:cs="仿宋_GB2312"/>
          <w:kern w:val="2"/>
          <w:sz w:val="32"/>
          <w:szCs w:val="32"/>
        </w:rPr>
      </w:pPr>
    </w:p>
    <w:p w14:paraId="1648C1F6">
      <w:pP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坚持投资于物和投资于人紧密结合，围绕“人产城三合一” 发展理念，全方位提升生活、公共服务和智慧城市配套水平，实现园区功能从“生产型”向“综合服务型”的跃升，依托产业集聚人口，以人口集聚推动城市配套完善，实现产业、人口、城市空间深度融合。</w:t>
      </w:r>
    </w:p>
    <w:p w14:paraId="0045BB56">
      <w:pPr>
        <w:spacing w:line="600" w:lineRule="exact"/>
        <w:ind w:firstLine="643" w:firstLineChars="200"/>
        <w:rPr>
          <w:rFonts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优化生活服务配套。</w:t>
      </w:r>
      <w:r>
        <w:rPr>
          <w:rFonts w:hint="eastAsia" w:ascii="仿宋_GB2312" w:hAnsi="仿宋_GB2312" w:eastAsia="仿宋_GB2312" w:cs="仿宋_GB2312"/>
          <w:kern w:val="2"/>
          <w:sz w:val="32"/>
          <w:szCs w:val="32"/>
        </w:rPr>
        <w:t>实施人才安居工程，加快建设人才公寓和高品质住宅，探索保障性住房、租赁住房等多种形式的住房供给体系，重点推进漳泽、翟店片区保障性住房建设，拓宽住房保障覆盖面，切实解决新市民、青年人及产业人才的住房难题。在漳泽工业园核心区域，加快推进长治三中迁建、海森街小学项目建设，全力将漳泽工业园塑造成集产业创新、入学就业、办公服务、居住配套于一体的成熟产业社区。依托长治气候优势，联合潞州区打造康养产业与微景点休闲经济，吸引周边省市人群前来休闲旅居，实现 “休闲+康养+文旅” 融合，增强人才归属感与生活幸福感，让员工和居民享受高品质的便利生活。</w:t>
      </w:r>
    </w:p>
    <w:p w14:paraId="0E3071DE">
      <w:pPr>
        <w:spacing w:line="600" w:lineRule="exact"/>
        <w:ind w:firstLine="643" w:firstLineChars="200"/>
        <w:rPr>
          <w:rFonts w:hint="eastAsia" w:ascii="仿宋_GB2312" w:hAnsi="仿宋_GB2312" w:eastAsia="仿宋_GB2312" w:cs="仿宋_GB2312"/>
          <w:kern w:val="2"/>
          <w:sz w:val="32"/>
          <w:szCs w:val="32"/>
        </w:rPr>
      </w:pPr>
      <w:r>
        <w:rPr>
          <w:rFonts w:hint="eastAsia" w:ascii="仿宋_GB2312" w:hAnsi="仿宋_GB2312" w:eastAsia="仿宋_GB2312" w:cs="仿宋_GB2312"/>
          <w:b/>
          <w:bCs/>
          <w:kern w:val="2"/>
          <w:sz w:val="32"/>
          <w:szCs w:val="32"/>
        </w:rPr>
        <w:t>升级公共服务体系。</w:t>
      </w:r>
      <w:r>
        <w:rPr>
          <w:rFonts w:hint="eastAsia" w:ascii="仿宋_GB2312" w:hAnsi="仿宋_GB2312" w:eastAsia="仿宋_GB2312" w:cs="仿宋_GB2312"/>
          <w:kern w:val="2"/>
          <w:sz w:val="32"/>
          <w:szCs w:val="32"/>
        </w:rPr>
        <w:t>提升公共服务供给质量，全面提高民生福祉。在教育培训方面，与潞州区联合，引入优质教育资源，强化教育医疗协同平台建设，</w:t>
      </w:r>
      <w:r>
        <w:rPr>
          <w:rFonts w:ascii="仿宋_GB2312" w:hAnsi="仿宋_GB2312" w:eastAsia="仿宋_GB2312" w:cs="仿宋_GB2312"/>
          <w:bCs/>
          <w:sz w:val="32"/>
          <w:szCs w:val="32"/>
        </w:rPr>
        <w:t>持续优化配置教育资源。</w:t>
      </w:r>
      <w:r>
        <w:rPr>
          <w:rFonts w:hint="eastAsia" w:ascii="仿宋_GB2312" w:hAnsi="仿宋_GB2312" w:eastAsia="仿宋_GB2312" w:cs="仿宋_GB2312"/>
          <w:kern w:val="2"/>
          <w:sz w:val="32"/>
          <w:szCs w:val="32"/>
        </w:rPr>
        <w:t>完善职业培训学校和产教融合平台，推动优质资源跨机构共享与智慧服务联动。在医疗卫生方面，深化与北大医疗合作，引进更多优质医疗资源。在文化体育方面，推进市级工人文化中心建设，完善园区健身场馆和户外运动空间，丰富员工和居民的精神文化生活。</w:t>
      </w:r>
    </w:p>
    <w:p w14:paraId="684C7D19">
      <w:pPr>
        <w:pStyle w:val="2"/>
        <w:rPr>
          <w:rFonts w:hint="eastAsia" w:ascii="仿宋_GB2312" w:hAnsi="仿宋_GB2312" w:eastAsia="仿宋_GB2312" w:cs="仿宋_GB2312"/>
          <w:kern w:val="2"/>
          <w:sz w:val="32"/>
          <w:szCs w:val="32"/>
        </w:rPr>
      </w:pPr>
    </w:p>
    <w:p w14:paraId="2CA3F57A">
      <w:pPr>
        <w:pStyle w:val="2"/>
        <w:rPr>
          <w:rFonts w:hint="eastAsia" w:ascii="仿宋_GB2312" w:hAnsi="仿宋_GB2312" w:eastAsia="仿宋_GB2312" w:cs="仿宋_GB2312"/>
          <w:kern w:val="2"/>
          <w:sz w:val="32"/>
          <w:szCs w:val="32"/>
        </w:rPr>
      </w:pPr>
    </w:p>
    <w:p w14:paraId="261120F8">
      <w:pPr>
        <w:pStyle w:val="2"/>
        <w:rPr>
          <w:rFonts w:hint="eastAsia" w:ascii="仿宋_GB2312" w:hAnsi="仿宋_GB2312" w:eastAsia="仿宋_GB2312" w:cs="仿宋_GB2312"/>
          <w:kern w:val="2"/>
          <w:sz w:val="32"/>
          <w:szCs w:val="32"/>
        </w:rPr>
      </w:pPr>
    </w:p>
    <w:p w14:paraId="72BC6EFA">
      <w:pPr>
        <w:pStyle w:val="2"/>
        <w:rPr>
          <w:rFonts w:hint="eastAsia" w:ascii="仿宋_GB2312" w:hAnsi="仿宋_GB2312" w:eastAsia="仿宋_GB2312" w:cs="仿宋_GB2312"/>
          <w:kern w:val="2"/>
          <w:sz w:val="32"/>
          <w:szCs w:val="32"/>
        </w:rPr>
      </w:pPr>
    </w:p>
    <w:tbl>
      <w:tblPr>
        <w:tblStyle w:val="26"/>
        <w:tblW w:w="88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23"/>
      </w:tblGrid>
      <w:tr w14:paraId="020AD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823" w:type="dxa"/>
            <w:tcBorders>
              <w:top w:val="single" w:color="000000" w:sz="4" w:space="0"/>
              <w:left w:val="single" w:color="000000" w:sz="4" w:space="0"/>
              <w:bottom w:val="single" w:color="000000" w:sz="4" w:space="0"/>
              <w:right w:val="single" w:color="000000" w:sz="4" w:space="0"/>
            </w:tcBorders>
            <w:vAlign w:val="center"/>
          </w:tcPr>
          <w:p w14:paraId="738CF7C9">
            <w:pPr>
              <w:pStyle w:val="46"/>
              <w:spacing w:line="600" w:lineRule="exact"/>
              <w:ind w:left="11"/>
              <w:rPr>
                <w:rFonts w:ascii="Times New Roman" w:hAnsi="Times New Roman" w:eastAsia="方正仿宋_GB2312"/>
                <w:lang w:bidi="ar"/>
              </w:rPr>
            </w:pPr>
            <w:r>
              <w:rPr>
                <w:rFonts w:ascii="Times New Roman" w:hAnsi="Times New Roman"/>
                <w:lang w:bidi="ar"/>
              </w:rPr>
              <w:t>专栏</w:t>
            </w:r>
            <w:r>
              <w:rPr>
                <w:rFonts w:hint="eastAsia" w:ascii="Times New Roman" w:hAnsi="Times New Roman"/>
                <w:lang w:val="en-US" w:eastAsia="zh-CN" w:bidi="ar"/>
              </w:rPr>
              <w:t>8</w:t>
            </w:r>
            <w:r>
              <w:rPr>
                <w:rFonts w:ascii="Times New Roman" w:hAnsi="Times New Roman"/>
                <w:lang w:bidi="ar"/>
              </w:rPr>
              <w:t xml:space="preserve"> </w:t>
            </w:r>
            <w:r>
              <w:rPr>
                <w:rFonts w:hint="eastAsia" w:ascii="Times New Roman" w:hAnsi="Times New Roman"/>
                <w:lang w:bidi="ar"/>
              </w:rPr>
              <w:t xml:space="preserve"> 公共服务与生活配套重点项目</w:t>
            </w:r>
          </w:p>
        </w:tc>
      </w:tr>
      <w:tr w14:paraId="1B4B7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jc w:val="center"/>
        </w:trPr>
        <w:tc>
          <w:tcPr>
            <w:tcW w:w="8823" w:type="dxa"/>
            <w:tcBorders>
              <w:top w:val="single" w:color="000000" w:sz="4" w:space="0"/>
              <w:left w:val="single" w:color="000000" w:sz="4" w:space="0"/>
              <w:bottom w:val="single" w:color="000000" w:sz="4" w:space="0"/>
              <w:right w:val="single" w:color="000000" w:sz="4" w:space="0"/>
            </w:tcBorders>
          </w:tcPr>
          <w:p w14:paraId="7467C1C1">
            <w:pPr>
              <w:pStyle w:val="47"/>
              <w:widowControl/>
              <w:shd w:val="clear" w:color="auto" w:fill="FFFFFF"/>
              <w:tabs>
                <w:tab w:val="left" w:pos="526"/>
              </w:tabs>
              <w:ind w:left="210" w:right="210" w:firstLine="482"/>
              <w:rPr>
                <w:rFonts w:ascii="宋体" w:hAnsi="宋体" w:eastAsia="宋体" w:cs="宋体"/>
                <w:b/>
                <w:lang w:bidi="ar"/>
              </w:rPr>
            </w:pPr>
          </w:p>
          <w:p w14:paraId="4B80F982">
            <w:pPr>
              <w:pStyle w:val="47"/>
              <w:widowControl/>
              <w:shd w:val="clear" w:color="auto" w:fill="FFFFFF"/>
              <w:tabs>
                <w:tab w:val="left" w:pos="526"/>
              </w:tabs>
              <w:ind w:left="210" w:right="210" w:firstLine="482"/>
              <w:rPr>
                <w:rFonts w:ascii="宋体" w:hAnsi="宋体" w:eastAsia="宋体" w:cs="宋体"/>
                <w:lang w:bidi="ar"/>
              </w:rPr>
            </w:pPr>
            <w:r>
              <w:rPr>
                <w:rFonts w:hint="eastAsia" w:ascii="宋体" w:hAnsi="宋体" w:eastAsia="宋体" w:cs="宋体"/>
                <w:b/>
                <w:lang w:bidi="ar"/>
              </w:rPr>
              <w:t>平安集团长治大健康产业基地：</w:t>
            </w:r>
            <w:r>
              <w:rPr>
                <w:rFonts w:hint="eastAsia" w:ascii="宋体" w:hAnsi="宋体" w:eastAsia="宋体" w:cs="宋体"/>
                <w:lang w:bidi="ar"/>
              </w:rPr>
              <w:t>利用高新区中心医院与平安集团下属潞安北大医疗医院合作的契机，进一步与平安集团深入合作，导入平安集团健康医疗的优质资源，在高新区建设大健康产业园，全面覆盖高级诊疗中心、全民健康管理、慢特病管理、康养融合等各方面，助力长治打造全国康养福地。</w:t>
            </w:r>
          </w:p>
          <w:p w14:paraId="2DF0CC77">
            <w:pPr>
              <w:pStyle w:val="47"/>
              <w:tabs>
                <w:tab w:val="left" w:pos="526"/>
              </w:tabs>
              <w:ind w:left="210" w:right="210" w:firstLine="482"/>
              <w:rPr>
                <w:rFonts w:ascii="宋体" w:hAnsi="宋体" w:eastAsia="宋体" w:cs="宋体"/>
                <w:bCs w:val="0"/>
                <w:lang w:bidi="ar"/>
              </w:rPr>
            </w:pPr>
            <w:r>
              <w:rPr>
                <w:rFonts w:hint="eastAsia" w:ascii="宋体" w:hAnsi="宋体" w:eastAsia="宋体" w:cs="宋体"/>
                <w:b/>
                <w:lang w:bidi="ar"/>
              </w:rPr>
              <w:t>海森街小学建设项目：</w:t>
            </w:r>
            <w:r>
              <w:rPr>
                <w:rFonts w:hint="eastAsia" w:ascii="宋体" w:hAnsi="宋体" w:eastAsia="宋体" w:cs="宋体"/>
                <w:bCs w:val="0"/>
                <w:lang w:bidi="ar"/>
              </w:rPr>
              <w:t>位于海森街以北，规划用地面积约45亩，建设6轨共36班小学。</w:t>
            </w:r>
          </w:p>
          <w:p w14:paraId="09E0BBB6">
            <w:pPr>
              <w:pStyle w:val="47"/>
              <w:tabs>
                <w:tab w:val="left" w:pos="526"/>
              </w:tabs>
              <w:ind w:left="210" w:right="210" w:firstLine="482"/>
              <w:rPr>
                <w:rFonts w:ascii="宋体" w:hAnsi="宋体" w:eastAsia="宋体" w:cs="宋体"/>
                <w:bCs w:val="0"/>
                <w:lang w:bidi="ar"/>
              </w:rPr>
            </w:pPr>
            <w:r>
              <w:rPr>
                <w:rFonts w:hint="eastAsia" w:ascii="宋体" w:hAnsi="宋体" w:eastAsia="宋体" w:cs="宋体"/>
                <w:b/>
                <w:lang w:bidi="ar"/>
              </w:rPr>
              <w:t>市三中迁建项目：</w:t>
            </w:r>
            <w:r>
              <w:rPr>
                <w:rFonts w:hint="eastAsia" w:ascii="宋体" w:hAnsi="宋体" w:eastAsia="宋体" w:cs="宋体"/>
                <w:bCs w:val="0"/>
                <w:lang w:bidi="ar"/>
              </w:rPr>
              <w:t>位于大辛庄街道办事处小辛庄村。总投资15896.26万元，占地面积37753.77m2，建筑面积29500m2，主要建设教学楼、综合楼、生活楼、实验楼等。</w:t>
            </w:r>
          </w:p>
          <w:p w14:paraId="0D8DFDBA">
            <w:pPr>
              <w:pStyle w:val="47"/>
              <w:tabs>
                <w:tab w:val="left" w:pos="526"/>
              </w:tabs>
              <w:spacing w:line="600" w:lineRule="exact"/>
              <w:ind w:left="210" w:right="210" w:firstLine="480"/>
              <w:rPr>
                <w:rFonts w:ascii="Times New Roman" w:hAnsi="Times New Roman"/>
                <w:bCs w:val="0"/>
                <w:lang w:bidi="ar"/>
              </w:rPr>
            </w:pPr>
          </w:p>
        </w:tc>
      </w:tr>
    </w:tbl>
    <w:p w14:paraId="39F10963">
      <w:pPr>
        <w:pStyle w:val="14"/>
        <w:spacing w:line="600" w:lineRule="exact"/>
      </w:pPr>
    </w:p>
    <w:p w14:paraId="6F01DFBF">
      <w:pPr>
        <w:pStyle w:val="3"/>
        <w:widowControl/>
        <w:autoSpaceDE w:val="0"/>
        <w:autoSpaceDN w:val="0"/>
        <w:adjustRightInd w:val="0"/>
        <w:snapToGrid w:val="0"/>
        <w:spacing w:before="0" w:after="0" w:line="600" w:lineRule="exact"/>
        <w:rPr>
          <w:rFonts w:ascii="黑体" w:hAnsi="黑体" w:cs="黑体"/>
          <w:bCs w:val="0"/>
          <w:szCs w:val="32"/>
        </w:rPr>
      </w:pPr>
      <w:bookmarkStart w:id="198" w:name="_Toc10957"/>
      <w:bookmarkStart w:id="199" w:name="_Toc30231"/>
      <w:bookmarkStart w:id="200" w:name="_Toc9343"/>
      <w:bookmarkStart w:id="201" w:name="_Toc23429"/>
      <w:bookmarkStart w:id="202" w:name="_Toc3463"/>
      <w:bookmarkStart w:id="203" w:name="_Toc223176552"/>
      <w:bookmarkStart w:id="204" w:name="_Toc6334"/>
      <w:bookmarkStart w:id="205" w:name="_Toc16842"/>
      <w:r>
        <w:rPr>
          <w:rFonts w:hint="eastAsia" w:ascii="黑体" w:hAnsi="黑体" w:cs="黑体"/>
          <w:bCs w:val="0"/>
          <w:szCs w:val="32"/>
        </w:rPr>
        <w:t>第六章 坚持双碳引领，积极推进能源革命</w:t>
      </w:r>
      <w:bookmarkEnd w:id="198"/>
      <w:bookmarkEnd w:id="199"/>
      <w:bookmarkEnd w:id="200"/>
      <w:bookmarkEnd w:id="201"/>
      <w:bookmarkEnd w:id="202"/>
      <w:bookmarkEnd w:id="203"/>
      <w:bookmarkEnd w:id="204"/>
      <w:bookmarkEnd w:id="205"/>
    </w:p>
    <w:p w14:paraId="35F198D9">
      <w:pPr>
        <w:spacing w:line="600" w:lineRule="exact"/>
        <w:ind w:firstLine="640" w:firstLineChars="200"/>
        <w:jc w:val="center"/>
        <w:rPr>
          <w:rFonts w:ascii="仿宋_GB2312" w:hAnsi="仿宋_GB2312" w:eastAsia="仿宋_GB2312" w:cs="仿宋_GB2312"/>
          <w:kern w:val="2"/>
          <w:sz w:val="32"/>
          <w:szCs w:val="32"/>
        </w:rPr>
      </w:pPr>
    </w:p>
    <w:p w14:paraId="10819D6B">
      <w:pPr>
        <w:spacing w:line="60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“十五五”时期是长治高新区深入贯彻落实国家碳达峰碳中和战略部署、全面推进资源型城市经济转型发展的攻坚阶段。务必</w:t>
      </w:r>
      <w:r>
        <w:rPr>
          <w:rFonts w:ascii="仿宋_GB2312" w:hAnsi="仿宋_GB2312" w:eastAsia="仿宋_GB2312" w:cs="仿宋_GB2312"/>
          <w:sz w:val="32"/>
        </w:rPr>
        <w:t>以国家“双碳”目标为引领，</w:t>
      </w:r>
      <w:r>
        <w:rPr>
          <w:rFonts w:hint="eastAsia" w:ascii="仿宋_GB2312" w:hAnsi="仿宋_GB2312" w:eastAsia="仿宋_GB2312" w:cs="仿宋_GB2312"/>
          <w:kern w:val="2"/>
          <w:sz w:val="32"/>
          <w:szCs w:val="32"/>
        </w:rPr>
        <w:t>以碳达峰试点园区和绿电园区建设为支撑，</w:t>
      </w:r>
      <w:r>
        <w:rPr>
          <w:rFonts w:ascii="仿宋_GB2312" w:hAnsi="仿宋_GB2312" w:eastAsia="仿宋_GB2312" w:cs="仿宋_GB2312"/>
          <w:sz w:val="32"/>
        </w:rPr>
        <w:t>统筹推进产业结构和能源结构协同转型</w:t>
      </w:r>
      <w:r>
        <w:rPr>
          <w:rFonts w:hint="eastAsia" w:ascii="仿宋_GB2312" w:hAnsi="仿宋_GB2312" w:eastAsia="仿宋_GB2312" w:cs="仿宋_GB2312"/>
          <w:sz w:val="32"/>
        </w:rPr>
        <w:t>，</w:t>
      </w:r>
      <w:r>
        <w:rPr>
          <w:rFonts w:hint="eastAsia" w:ascii="仿宋_GB2312" w:hAnsi="仿宋_GB2312" w:eastAsia="仿宋_GB2312" w:cs="仿宋_GB2312"/>
          <w:kern w:val="2"/>
          <w:sz w:val="32"/>
          <w:szCs w:val="32"/>
        </w:rPr>
        <w:t>构建“产业低碳化、能源清洁化、治理精准化”的绿色发展体系，为全市能源革命提供引领，将绿色低碳塑造为高新区发展的核心优势。</w:t>
      </w:r>
    </w:p>
    <w:p w14:paraId="5780CA84">
      <w:pPr>
        <w:keepNext/>
        <w:keepLines/>
        <w:widowControl/>
        <w:autoSpaceDE w:val="0"/>
        <w:autoSpaceDN w:val="0"/>
        <w:adjustRightInd w:val="0"/>
        <w:snapToGrid w:val="0"/>
        <w:spacing w:line="600" w:lineRule="exact"/>
        <w:ind w:firstLine="420" w:firstLineChars="200"/>
      </w:pPr>
      <w:bookmarkStart w:id="206" w:name="_Toc21394"/>
      <w:bookmarkStart w:id="207" w:name="_Toc24480"/>
      <w:bookmarkStart w:id="208" w:name="_Toc10550"/>
      <w:bookmarkStart w:id="209" w:name="_Toc11990"/>
    </w:p>
    <w:p w14:paraId="02E61016">
      <w:pPr>
        <w:pStyle w:val="4"/>
        <w:keepNext/>
        <w:keepLines/>
        <w:adjustRightInd w:val="0"/>
        <w:snapToGrid w:val="0"/>
        <w:spacing w:line="600" w:lineRule="exact"/>
        <w:ind w:firstLine="640" w:firstLineChars="200"/>
      </w:pPr>
      <w:bookmarkStart w:id="210" w:name="_Toc15177"/>
      <w:bookmarkStart w:id="211" w:name="_Toc21904"/>
      <w:bookmarkStart w:id="212" w:name="_Toc223176553"/>
      <w:bookmarkStart w:id="213" w:name="_Toc24771"/>
      <w:r>
        <w:rPr>
          <w:rFonts w:hint="eastAsia"/>
        </w:rPr>
        <w:t>第一节 高质量建设碳达峰试点园区</w:t>
      </w:r>
      <w:bookmarkEnd w:id="206"/>
      <w:bookmarkEnd w:id="207"/>
      <w:bookmarkEnd w:id="208"/>
      <w:bookmarkEnd w:id="209"/>
      <w:bookmarkEnd w:id="210"/>
      <w:bookmarkEnd w:id="211"/>
      <w:bookmarkEnd w:id="212"/>
      <w:bookmarkEnd w:id="213"/>
    </w:p>
    <w:p w14:paraId="4F03BF35">
      <w:pPr>
        <w:pStyle w:val="43"/>
        <w:spacing w:before="0" w:after="0" w:line="600" w:lineRule="exact"/>
        <w:ind w:firstLine="640" w:firstLineChars="200"/>
        <w:rPr>
          <w:rFonts w:ascii="仿宋_GB2312" w:hAnsi="仿宋_GB2312" w:eastAsia="仿宋_GB2312" w:cs="仿宋_GB2312"/>
          <w:sz w:val="32"/>
          <w:szCs w:val="32"/>
        </w:rPr>
      </w:pPr>
    </w:p>
    <w:p w14:paraId="5DCB3C55">
      <w:pPr>
        <w:pStyle w:val="43"/>
        <w:spacing w:before="0" w:after="0"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坚持生态优先、绿色发展导向，围绕国家碳达峰试点园区建设要求，紧扣“高端化、智能化、绿色化”转型方向，以园区全领域全过程降碳为统领，以产业绿色低碳转型为抓手，以重点耗能产业率先达峰为突破口，全面建成国家碳达峰试点园区。</w:t>
      </w:r>
    </w:p>
    <w:p w14:paraId="58D65ED2">
      <w:pPr>
        <w:spacing w:line="6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加快完善碳达峰智慧管理平台。</w:t>
      </w:r>
      <w:r>
        <w:rPr>
          <w:rFonts w:hint="eastAsia" w:ascii="仿宋_GB2312" w:hAnsi="仿宋_GB2312" w:eastAsia="仿宋_GB2312" w:cs="仿宋_GB2312"/>
          <w:sz w:val="32"/>
          <w:szCs w:val="32"/>
        </w:rPr>
        <w:t>按照碳预算、碳管理、碳评价、碳足迹等功能优化平台板块设置，强化碳足迹核查相关功能模块，引导企业主动开展碳足迹核查，规范核查流程、提升核查质量，推动企业全面掌握自身碳排放情况。将高新区用电、用气、用热等负荷单位纳入平台，实行智能实时化数据采集监控。升级碳达峰智慧管理平台为碳排双控管理系统，集成碳足迹核算、绿电交易认证和虚拟电厂调度及碳交易辅助功能，搭建企业碳交易服务载体，引导企业参与碳交易活动，逐步提升企业碳交易能力。实现重点企业能耗与碳排放实时监测，全面建成基于碳排放双控体系的能碳管理中心。</w:t>
      </w:r>
    </w:p>
    <w:p w14:paraId="3300853E">
      <w:pPr>
        <w:pStyle w:val="43"/>
        <w:spacing w:before="0" w:after="0" w:line="60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bCs/>
          <w:sz w:val="32"/>
          <w:szCs w:val="32"/>
        </w:rPr>
        <w:t>全面落实国家碳达峰攻坚行动。</w:t>
      </w:r>
      <w:r>
        <w:rPr>
          <w:rFonts w:hint="eastAsia" w:ascii="仿宋_GB2312" w:hAnsi="仿宋_GB2312" w:eastAsia="仿宋_GB2312" w:cs="仿宋_GB2312"/>
          <w:sz w:val="32"/>
          <w:szCs w:val="32"/>
        </w:rPr>
        <w:t>严格执行能耗、碳排放总量和强度“双控”制度，建立重点产业碳排放清单化管理、动态化监测机制。推进节能降碳改造升级专项行动，推广余热余压回收系统、高效电机替代技术、智能变频控制装备等先进适用技术，推动铸造、锻造等基础制造工艺绿色化转型，通过工艺优化、设备更新、清洁能源替代等综合措施，实现重点行业能耗较基准年降低15%以上。</w:t>
      </w:r>
      <w:r>
        <w:rPr>
          <w:rFonts w:ascii="仿宋_GB2312" w:hAnsi="仿宋_GB2312" w:eastAsia="仿宋_GB2312" w:cs="仿宋_GB2312"/>
          <w:sz w:val="32"/>
          <w:szCs w:val="32"/>
        </w:rPr>
        <w:t>拓展减污降碳协同试点深度，将VOCs治理与碳减排目标精准衔接，提升环境治理综合效能。</w:t>
      </w:r>
      <w:r>
        <w:rPr>
          <w:rFonts w:hint="eastAsia" w:ascii="仿宋_GB2312" w:hAnsi="仿宋_GB2312" w:eastAsia="仿宋_GB2312" w:cs="仿宋_GB2312"/>
          <w:sz w:val="32"/>
          <w:szCs w:val="32"/>
        </w:rPr>
        <w:t>建立“亩均税收+亩均能耗+碳排放强度”亩均效益综合评价体系，对低效高耗企业实施分类管控，通过产能置换、技术升级、有序退出等“腾笼换鸟”措施，倒逼产业结构优化升级，提升产业绿色发展质效。实施工业能效提升专项行动，开展免费节能诊断服务，推行合同能源管理模式，鼓励企业全面开展碳足迹核算与碳资产管理，建立企业碳账户，推动规上工业能耗持续降低。</w:t>
      </w:r>
    </w:p>
    <w:p w14:paraId="36046507">
      <w:pPr>
        <w:spacing w:line="600" w:lineRule="exact"/>
        <w:ind w:firstLine="643" w:firstLineChars="200"/>
        <w:rPr>
          <w:rFonts w:ascii="仿宋_GB2312" w:hAnsi="仿宋_GB2312" w:eastAsia="仿宋_GB2312" w:cs="仿宋_GB2312"/>
          <w:sz w:val="32"/>
          <w:szCs w:val="32"/>
        </w:rPr>
      </w:pPr>
      <w:r>
        <w:rPr>
          <w:rFonts w:ascii="仿宋_GB2312" w:hAnsi="仿宋_GB2312" w:eastAsia="仿宋_GB2312" w:cs="仿宋_GB2312"/>
          <w:b/>
          <w:bCs/>
          <w:sz w:val="32"/>
          <w:szCs w:val="32"/>
        </w:rPr>
        <w:t>积极创建零碳示范园区。</w:t>
      </w:r>
      <w:r>
        <w:rPr>
          <w:rFonts w:ascii="仿宋_GB2312" w:hAnsi="仿宋_GB2312" w:eastAsia="仿宋_GB2312" w:cs="仿宋_GB2312"/>
          <w:sz w:val="32"/>
          <w:szCs w:val="32"/>
        </w:rPr>
        <w:t>实施一批低碳绿色发展项目，加快低碳综合能源可再生利用项目建成投产</w:t>
      </w:r>
      <w:r>
        <w:rPr>
          <w:rFonts w:hint="eastAsia" w:ascii="仿宋_GB2312" w:hAnsi="仿宋_GB2312" w:eastAsia="仿宋_GB2312" w:cs="仿宋_GB2312"/>
          <w:sz w:val="32"/>
          <w:szCs w:val="32"/>
        </w:rPr>
        <w:t>。深化绿电绿能开发利用，推广企业节能技术改造，构建园区“光伏+空气能+工业蒸汽+地热”低碳综合能源利用格局，推动能源利用的高效低碳转型。强化固废资源化应用，推动固废规模化处置、高质化利用，将固废资源融入园区生产循环体系，提升资源利用效率、减少环境排放。推广绿色建材广泛应用，在园区基础设施、厂房建设中优先采用绿色环保、低碳节能建材，打造绿色低碳建筑体系。</w:t>
      </w:r>
      <w:r>
        <w:rPr>
          <w:rFonts w:ascii="仿宋_GB2312" w:hAnsi="仿宋_GB2312" w:eastAsia="仿宋_GB2312" w:cs="仿宋_GB2312"/>
          <w:sz w:val="32"/>
          <w:szCs w:val="32"/>
        </w:rPr>
        <w:t>积极推动潞安太阳能、山西立讯</w:t>
      </w:r>
      <w:r>
        <w:rPr>
          <w:rFonts w:hint="eastAsia" w:ascii="仿宋_GB2312" w:hAnsi="仿宋_GB2312" w:eastAsia="仿宋_GB2312" w:cs="仿宋_GB2312"/>
          <w:sz w:val="32"/>
          <w:szCs w:val="32"/>
        </w:rPr>
        <w:t>、凯松电子</w:t>
      </w:r>
      <w:r>
        <w:rPr>
          <w:rFonts w:ascii="仿宋_GB2312" w:hAnsi="仿宋_GB2312" w:eastAsia="仿宋_GB2312" w:cs="仿宋_GB2312"/>
          <w:sz w:val="32"/>
          <w:szCs w:val="32"/>
        </w:rPr>
        <w:t>等一批重点企业打造国家绿色工厂，</w:t>
      </w:r>
      <w:bookmarkStart w:id="214" w:name="_Toc157780738"/>
      <w:bookmarkStart w:id="215" w:name="_Toc159358743"/>
      <w:bookmarkStart w:id="216" w:name="_Toc159167719"/>
      <w:r>
        <w:rPr>
          <w:rFonts w:ascii="仿宋_GB2312" w:hAnsi="仿宋_GB2312" w:eastAsia="仿宋_GB2312" w:cs="仿宋_GB2312"/>
          <w:sz w:val="32"/>
          <w:szCs w:val="32"/>
        </w:rPr>
        <w:t>率先打造一批零碳标准化厂房、零碳工厂、零碳建筑等示范项目</w:t>
      </w:r>
      <w:bookmarkEnd w:id="214"/>
      <w:bookmarkEnd w:id="215"/>
      <w:bookmarkEnd w:id="216"/>
      <w:r>
        <w:rPr>
          <w:rFonts w:ascii="仿宋_GB2312" w:hAnsi="仿宋_GB2312" w:eastAsia="仿宋_GB2312" w:cs="仿宋_GB2312"/>
          <w:sz w:val="32"/>
          <w:szCs w:val="32"/>
        </w:rPr>
        <w:t>，为创建国家零碳园区</w:t>
      </w:r>
      <w:bookmarkStart w:id="329" w:name="_GoBack"/>
      <w:r>
        <w:rPr>
          <w:rFonts w:ascii="仿宋_GB2312" w:hAnsi="仿宋_GB2312" w:eastAsia="仿宋_GB2312" w:cs="仿宋_GB2312"/>
          <w:sz w:val="32"/>
          <w:szCs w:val="32"/>
          <w:vertAlign w:val="superscript"/>
        </w:rPr>
        <w:fldChar w:fldCharType="begin"/>
      </w:r>
      <w:r>
        <w:instrText xml:space="preserve"> REF _Ref223540791 \n \h  \* MERGEFORMAT</w:instrText>
      </w:r>
      <w:r>
        <w:rPr>
          <w:rFonts w:ascii="仿宋_GB2312" w:hAnsi="仿宋_GB2312" w:eastAsia="仿宋_GB2312" w:cs="仿宋_GB2312"/>
          <w:sz w:val="32"/>
          <w:szCs w:val="32"/>
          <w:vertAlign w:val="superscript"/>
        </w:rPr>
        <w:fldChar w:fldCharType="separate"/>
      </w:r>
      <w:r>
        <w:rPr>
          <w:rFonts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vertAlign w:val="superscript"/>
        </w:rPr>
        <w:t>3</w:t>
      </w:r>
      <w:r>
        <w:rPr>
          <w:rFonts w:ascii="仿宋_GB2312" w:hAnsi="仿宋_GB2312" w:eastAsia="仿宋_GB2312" w:cs="仿宋_GB2312"/>
          <w:sz w:val="32"/>
          <w:szCs w:val="32"/>
          <w:vertAlign w:val="superscript"/>
        </w:rPr>
        <w:t>]</w:t>
      </w:r>
      <w:r>
        <w:rPr>
          <w:rFonts w:ascii="仿宋_GB2312" w:hAnsi="仿宋_GB2312" w:eastAsia="仿宋_GB2312" w:cs="仿宋_GB2312"/>
          <w:sz w:val="32"/>
          <w:szCs w:val="32"/>
          <w:vertAlign w:val="superscript"/>
        </w:rPr>
        <w:fldChar w:fldCharType="end"/>
      </w:r>
      <w:bookmarkEnd w:id="329"/>
      <w:r>
        <w:rPr>
          <w:rFonts w:ascii="仿宋_GB2312" w:hAnsi="仿宋_GB2312" w:eastAsia="仿宋_GB2312" w:cs="仿宋_GB2312"/>
          <w:sz w:val="32"/>
          <w:szCs w:val="32"/>
        </w:rPr>
        <w:t>奠定基础。</w:t>
      </w:r>
    </w:p>
    <w:p w14:paraId="61A49EA6">
      <w:pPr>
        <w:pStyle w:val="2"/>
      </w:pPr>
    </w:p>
    <w:p w14:paraId="03672FBC">
      <w:pPr>
        <w:pStyle w:val="2"/>
      </w:pPr>
    </w:p>
    <w:p w14:paraId="289EE237">
      <w:pPr>
        <w:pStyle w:val="2"/>
      </w:pPr>
    </w:p>
    <w:p w14:paraId="7259242E">
      <w:pPr>
        <w:pStyle w:val="2"/>
      </w:pPr>
    </w:p>
    <w:p w14:paraId="60CDEE7F">
      <w:pPr>
        <w:pStyle w:val="2"/>
      </w:pPr>
    </w:p>
    <w:tbl>
      <w:tblPr>
        <w:tblStyle w:val="26"/>
        <w:tblW w:w="88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23"/>
      </w:tblGrid>
      <w:tr w14:paraId="50AC3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823" w:type="dxa"/>
            <w:tcBorders>
              <w:top w:val="single" w:color="000000" w:sz="4" w:space="0"/>
              <w:left w:val="single" w:color="000000" w:sz="4" w:space="0"/>
              <w:bottom w:val="single" w:color="000000" w:sz="4" w:space="0"/>
              <w:right w:val="single" w:color="000000" w:sz="4" w:space="0"/>
            </w:tcBorders>
            <w:vAlign w:val="center"/>
          </w:tcPr>
          <w:p w14:paraId="57436CA8">
            <w:pPr>
              <w:pStyle w:val="46"/>
              <w:spacing w:line="600" w:lineRule="exact"/>
              <w:ind w:left="11"/>
              <w:rPr>
                <w:rFonts w:ascii="Times New Roman" w:hAnsi="Times New Roman" w:eastAsia="方正仿宋_GB2312"/>
                <w:lang w:bidi="ar"/>
              </w:rPr>
            </w:pPr>
            <w:r>
              <w:rPr>
                <w:rFonts w:ascii="Times New Roman" w:hAnsi="Times New Roman"/>
                <w:lang w:bidi="ar"/>
              </w:rPr>
              <w:t>专栏</w:t>
            </w:r>
            <w:r>
              <w:rPr>
                <w:rFonts w:hint="eastAsia" w:ascii="Times New Roman" w:hAnsi="Times New Roman"/>
                <w:lang w:val="en-US" w:eastAsia="zh-CN" w:bidi="ar"/>
              </w:rPr>
              <w:t>9</w:t>
            </w:r>
            <w:r>
              <w:rPr>
                <w:rFonts w:ascii="Times New Roman" w:hAnsi="Times New Roman"/>
                <w:lang w:bidi="ar"/>
              </w:rPr>
              <w:t xml:space="preserve"> </w:t>
            </w:r>
            <w:r>
              <w:rPr>
                <w:rFonts w:hint="eastAsia" w:ascii="Times New Roman" w:hAnsi="Times New Roman"/>
                <w:lang w:bidi="ar"/>
              </w:rPr>
              <w:t xml:space="preserve"> 碳达峰试点园区重点项目</w:t>
            </w:r>
          </w:p>
        </w:tc>
      </w:tr>
      <w:tr w14:paraId="6F7C2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jc w:val="center"/>
        </w:trPr>
        <w:tc>
          <w:tcPr>
            <w:tcW w:w="8823" w:type="dxa"/>
            <w:tcBorders>
              <w:top w:val="single" w:color="000000" w:sz="4" w:space="0"/>
              <w:left w:val="single" w:color="000000" w:sz="4" w:space="0"/>
              <w:bottom w:val="single" w:color="000000" w:sz="4" w:space="0"/>
              <w:right w:val="single" w:color="000000" w:sz="4" w:space="0"/>
            </w:tcBorders>
          </w:tcPr>
          <w:p w14:paraId="7B185BFC">
            <w:pPr>
              <w:pStyle w:val="47"/>
              <w:widowControl/>
              <w:shd w:val="clear" w:color="auto" w:fill="FFFFFF"/>
              <w:tabs>
                <w:tab w:val="left" w:pos="526"/>
              </w:tabs>
              <w:spacing w:line="600" w:lineRule="exact"/>
              <w:ind w:left="210" w:right="210" w:firstLine="482"/>
              <w:rPr>
                <w:rFonts w:ascii="宋体" w:hAnsi="宋体" w:eastAsia="宋体" w:cs="宋体"/>
                <w:lang w:bidi="ar"/>
              </w:rPr>
            </w:pPr>
            <w:r>
              <w:rPr>
                <w:rFonts w:hint="eastAsia" w:ascii="宋体" w:hAnsi="宋体" w:eastAsia="宋体" w:cs="宋体"/>
                <w:b/>
                <w:lang w:bidi="ar"/>
              </w:rPr>
              <w:t>长治高新区碳达峰智慧管理平台建设项目：</w:t>
            </w:r>
            <w:r>
              <w:rPr>
                <w:rFonts w:hint="eastAsia" w:ascii="宋体" w:hAnsi="宋体" w:eastAsia="宋体" w:cs="宋体"/>
                <w:lang w:bidi="ar"/>
              </w:rPr>
              <w:t>项目支撑长治高新区国家碳达峰试点园区建设，积极推进“源网荷储”各要素统筹管理与高效协同，建设长治高新区面向碳达峰碳中和的智慧管理暨源网荷储一体化平台，建设面向电力削峰填谷交易的需求侧可调节资源聚合调控平台，为高新区工商业企业建设企业综合能源管理系统，面向企业总负荷和可调负荷、分散式风电、分布式光伏、分布式储能、充换电站等源荷储充单元安装数据采集终端，接入高新区平台构建能碳大数据底座，打造区域源网荷储一体化生态，创新用能碳排运营管理体系。</w:t>
            </w:r>
          </w:p>
          <w:p w14:paraId="708DBB72">
            <w:pPr>
              <w:pStyle w:val="47"/>
              <w:widowControl/>
              <w:shd w:val="clear" w:color="auto" w:fill="FFFFFF"/>
              <w:tabs>
                <w:tab w:val="left" w:pos="526"/>
              </w:tabs>
              <w:spacing w:line="600" w:lineRule="exact"/>
              <w:ind w:left="210" w:right="210" w:firstLine="482"/>
              <w:rPr>
                <w:rFonts w:ascii="宋体" w:hAnsi="宋体" w:eastAsia="宋体" w:cs="宋体"/>
                <w:lang w:bidi="ar"/>
              </w:rPr>
            </w:pPr>
            <w:r>
              <w:rPr>
                <w:rFonts w:hint="eastAsia" w:ascii="宋体" w:hAnsi="宋体" w:eastAsia="宋体" w:cs="宋体"/>
                <w:b/>
                <w:bCs w:val="0"/>
                <w:lang w:bidi="ar"/>
              </w:rPr>
              <w:t>长治市智慧能碳源网荷储一体化平台建设项目：</w:t>
            </w:r>
            <w:r>
              <w:rPr>
                <w:rFonts w:hint="eastAsia" w:ascii="宋体" w:hAnsi="宋体" w:eastAsia="宋体" w:cs="宋体"/>
                <w:lang w:bidi="ar"/>
              </w:rPr>
              <w:t>项目支撑长治市用户侧能源互联网建设，通过安装非侵入式数据采集终端与数据网关，打造覆盖全市的能碳大数据底座，建设“市级区县级-企业级”三级能源互联网平台。</w:t>
            </w:r>
          </w:p>
          <w:p w14:paraId="085CE9A5">
            <w:pPr>
              <w:pStyle w:val="47"/>
              <w:widowControl/>
              <w:shd w:val="clear" w:color="auto" w:fill="FFFFFF"/>
              <w:tabs>
                <w:tab w:val="left" w:pos="526"/>
              </w:tabs>
              <w:spacing w:line="600" w:lineRule="exact"/>
              <w:ind w:left="210" w:right="210" w:firstLine="482"/>
              <w:rPr>
                <w:rFonts w:ascii="Times New Roman" w:hAnsi="Times New Roman"/>
                <w:bCs w:val="0"/>
                <w:lang w:bidi="ar"/>
              </w:rPr>
            </w:pPr>
            <w:r>
              <w:rPr>
                <w:rFonts w:hint="eastAsia" w:ascii="宋体" w:hAnsi="宋体" w:eastAsia="宋体" w:cs="宋体"/>
                <w:b/>
                <w:lang w:bidi="ar"/>
              </w:rPr>
              <w:t>长治市零碳物流重卡光储充换一体站项目：</w:t>
            </w:r>
            <w:r>
              <w:rPr>
                <w:rFonts w:hint="eastAsia" w:ascii="宋体" w:hAnsi="宋体" w:eastAsia="宋体" w:cs="宋体"/>
                <w:lang w:bidi="ar"/>
              </w:rPr>
              <w:t>建设充换电站20座，其中光储充换一体母站6座，充换一体站14座。</w:t>
            </w:r>
          </w:p>
        </w:tc>
      </w:tr>
    </w:tbl>
    <w:p w14:paraId="0825CA2A">
      <w:pPr>
        <w:pStyle w:val="4"/>
        <w:keepNext/>
        <w:keepLines/>
        <w:adjustRightInd w:val="0"/>
        <w:snapToGrid w:val="0"/>
        <w:spacing w:line="600" w:lineRule="exact"/>
        <w:ind w:firstLine="640" w:firstLineChars="200"/>
      </w:pPr>
      <w:bookmarkStart w:id="217" w:name="_Toc21415"/>
      <w:bookmarkStart w:id="218" w:name="_Toc28334"/>
      <w:bookmarkStart w:id="219" w:name="_Toc28310"/>
      <w:bookmarkStart w:id="220" w:name="_Toc2578"/>
      <w:bookmarkStart w:id="221" w:name="_Toc25433"/>
      <w:bookmarkStart w:id="222" w:name="_Toc16160"/>
      <w:bookmarkStart w:id="223" w:name="_Toc223176554"/>
    </w:p>
    <w:p w14:paraId="2CC963BB"/>
    <w:p w14:paraId="4503D8CC">
      <w:pPr>
        <w:pStyle w:val="4"/>
        <w:keepNext/>
        <w:keepLines/>
        <w:adjustRightInd w:val="0"/>
        <w:snapToGrid w:val="0"/>
        <w:spacing w:line="600" w:lineRule="exact"/>
        <w:ind w:firstLine="640" w:firstLineChars="200"/>
      </w:pPr>
      <w:bookmarkStart w:id="224" w:name="_Toc23211"/>
      <w:r>
        <w:rPr>
          <w:rFonts w:hint="eastAsia"/>
        </w:rPr>
        <w:t>第二节 高效率建设省级绿电园区</w:t>
      </w:r>
      <w:bookmarkEnd w:id="217"/>
      <w:bookmarkEnd w:id="218"/>
      <w:bookmarkEnd w:id="219"/>
      <w:bookmarkEnd w:id="220"/>
      <w:bookmarkEnd w:id="221"/>
      <w:bookmarkEnd w:id="222"/>
      <w:bookmarkEnd w:id="223"/>
      <w:bookmarkEnd w:id="224"/>
    </w:p>
    <w:p w14:paraId="3FA0D81C">
      <w:pPr>
        <w:pStyle w:val="43"/>
        <w:spacing w:before="0" w:after="0" w:line="600" w:lineRule="exact"/>
        <w:ind w:firstLine="640" w:firstLineChars="200"/>
        <w:rPr>
          <w:rFonts w:ascii="仿宋_GB2312" w:hAnsi="仿宋_GB2312" w:eastAsia="仿宋_GB2312" w:cs="仿宋_GB2312"/>
          <w:sz w:val="32"/>
          <w:szCs w:val="32"/>
          <w:lang w:bidi="ar"/>
        </w:rPr>
      </w:pPr>
    </w:p>
    <w:p w14:paraId="188F8763">
      <w:pPr>
        <w:spacing w:line="600" w:lineRule="exact"/>
        <w:ind w:firstLine="640" w:firstLineChars="200"/>
        <w:rPr>
          <w:rFonts w:ascii="仿宋_GB2312" w:hAnsi="仿宋_GB2312" w:eastAsia="仿宋_GB2312" w:cs="仿宋_GB2312"/>
          <w:kern w:val="2"/>
          <w:sz w:val="32"/>
          <w:szCs w:val="32"/>
        </w:rPr>
      </w:pPr>
      <w:r>
        <w:rPr>
          <w:rFonts w:ascii="仿宋_GB2312" w:hAnsi="仿宋_GB2312" w:eastAsia="仿宋_GB2312" w:cs="仿宋_GB2312"/>
          <w:sz w:val="32"/>
          <w:szCs w:val="32"/>
          <w:lang w:bidi="ar"/>
        </w:rPr>
        <w:t>坚持</w:t>
      </w: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发电、输电、用电、招商</w:t>
      </w: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全链条建设绿电园区，以翟店、漳泽两个园区为核心，采用</w:t>
      </w: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绿电专线+绿电专变+源网荷储一体化</w:t>
      </w: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的绿电直供创新方式，</w:t>
      </w:r>
      <w:r>
        <w:rPr>
          <w:rFonts w:hint="eastAsia" w:ascii="仿宋_GB2312" w:hAnsi="仿宋_GB2312" w:eastAsia="仿宋_GB2312" w:cs="仿宋_GB2312"/>
          <w:kern w:val="2"/>
          <w:sz w:val="32"/>
          <w:szCs w:val="32"/>
        </w:rPr>
        <w:t>推动绿色电力就地消纳与产业协同发展，</w:t>
      </w: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十五五</w:t>
      </w:r>
      <w:r>
        <w:rPr>
          <w:rFonts w:hint="eastAsia" w:ascii="仿宋_GB2312" w:hAnsi="仿宋_GB2312" w:eastAsia="仿宋_GB2312" w:cs="仿宋_GB2312"/>
          <w:sz w:val="32"/>
          <w:szCs w:val="32"/>
          <w:lang w:bidi="ar"/>
        </w:rPr>
        <w:t>”</w:t>
      </w:r>
      <w:r>
        <w:rPr>
          <w:rFonts w:ascii="仿宋_GB2312" w:hAnsi="仿宋_GB2312" w:eastAsia="仿宋_GB2312" w:cs="仿宋_GB2312"/>
          <w:sz w:val="32"/>
          <w:szCs w:val="32"/>
          <w:lang w:bidi="ar"/>
        </w:rPr>
        <w:t>期间努力打造可调、可控、可溯源的绿电园区，</w:t>
      </w:r>
      <w:r>
        <w:rPr>
          <w:rFonts w:hint="eastAsia" w:ascii="仿宋_GB2312" w:hAnsi="仿宋_GB2312" w:eastAsia="仿宋_GB2312" w:cs="仿宋_GB2312"/>
          <w:sz w:val="32"/>
          <w:szCs w:val="32"/>
          <w:lang w:bidi="ar"/>
        </w:rPr>
        <w:t>形成</w:t>
      </w:r>
      <w:r>
        <w:rPr>
          <w:rFonts w:hint="eastAsia" w:ascii="仿宋_GB2312" w:hAnsi="仿宋_GB2312" w:eastAsia="仿宋_GB2312" w:cs="仿宋_GB2312"/>
          <w:kern w:val="2"/>
          <w:sz w:val="32"/>
          <w:szCs w:val="32"/>
        </w:rPr>
        <w:t>“绿电+先进制造+低碳园区”的发展模式，</w:t>
      </w:r>
      <w:r>
        <w:rPr>
          <w:rFonts w:ascii="仿宋_GB2312" w:hAnsi="仿宋_GB2312" w:eastAsia="仿宋_GB2312" w:cs="仿宋_GB2312"/>
          <w:sz w:val="32"/>
          <w:szCs w:val="32"/>
          <w:lang w:bidi="ar"/>
        </w:rPr>
        <w:t>将绿电优势转化为招商优势、发展胜势。</w:t>
      </w:r>
    </w:p>
    <w:p w14:paraId="554992F1">
      <w:pPr>
        <w:pStyle w:val="43"/>
        <w:spacing w:before="0" w:after="0" w:line="600" w:lineRule="exact"/>
        <w:ind w:firstLine="643" w:firstLineChars="200"/>
        <w:jc w:val="both"/>
        <w:rPr>
          <w:rFonts w:ascii="仿宋_GB2312" w:hAnsi="仿宋_GB2312" w:eastAsia="仿宋_GB2312" w:cs="仿宋_GB2312"/>
          <w:sz w:val="32"/>
          <w:szCs w:val="32"/>
          <w:lang w:bidi="ar"/>
        </w:rPr>
      </w:pPr>
      <w:r>
        <w:rPr>
          <w:rFonts w:hint="eastAsia" w:ascii="仿宋_GB2312" w:hAnsi="仿宋_GB2312" w:eastAsia="仿宋_GB2312" w:cs="仿宋_GB2312"/>
          <w:b/>
          <w:bCs/>
          <w:sz w:val="32"/>
          <w:szCs w:val="32"/>
          <w:lang w:bidi="ar"/>
        </w:rPr>
        <w:t>全面建成一期绿电直连特瓦时正极材料项目</w:t>
      </w:r>
      <w:r>
        <w:rPr>
          <w:rFonts w:ascii="仿宋_GB2312" w:hAnsi="仿宋_GB2312" w:eastAsia="仿宋_GB2312" w:cs="仿宋_GB2312"/>
          <w:b/>
          <w:bCs/>
          <w:sz w:val="32"/>
          <w:szCs w:val="32"/>
          <w:lang w:bidi="ar"/>
        </w:rPr>
        <w:t>。</w:t>
      </w:r>
      <w:r>
        <w:rPr>
          <w:rFonts w:hint="eastAsia" w:ascii="仿宋_GB2312" w:hAnsi="仿宋_GB2312" w:eastAsia="仿宋_GB2312" w:cs="仿宋_GB2312"/>
          <w:sz w:val="32"/>
          <w:szCs w:val="32"/>
          <w:lang w:bidi="ar"/>
        </w:rPr>
        <w:t>建设分布式风光新能源38MW直供特瓦时企业。其中特瓦时屋顶分布式光伏13兆瓦、通过平顺远距离输送风电25兆瓦。在分布式光伏已建成发电基础上，2026年全面建成25兆瓦风电项目，一期绿电园区项目年均有效产生可认证、可追溯绿电6200万度，每年为企业节省费用600余万元，减排二氧化碳4.5万吨。</w:t>
      </w:r>
      <w:r>
        <w:rPr>
          <w:rFonts w:hint="eastAsia" w:ascii="仿宋_GB2312" w:hAnsi="仿宋_GB2312" w:eastAsia="仿宋_GB2312" w:cs="仿宋_GB2312"/>
          <w:color w:val="0F1115"/>
          <w:sz w:val="32"/>
          <w:szCs w:val="32"/>
          <w:shd w:val="clear" w:color="auto" w:fill="FFFFFF"/>
        </w:rPr>
        <w:t>在确保特瓦时项目绿电专供、形成示范的基础上，将“物理直连”升级为“价值认证”，对接国际权威机构开展</w:t>
      </w:r>
      <w:r>
        <w:rPr>
          <w:rStyle w:val="29"/>
          <w:rFonts w:hint="eastAsia" w:ascii="仿宋_GB2312" w:hAnsi="仿宋_GB2312" w:eastAsia="仿宋_GB2312" w:cs="仿宋_GB2312"/>
          <w:b w:val="0"/>
          <w:color w:val="0F1115"/>
          <w:sz w:val="32"/>
          <w:szCs w:val="32"/>
          <w:shd w:val="clear" w:color="auto" w:fill="FFFFFF"/>
        </w:rPr>
        <w:t>“绿色电力消费凭证”或碳足迹核算报告，吸引对</w:t>
      </w:r>
      <w:r>
        <w:rPr>
          <w:rFonts w:hint="eastAsia" w:ascii="仿宋_GB2312" w:hAnsi="仿宋_GB2312" w:eastAsia="仿宋_GB2312" w:cs="仿宋_GB2312"/>
          <w:color w:val="0F1115"/>
          <w:sz w:val="32"/>
          <w:szCs w:val="32"/>
          <w:shd w:val="clear" w:color="auto" w:fill="FFFFFF"/>
        </w:rPr>
        <w:t>欧盟出口碳关税（CBAM）敏感的下游电池、储能、新能源汽车部件等制造企业入驻，打造从“绿色材料”到“绿色产品”的认证闭环，将“绿色身</w:t>
      </w:r>
      <w:r>
        <w:rPr>
          <w:rFonts w:hint="eastAsia" w:ascii="仿宋_GB2312" w:hAnsi="微软雅黑" w:eastAsia="仿宋_GB2312" w:cs="微软雅黑"/>
          <w:color w:val="0F1115"/>
          <w:sz w:val="32"/>
          <w:szCs w:val="32"/>
          <w:shd w:val="clear" w:color="auto" w:fill="FFFFFF"/>
        </w:rPr>
        <w:t>份</w:t>
      </w:r>
      <w:r>
        <w:rPr>
          <w:rFonts w:hint="eastAsia" w:ascii="仿宋_GB2312" w:hAnsi="仿宋_GB2312" w:eastAsia="仿宋_GB2312" w:cs="仿宋_GB2312"/>
          <w:color w:val="0F1115"/>
          <w:sz w:val="32"/>
          <w:szCs w:val="32"/>
          <w:shd w:val="clear" w:color="auto" w:fill="FFFFFF"/>
        </w:rPr>
        <w:t>”标识作为园区核心竞争力，推动园区由单一的电价“成本洼地”向“价值高地”转变。</w:t>
      </w:r>
    </w:p>
    <w:p w14:paraId="02970750">
      <w:pPr>
        <w:spacing w:line="6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规模化建成二期绿电项目。</w:t>
      </w:r>
      <w:r>
        <w:rPr>
          <w:rFonts w:hint="eastAsia" w:ascii="仿宋_GB2312" w:hAnsi="仿宋_GB2312" w:eastAsia="仿宋_GB2312" w:cs="仿宋_GB2312"/>
          <w:sz w:val="32"/>
          <w:szCs w:val="32"/>
        </w:rPr>
        <w:t>坚持源荷匹配思路，</w:t>
      </w:r>
      <w:r>
        <w:rPr>
          <w:rFonts w:hint="eastAsia" w:ascii="仿宋_GB2312" w:hAnsi="仿宋_GB2312" w:eastAsia="仿宋_GB2312" w:cs="仿宋_GB2312"/>
          <w:sz w:val="32"/>
          <w:szCs w:val="32"/>
          <w:lang w:bidi="ar"/>
        </w:rPr>
        <w:t>二期在一期成功经验基础上全面升级，总投资50多亿元，规划建设总装机容量1000兆瓦，打造以平顺县为主的绿电供应基地。</w:t>
      </w:r>
      <w:r>
        <w:rPr>
          <w:rFonts w:hint="eastAsia" w:ascii="仿宋_GB2312" w:hAnsi="仿宋_GB2312" w:eastAsia="仿宋_GB2312" w:cs="仿宋_GB2312"/>
          <w:b/>
          <w:bCs/>
          <w:sz w:val="32"/>
          <w:szCs w:val="32"/>
        </w:rPr>
        <w:t>源端建设上</w:t>
      </w:r>
      <w:r>
        <w:rPr>
          <w:rFonts w:hint="eastAsia" w:ascii="仿宋_GB2312" w:hAnsi="仿宋_GB2312" w:eastAsia="仿宋_GB2312" w:cs="仿宋_GB2312"/>
          <w:sz w:val="32"/>
          <w:szCs w:val="32"/>
        </w:rPr>
        <w:t>，在平顺县分批实施1000兆瓦风电和集中式光伏项目，协调将在建风电、光伏项目通过直连方式接入高新区绿电园区，努力实现年供应绿电20亿度，到户电价0.4元以下，有效满足园区企业和招商引资企业绿电所需，</w:t>
      </w:r>
      <w:r>
        <w:rPr>
          <w:rFonts w:hint="eastAsia" w:ascii="仿宋_GB2312" w:hAnsi="仿宋_GB2312" w:eastAsia="仿宋_GB2312" w:cs="仿宋_GB2312"/>
          <w:sz w:val="32"/>
          <w:szCs w:val="32"/>
          <w:lang w:bidi="ar"/>
        </w:rPr>
        <w:t>园区绿电占比达到50%以上。</w:t>
      </w:r>
      <w:r>
        <w:rPr>
          <w:rFonts w:hint="eastAsia" w:ascii="仿宋_GB2312" w:hAnsi="仿宋_GB2312" w:eastAsia="仿宋_GB2312" w:cs="仿宋_GB2312"/>
          <w:b/>
          <w:bCs/>
          <w:sz w:val="32"/>
          <w:szCs w:val="32"/>
        </w:rPr>
        <w:t>负荷端建设上</w:t>
      </w:r>
      <w:r>
        <w:rPr>
          <w:rFonts w:hint="eastAsia" w:ascii="仿宋_GB2312" w:hAnsi="仿宋_GB2312" w:eastAsia="仿宋_GB2312" w:cs="仿宋_GB2312"/>
          <w:sz w:val="32"/>
          <w:szCs w:val="32"/>
        </w:rPr>
        <w:t>，加快特瓦时一期磷酸锰铁锂项目达产放量，促进特瓦时固态电池、晨烯负极材料、协诚200MW/400MWh新型储能等一批高载能项目建成投产，年新增用电4亿度以上，有效保证绿电消纳。同时，开展绿电招商，招引绿色智算、新能源装备制造、储能电站等高载能、低污染、出口型项目落地，凸显绿电园区试点建设优势。</w:t>
      </w:r>
    </w:p>
    <w:p w14:paraId="770040C8">
      <w:pPr>
        <w:spacing w:line="6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提升绿电园区运营能力。</w:t>
      </w:r>
      <w:r>
        <w:rPr>
          <w:rFonts w:hint="eastAsia" w:ascii="仿宋_GB2312" w:hAnsi="仿宋_GB2312" w:eastAsia="仿宋_GB2312" w:cs="仿宋_GB2312"/>
          <w:sz w:val="32"/>
          <w:szCs w:val="32"/>
        </w:rPr>
        <w:t>由区属国企为投资主体，整合全区电力资产，规划建设绿电园区增量配电网或微电网，对外统一接入绿电资源，对内通过优化配电系统设施、增建屋顶光伏、科学配套储能设施、优化负荷调节能力、构建智能微电网一体化调控系统等方式，构建具备灵活调节能力、高比例绿电消纳能力的绿电网络，为高新区绿电园区的规模化应用提供支撑</w:t>
      </w: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rPr>
        <w:t>实现绿电高效消纳与调度。到“十五五”末全区绿电园区全面建成，形成可复制推广的绿电园区示范模式。</w:t>
      </w:r>
    </w:p>
    <w:p w14:paraId="5FC225C1">
      <w:pPr>
        <w:spacing w:line="600" w:lineRule="exact"/>
      </w:pPr>
      <w:bookmarkStart w:id="225" w:name="_Toc24104"/>
    </w:p>
    <w:p w14:paraId="362F39A7">
      <w:pPr>
        <w:pStyle w:val="4"/>
        <w:keepNext/>
        <w:keepLines/>
        <w:adjustRightInd w:val="0"/>
        <w:snapToGrid w:val="0"/>
        <w:spacing w:line="600" w:lineRule="exact"/>
        <w:ind w:firstLine="640" w:firstLineChars="200"/>
      </w:pPr>
      <w:bookmarkStart w:id="226" w:name="_Toc3663"/>
      <w:bookmarkStart w:id="227" w:name="_Toc23226"/>
      <w:bookmarkStart w:id="228" w:name="_Toc30982"/>
      <w:bookmarkStart w:id="229" w:name="_Toc32473"/>
      <w:bookmarkStart w:id="230" w:name="_Toc29226"/>
      <w:bookmarkStart w:id="231" w:name="_Toc223176555"/>
      <w:bookmarkStart w:id="232" w:name="_Toc1167"/>
      <w:r>
        <w:rPr>
          <w:rFonts w:hint="eastAsia"/>
        </w:rPr>
        <w:t>第三节 全方位加强环境治理</w:t>
      </w:r>
      <w:bookmarkEnd w:id="225"/>
      <w:bookmarkEnd w:id="226"/>
      <w:bookmarkEnd w:id="227"/>
      <w:bookmarkEnd w:id="228"/>
      <w:bookmarkEnd w:id="229"/>
      <w:bookmarkEnd w:id="230"/>
      <w:bookmarkEnd w:id="231"/>
      <w:bookmarkEnd w:id="232"/>
    </w:p>
    <w:p w14:paraId="4CC37BA8">
      <w:pPr>
        <w:keepNext/>
        <w:keepLines/>
        <w:autoSpaceDE w:val="0"/>
        <w:autoSpaceDN w:val="0"/>
        <w:adjustRightInd w:val="0"/>
        <w:snapToGrid w:val="0"/>
        <w:spacing w:line="600" w:lineRule="exact"/>
        <w:ind w:left="420" w:leftChars="200"/>
        <w:rPr>
          <w:rFonts w:ascii="楷体" w:hAnsi="楷体" w:eastAsia="楷体" w:cs="楷体"/>
          <w:szCs w:val="32"/>
        </w:rPr>
      </w:pPr>
    </w:p>
    <w:p w14:paraId="026BBA85">
      <w:pPr>
        <w:pStyle w:val="43"/>
        <w:spacing w:before="0" w:after="0" w:line="60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坚持“源头防控、过程管控、末端治理、协同增效”原则，统筹污染物治理、生态保护修复与环保产业发展，全面提升环境治理体系和治理能力现代化水平，打造天蓝、水清、土净、景美的生态园区。</w:t>
      </w:r>
    </w:p>
    <w:p w14:paraId="79DF35AA">
      <w:pPr>
        <w:pStyle w:val="43"/>
        <w:spacing w:before="0" w:after="0" w:line="60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bCs/>
          <w:sz w:val="32"/>
          <w:szCs w:val="32"/>
        </w:rPr>
        <w:t>实现生态环境智能化监管。</w:t>
      </w:r>
      <w:r>
        <w:rPr>
          <w:rFonts w:hint="eastAsia" w:ascii="仿宋_GB2312" w:hAnsi="仿宋_GB2312" w:eastAsia="仿宋_GB2312" w:cs="仿宋_GB2312"/>
          <w:sz w:val="32"/>
          <w:szCs w:val="32"/>
        </w:rPr>
        <w:t>以“数字赋能、精准治污、智慧监管”为核心，在四个园区全方位布设微型空气监测站和扬尘在线监测系统，实现大气治理智能化；建设全链条溯源与动态管控网络，形成“工业废水-污水处理厂-地表水体”监测体系，建立危险废物“产生-贮存-转移-处置”全生命周期信息化监管系统，构建“天地一体、上下协同、全域覆盖”的生态环境智能化管控体系，实现从被动响应向主动预判、粗放监管向精准溯源的转型，全面提升工业园区生态环境治理现代化水平。</w:t>
      </w:r>
    </w:p>
    <w:p w14:paraId="031AA131">
      <w:pPr>
        <w:spacing w:line="6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集中治理污染物。</w:t>
      </w:r>
      <w:r>
        <w:rPr>
          <w:rFonts w:ascii="仿宋_GB2312" w:hAnsi="仿宋_GB2312" w:eastAsia="仿宋_GB2312" w:cs="仿宋_GB2312"/>
          <w:sz w:val="32"/>
          <w:szCs w:val="32"/>
        </w:rPr>
        <w:t>构建全链条污染防治体系，压实企业环保主体责任，加强工业废气、废水、固体废物综合治理。</w:t>
      </w:r>
      <w:r>
        <w:rPr>
          <w:rFonts w:hint="eastAsia" w:ascii="仿宋_GB2312" w:hAnsi="仿宋_GB2312" w:eastAsia="仿宋_GB2312" w:cs="仿宋_GB2312"/>
          <w:sz w:val="32"/>
          <w:szCs w:val="32"/>
        </w:rPr>
        <w:t>督促华润水泥完成超低排放改造，</w:t>
      </w:r>
      <w:r>
        <w:rPr>
          <w:rFonts w:ascii="仿宋_GB2312" w:hAnsi="仿宋_GB2312" w:eastAsia="仿宋_GB2312" w:cs="仿宋_GB2312"/>
          <w:sz w:val="32"/>
          <w:szCs w:val="32"/>
        </w:rPr>
        <w:t>漳泽、翟店污水处理厂升级改造，采用先进深度处理工艺，提升污水处理能力与再生水回用率。实施挥发性有机物（VOCs）综合治理专项行动，从源头推广低VOCs原辅材料，过程中采用密闭式生产设备与负压收集系统</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末端配套高效治理设施，实现VOCs排放总量下降。一般工业固废实现金属回收、餐厨堆肥等多元化利用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强化新污染物和重金属环境风险管控，建立全生命周期监管机制。规范危险废物</w:t>
      </w:r>
      <w:r>
        <w:rPr>
          <w:rFonts w:hint="eastAsia" w:ascii="仿宋_GB2312" w:hAnsi="仿宋_GB2312" w:eastAsia="仿宋_GB2312" w:cs="仿宋_GB2312"/>
          <w:sz w:val="32"/>
          <w:szCs w:val="32"/>
        </w:rPr>
        <w:t>“产生-贮存-转移-处置”</w:t>
      </w:r>
      <w:r>
        <w:rPr>
          <w:rFonts w:ascii="仿宋_GB2312" w:hAnsi="仿宋_GB2312" w:eastAsia="仿宋_GB2312" w:cs="仿宋_GB2312"/>
          <w:sz w:val="32"/>
          <w:szCs w:val="32"/>
        </w:rPr>
        <w:t>，建设标准化危险废物暂存库与</w:t>
      </w:r>
      <w:r>
        <w:rPr>
          <w:rFonts w:hint="eastAsia" w:ascii="仿宋_GB2312" w:hAnsi="仿宋_GB2312" w:eastAsia="仿宋_GB2312" w:cs="仿宋_GB2312"/>
          <w:sz w:val="32"/>
          <w:szCs w:val="32"/>
        </w:rPr>
        <w:t>转移</w:t>
      </w:r>
      <w:r>
        <w:rPr>
          <w:rFonts w:ascii="仿宋_GB2312" w:hAnsi="仿宋_GB2312" w:eastAsia="仿宋_GB2312" w:cs="仿宋_GB2312"/>
          <w:sz w:val="32"/>
          <w:szCs w:val="32"/>
        </w:rPr>
        <w:t>体系，引入资质齐全的处置企业，建立全过程追溯系统，实施“电子联单+</w:t>
      </w:r>
      <w:r>
        <w:rPr>
          <w:rFonts w:hint="eastAsia" w:ascii="仿宋_GB2312" w:hAnsi="仿宋_GB2312" w:eastAsia="仿宋_GB2312" w:cs="仿宋_GB2312"/>
          <w:sz w:val="32"/>
          <w:szCs w:val="32"/>
        </w:rPr>
        <w:t>轨迹追踪</w:t>
      </w:r>
      <w:r>
        <w:rPr>
          <w:rFonts w:ascii="仿宋_GB2312" w:hAnsi="仿宋_GB2312" w:eastAsia="仿宋_GB2312" w:cs="仿宋_GB2312"/>
          <w:sz w:val="32"/>
          <w:szCs w:val="32"/>
        </w:rPr>
        <w:t>”常态化监管，确保危险废物安全处置率</w:t>
      </w:r>
      <w:r>
        <w:rPr>
          <w:rFonts w:hint="eastAsia" w:ascii="仿宋_GB2312" w:hAnsi="仿宋_GB2312" w:eastAsia="仿宋_GB2312" w:cs="仿宋_GB2312"/>
          <w:sz w:val="32"/>
          <w:szCs w:val="32"/>
        </w:rPr>
        <w:t>达到</w:t>
      </w:r>
      <w:r>
        <w:rPr>
          <w:rFonts w:ascii="仿宋_GB2312" w:hAnsi="仿宋_GB2312" w:eastAsia="仿宋_GB2312" w:cs="仿宋_GB2312"/>
          <w:sz w:val="32"/>
          <w:szCs w:val="32"/>
        </w:rPr>
        <w:t>100%，有效防范环境风险。</w:t>
      </w:r>
    </w:p>
    <w:p w14:paraId="2FA68488">
      <w:pPr>
        <w:pStyle w:val="43"/>
        <w:spacing w:before="0" w:after="0" w:line="6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协同发展环保产业。</w:t>
      </w:r>
      <w:r>
        <w:rPr>
          <w:rFonts w:hint="eastAsia" w:ascii="仿宋_GB2312" w:hAnsi="仿宋_GB2312" w:eastAsia="仿宋_GB2312" w:cs="仿宋_GB2312"/>
          <w:sz w:val="32"/>
          <w:szCs w:val="32"/>
        </w:rPr>
        <w:t>聚焦大气治理、水处理、固废资源化利用等重点领域，培育专精特新“小巨人”企业，发展高效环保装备制造、环境监测仪器研发、环保工程服务等细分产业。支持企业参与国家重大环保技术装备攻关，建设环保产业研究院与中试基地，完善产学研协同创新机制，加速技术成果产业化。组建区域性环保产业联盟，推动环保技术研发、装备制造、工程服务、运营管理一体化发展。</w:t>
      </w:r>
    </w:p>
    <w:p w14:paraId="223723F0">
      <w:pPr>
        <w:pStyle w:val="43"/>
        <w:spacing w:before="0" w:after="0" w:line="60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bCs/>
          <w:sz w:val="32"/>
          <w:szCs w:val="32"/>
        </w:rPr>
        <w:t>提升绿化覆盖率。</w:t>
      </w:r>
      <w:r>
        <w:rPr>
          <w:rFonts w:hint="eastAsia" w:ascii="仿宋_GB2312" w:hAnsi="仿宋_GB2312" w:eastAsia="仿宋_GB2312" w:cs="仿宋_GB2312"/>
          <w:sz w:val="32"/>
          <w:szCs w:val="32"/>
        </w:rPr>
        <w:t>将绿色低碳理念深度融入园区国土空间规划，实施绿化提质增效工程，建设口袋公园、绿色廊道、生态湿地、防护绿地等多层次公共绿地体系。推动产业园区与城市生态空间深度融合，在产业集聚区周边规划建设宽度不低于50米的生态缓冲带，提升区域生态承载力与碳汇能力。实行绿化养护责任制，建立管护考核机制，打造“推窗见绿、步移景异”的生态宜居环境。</w:t>
      </w:r>
    </w:p>
    <w:p w14:paraId="386A6017">
      <w:pPr>
        <w:pStyle w:val="3"/>
        <w:widowControl/>
        <w:autoSpaceDE w:val="0"/>
        <w:autoSpaceDN w:val="0"/>
        <w:adjustRightInd w:val="0"/>
        <w:snapToGrid w:val="0"/>
        <w:spacing w:before="0" w:after="0" w:line="600" w:lineRule="exact"/>
        <w:rPr>
          <w:rFonts w:ascii="黑体" w:hAnsi="黑体" w:cs="黑体"/>
          <w:bCs w:val="0"/>
          <w:szCs w:val="32"/>
        </w:rPr>
      </w:pPr>
      <w:bookmarkStart w:id="233" w:name="_Toc11237"/>
      <w:bookmarkStart w:id="234" w:name="_Toc8967"/>
      <w:bookmarkStart w:id="235" w:name="_Toc16514"/>
      <w:bookmarkStart w:id="236" w:name="_Toc32003"/>
    </w:p>
    <w:p w14:paraId="63F52B25">
      <w:pPr>
        <w:pStyle w:val="3"/>
        <w:widowControl/>
        <w:autoSpaceDE w:val="0"/>
        <w:autoSpaceDN w:val="0"/>
        <w:adjustRightInd w:val="0"/>
        <w:snapToGrid w:val="0"/>
        <w:spacing w:before="0" w:after="0" w:line="600" w:lineRule="exact"/>
        <w:rPr>
          <w:rFonts w:ascii="黑体" w:hAnsi="黑体" w:cs="黑体"/>
          <w:bCs w:val="0"/>
          <w:szCs w:val="32"/>
        </w:rPr>
      </w:pPr>
      <w:bookmarkStart w:id="237" w:name="_Toc12582"/>
      <w:bookmarkStart w:id="238" w:name="_Toc223176556"/>
      <w:bookmarkStart w:id="239" w:name="_Toc31745"/>
      <w:bookmarkStart w:id="240" w:name="_Toc22480"/>
      <w:r>
        <w:rPr>
          <w:rFonts w:hint="eastAsia" w:ascii="黑体" w:hAnsi="黑体" w:cs="黑体"/>
          <w:bCs w:val="0"/>
          <w:szCs w:val="32"/>
        </w:rPr>
        <w:t>第七章 深化改革开放，</w:t>
      </w:r>
      <w:bookmarkEnd w:id="233"/>
      <w:bookmarkEnd w:id="234"/>
      <w:bookmarkEnd w:id="235"/>
      <w:bookmarkEnd w:id="236"/>
      <w:r>
        <w:rPr>
          <w:rFonts w:hint="eastAsia" w:ascii="黑体" w:hAnsi="黑体" w:cs="黑体"/>
          <w:bCs w:val="0"/>
          <w:szCs w:val="32"/>
        </w:rPr>
        <w:t>打造开放合作新高地</w:t>
      </w:r>
      <w:bookmarkEnd w:id="237"/>
      <w:bookmarkEnd w:id="238"/>
      <w:bookmarkEnd w:id="239"/>
      <w:bookmarkEnd w:id="240"/>
    </w:p>
    <w:p w14:paraId="4F850DA5">
      <w:pPr>
        <w:keepNext/>
        <w:keepLines/>
        <w:widowControl/>
        <w:autoSpaceDE w:val="0"/>
        <w:autoSpaceDN w:val="0"/>
        <w:adjustRightInd w:val="0"/>
        <w:snapToGrid w:val="0"/>
        <w:spacing w:line="600" w:lineRule="exact"/>
        <w:rPr>
          <w:rFonts w:eastAsia="仿宋_GB2312"/>
          <w:szCs w:val="32"/>
        </w:rPr>
      </w:pPr>
    </w:p>
    <w:p w14:paraId="3E695FAA">
      <w:pPr>
        <w:pStyle w:val="4"/>
        <w:keepNext/>
        <w:keepLines/>
        <w:adjustRightInd w:val="0"/>
        <w:snapToGrid w:val="0"/>
        <w:spacing w:line="600" w:lineRule="exact"/>
      </w:pPr>
      <w:bookmarkStart w:id="241" w:name="_Toc26309"/>
      <w:bookmarkStart w:id="242" w:name="_Toc32488"/>
      <w:bookmarkStart w:id="243" w:name="_Toc2627"/>
      <w:bookmarkStart w:id="244" w:name="_Toc223176557"/>
      <w:bookmarkStart w:id="245" w:name="_Toc7737"/>
      <w:bookmarkStart w:id="246" w:name="_Toc12966"/>
      <w:bookmarkStart w:id="247" w:name="_Toc14933"/>
      <w:bookmarkStart w:id="248" w:name="_Toc7281"/>
      <w:r>
        <w:rPr>
          <w:rFonts w:hint="eastAsia"/>
        </w:rPr>
        <w:t>第一节 深化重点领域改革</w:t>
      </w:r>
      <w:bookmarkEnd w:id="241"/>
      <w:bookmarkEnd w:id="242"/>
      <w:bookmarkEnd w:id="243"/>
      <w:bookmarkEnd w:id="244"/>
      <w:bookmarkEnd w:id="245"/>
      <w:bookmarkEnd w:id="246"/>
      <w:bookmarkEnd w:id="247"/>
      <w:bookmarkEnd w:id="248"/>
    </w:p>
    <w:p w14:paraId="6B87C5BC">
      <w:pPr>
        <w:widowControl/>
        <w:spacing w:line="600" w:lineRule="exact"/>
        <w:ind w:firstLine="640" w:firstLineChars="200"/>
        <w:jc w:val="left"/>
        <w:rPr>
          <w:rFonts w:ascii="仿宋_GB2312" w:hAnsi="仿宋_GB2312" w:eastAsia="仿宋_GB2312" w:cs="仿宋_GB2312"/>
          <w:snapToGrid w:val="0"/>
          <w:color w:val="000000"/>
          <w:sz w:val="32"/>
          <w:szCs w:val="32"/>
        </w:rPr>
      </w:pPr>
    </w:p>
    <w:p w14:paraId="52B9BA5A">
      <w:pPr>
        <w:widowControl/>
        <w:spacing w:line="600" w:lineRule="exact"/>
        <w:ind w:firstLine="640" w:firstLineChars="200"/>
        <w:jc w:val="left"/>
        <w:rPr>
          <w:rFonts w:ascii="仿宋_GB2312" w:hAnsi="仿宋_GB2312" w:eastAsia="仿宋_GB2312" w:cs="仿宋_GB2312"/>
          <w:snapToGrid w:val="0"/>
          <w:color w:val="000000"/>
          <w:sz w:val="32"/>
          <w:szCs w:val="32"/>
        </w:rPr>
      </w:pPr>
      <w:r>
        <w:rPr>
          <w:rFonts w:hint="eastAsia" w:ascii="仿宋_GB2312" w:hAnsi="仿宋_GB2312" w:eastAsia="仿宋_GB2312" w:cs="仿宋_GB2312"/>
          <w:snapToGrid w:val="0"/>
          <w:color w:val="000000"/>
          <w:sz w:val="32"/>
          <w:szCs w:val="32"/>
        </w:rPr>
        <w:t>坚持运用改革办法破解发展难题，聚焦体制机制障碍，推进深层次改革，打通制约全区高质量发展的卡点堵点，为发展增动力、激活力。</w:t>
      </w:r>
    </w:p>
    <w:p w14:paraId="3A2EEEAE">
      <w:pPr>
        <w:widowControl/>
        <w:pBdr>
          <w:bottom w:val="none" w:color="auto" w:sz="0" w:space="31"/>
        </w:pBdr>
        <w:adjustRightInd w:val="0"/>
        <w:snapToGrid w:val="0"/>
        <w:spacing w:line="600" w:lineRule="exact"/>
        <w:ind w:firstLine="643" w:firstLineChars="200"/>
        <w:rPr>
          <w:rFonts w:ascii="仿宋_GB2312" w:hAnsi="Segoe UI" w:eastAsia="仿宋_GB2312" w:cs="Segoe UI"/>
          <w:sz w:val="32"/>
          <w:szCs w:val="32"/>
          <w:shd w:val="clear" w:color="auto" w:fill="FFFFFF"/>
        </w:rPr>
      </w:pPr>
      <w:r>
        <w:rPr>
          <w:rFonts w:hint="eastAsia" w:ascii="仿宋_GB2312" w:hAnsi="仿宋_GB2312" w:eastAsia="仿宋_GB2312" w:cs="仿宋_GB2312"/>
          <w:b/>
          <w:bCs/>
          <w:sz w:val="32"/>
          <w:szCs w:val="32"/>
          <w:lang w:bidi="ar"/>
        </w:rPr>
        <w:t>深化管理体制改革。</w:t>
      </w:r>
      <w:r>
        <w:rPr>
          <w:rFonts w:hint="eastAsia" w:ascii="仿宋_GB2312" w:hAnsi="仿宋_GB2312" w:eastAsia="仿宋_GB2312" w:cs="仿宋_GB2312"/>
          <w:snapToGrid w:val="0"/>
          <w:color w:val="000000"/>
          <w:sz w:val="32"/>
          <w:szCs w:val="32"/>
        </w:rPr>
        <w:t>重点实施两方面管理体制改革。</w:t>
      </w:r>
      <w:r>
        <w:rPr>
          <w:rFonts w:hint="eastAsia" w:ascii="仿宋_GB2312" w:hAnsi="仿宋_GB2312" w:eastAsia="仿宋_GB2312" w:cs="仿宋_GB2312"/>
          <w:b/>
          <w:bCs/>
          <w:snapToGrid w:val="0"/>
          <w:color w:val="000000"/>
          <w:sz w:val="32"/>
          <w:szCs w:val="32"/>
        </w:rPr>
        <w:t>管委会层面，</w:t>
      </w:r>
      <w:r>
        <w:rPr>
          <w:rFonts w:ascii="仿宋_GB2312" w:hAnsi="Segoe UI" w:eastAsia="仿宋_GB2312" w:cs="Segoe UI"/>
          <w:bCs/>
          <w:sz w:val="32"/>
          <w:szCs w:val="32"/>
          <w:shd w:val="clear" w:color="auto" w:fill="FFFFFF"/>
        </w:rPr>
        <w:t>重构</w:t>
      </w:r>
      <w:r>
        <w:rPr>
          <w:rFonts w:hint="eastAsia" w:ascii="仿宋_GB2312" w:hAnsi="Segoe UI" w:eastAsia="仿宋_GB2312" w:cs="Segoe UI"/>
          <w:bCs/>
          <w:sz w:val="32"/>
          <w:szCs w:val="32"/>
          <w:shd w:val="clear" w:color="auto" w:fill="FFFFFF"/>
        </w:rPr>
        <w:t>工作</w:t>
      </w:r>
      <w:r>
        <w:rPr>
          <w:rFonts w:ascii="仿宋_GB2312" w:hAnsi="Segoe UI" w:eastAsia="仿宋_GB2312" w:cs="Segoe UI"/>
          <w:bCs/>
          <w:sz w:val="32"/>
          <w:szCs w:val="32"/>
          <w:shd w:val="clear" w:color="auto" w:fill="FFFFFF"/>
        </w:rPr>
        <w:t>管理体制。</w:t>
      </w:r>
      <w:r>
        <w:rPr>
          <w:rFonts w:hint="eastAsia" w:ascii="仿宋_GB2312" w:hAnsi="仿宋_GB2312" w:eastAsia="仿宋_GB2312" w:cs="仿宋_GB2312"/>
          <w:snapToGrid w:val="0"/>
          <w:color w:val="000000"/>
          <w:sz w:val="32"/>
          <w:szCs w:val="32"/>
        </w:rPr>
        <w:t>聚焦产业发展，优化组织架构，</w:t>
      </w:r>
      <w:r>
        <w:rPr>
          <w:rFonts w:hint="eastAsia" w:ascii="仿宋_GB2312" w:hAnsi="仿宋_GB2312" w:eastAsia="仿宋_GB2312" w:cs="仿宋_GB2312"/>
          <w:sz w:val="32"/>
          <w:szCs w:val="32"/>
        </w:rPr>
        <w:t>建立“一个主导产业、一名牵头领导、一个工作专班、一个园区承接”的产业推进新机制。进一步强化</w:t>
      </w:r>
      <w:r>
        <w:rPr>
          <w:rFonts w:ascii="仿宋_GB2312" w:hAnsi="Segoe UI" w:eastAsia="仿宋_GB2312" w:cs="Segoe UI"/>
          <w:sz w:val="32"/>
          <w:szCs w:val="32"/>
          <w:shd w:val="clear" w:color="auto" w:fill="FFFFFF"/>
        </w:rPr>
        <w:t>园区在产业发展中的核心地位</w:t>
      </w:r>
      <w:r>
        <w:rPr>
          <w:rFonts w:hint="eastAsia" w:ascii="仿宋_GB2312" w:hAnsi="仿宋_GB2312" w:eastAsia="仿宋_GB2312" w:cs="仿宋_GB2312"/>
          <w:sz w:val="32"/>
          <w:szCs w:val="32"/>
        </w:rPr>
        <w:t>，</w:t>
      </w:r>
      <w:r>
        <w:rPr>
          <w:rFonts w:ascii="仿宋_GB2312" w:hAnsi="Segoe UI" w:eastAsia="仿宋_GB2312" w:cs="Segoe UI"/>
          <w:sz w:val="32"/>
          <w:szCs w:val="32"/>
          <w:shd w:val="clear" w:color="auto" w:fill="FFFFFF"/>
        </w:rPr>
        <w:t>推动领导精力、部门资源、国企力量向园区集聚，形成一切围绕园区转、一切聚焦产业干的协同推进格局。</w:t>
      </w:r>
      <w:r>
        <w:rPr>
          <w:rFonts w:hint="eastAsia" w:ascii="仿宋_GB2312" w:hAnsi="Segoe UI" w:eastAsia="仿宋_GB2312" w:cs="Segoe UI"/>
          <w:sz w:val="32"/>
          <w:szCs w:val="32"/>
          <w:shd w:val="clear" w:color="auto" w:fill="FFFFFF"/>
        </w:rPr>
        <w:t>同时，</w:t>
      </w:r>
      <w:r>
        <w:rPr>
          <w:rFonts w:hint="eastAsia" w:ascii="仿宋_GB2312" w:hAnsi="Segoe UI" w:eastAsia="仿宋_GB2312" w:cs="Segoe UI"/>
          <w:bCs/>
          <w:sz w:val="32"/>
          <w:szCs w:val="32"/>
          <w:shd w:val="clear" w:color="auto" w:fill="FFFFFF"/>
        </w:rPr>
        <w:t>优化机构职能配置，推进政务服务数字化转型，整合政务数据资源，构建“一网通办、一网统管、一网协同”的智慧政务体系，</w:t>
      </w:r>
      <w:r>
        <w:rPr>
          <w:rFonts w:hint="eastAsia" w:ascii="仿宋_GB2312" w:hAnsi="Segoe UI" w:eastAsia="仿宋_GB2312" w:cs="Segoe UI"/>
          <w:sz w:val="32"/>
          <w:szCs w:val="32"/>
          <w:shd w:val="clear" w:color="auto" w:fill="FFFFFF"/>
        </w:rPr>
        <w:t>进一步强化</w:t>
      </w:r>
      <w:r>
        <w:rPr>
          <w:rFonts w:ascii="仿宋_GB2312" w:hAnsi="Segoe UI" w:eastAsia="仿宋_GB2312" w:cs="Segoe UI"/>
          <w:sz w:val="32"/>
          <w:szCs w:val="32"/>
          <w:shd w:val="clear" w:color="auto" w:fill="FFFFFF"/>
        </w:rPr>
        <w:t>统计</w:t>
      </w:r>
      <w:r>
        <w:rPr>
          <w:rFonts w:hint="eastAsia" w:ascii="仿宋_GB2312" w:hAnsi="Segoe UI" w:eastAsia="仿宋_GB2312" w:cs="Segoe UI"/>
          <w:sz w:val="32"/>
          <w:szCs w:val="32"/>
          <w:shd w:val="clear" w:color="auto" w:fill="FFFFFF"/>
        </w:rPr>
        <w:t>中心</w:t>
      </w:r>
      <w:r>
        <w:rPr>
          <w:rFonts w:ascii="仿宋_GB2312" w:hAnsi="Segoe UI" w:eastAsia="仿宋_GB2312" w:cs="Segoe UI"/>
          <w:sz w:val="32"/>
          <w:szCs w:val="32"/>
          <w:shd w:val="clear" w:color="auto" w:fill="FFFFFF"/>
        </w:rPr>
        <w:t>职能，</w:t>
      </w:r>
      <w:r>
        <w:rPr>
          <w:rFonts w:hint="eastAsia" w:ascii="仿宋_GB2312" w:hAnsi="Segoe UI" w:eastAsia="仿宋_GB2312" w:cs="Segoe UI"/>
          <w:sz w:val="32"/>
          <w:szCs w:val="32"/>
          <w:shd w:val="clear" w:color="auto" w:fill="FFFFFF"/>
        </w:rPr>
        <w:t>优化</w:t>
      </w:r>
      <w:r>
        <w:rPr>
          <w:rFonts w:ascii="仿宋_GB2312" w:hAnsi="Segoe UI" w:eastAsia="仿宋_GB2312" w:cs="Segoe UI"/>
          <w:sz w:val="32"/>
          <w:szCs w:val="32"/>
          <w:shd w:val="clear" w:color="auto" w:fill="FFFFFF"/>
        </w:rPr>
        <w:t>安全监管体系，深化</w:t>
      </w:r>
      <w:r>
        <w:rPr>
          <w:rFonts w:hint="eastAsia" w:ascii="仿宋_GB2312" w:hAnsi="Segoe UI" w:eastAsia="仿宋_GB2312" w:cs="Segoe UI"/>
          <w:sz w:val="32"/>
          <w:szCs w:val="32"/>
          <w:shd w:val="clear" w:color="auto" w:fill="FFFFFF"/>
        </w:rPr>
        <w:t>与属地的</w:t>
      </w:r>
      <w:r>
        <w:rPr>
          <w:rFonts w:ascii="仿宋_GB2312" w:hAnsi="Segoe UI" w:eastAsia="仿宋_GB2312" w:cs="Segoe UI"/>
          <w:sz w:val="32"/>
          <w:szCs w:val="32"/>
          <w:shd w:val="clear" w:color="auto" w:fill="FFFFFF"/>
        </w:rPr>
        <w:t>金融</w:t>
      </w:r>
      <w:r>
        <w:rPr>
          <w:rFonts w:hint="eastAsia" w:ascii="仿宋_GB2312" w:hAnsi="Segoe UI" w:eastAsia="仿宋_GB2312" w:cs="Segoe UI"/>
          <w:sz w:val="32"/>
          <w:szCs w:val="32"/>
          <w:shd w:val="clear" w:color="auto" w:fill="FFFFFF"/>
        </w:rPr>
        <w:t>工作</w:t>
      </w:r>
      <w:r>
        <w:rPr>
          <w:rFonts w:ascii="仿宋_GB2312" w:hAnsi="Segoe UI" w:eastAsia="仿宋_GB2312" w:cs="Segoe UI"/>
          <w:sz w:val="32"/>
          <w:szCs w:val="32"/>
          <w:shd w:val="clear" w:color="auto" w:fill="FFFFFF"/>
        </w:rPr>
        <w:t>协同，</w:t>
      </w:r>
      <w:r>
        <w:rPr>
          <w:rFonts w:hint="eastAsia" w:ascii="仿宋_GB2312" w:hAnsi="Segoe UI" w:eastAsia="仿宋_GB2312" w:cs="Segoe UI"/>
          <w:sz w:val="32"/>
          <w:szCs w:val="32"/>
          <w:shd w:val="clear" w:color="auto" w:fill="FFFFFF"/>
        </w:rPr>
        <w:t>争取设立数字经济专门机构，以数字政府建设赋能治理能力提升，</w:t>
      </w:r>
      <w:r>
        <w:rPr>
          <w:rFonts w:ascii="仿宋_GB2312" w:hAnsi="Segoe UI" w:eastAsia="仿宋_GB2312" w:cs="Segoe UI"/>
          <w:sz w:val="32"/>
          <w:szCs w:val="32"/>
          <w:shd w:val="clear" w:color="auto" w:fill="FFFFFF"/>
        </w:rPr>
        <w:t>全面夯实高新区高质量发展的体制机制保障。</w:t>
      </w:r>
      <w:r>
        <w:rPr>
          <w:rFonts w:hint="eastAsia" w:ascii="仿宋_GB2312" w:hAnsi="仿宋_GB2312" w:eastAsia="仿宋_GB2312" w:cs="仿宋_GB2312"/>
          <w:b/>
          <w:bCs/>
          <w:sz w:val="32"/>
          <w:szCs w:val="32"/>
        </w:rPr>
        <w:t>区属国有企业层面，</w:t>
      </w:r>
      <w:r>
        <w:rPr>
          <w:rFonts w:hint="eastAsia" w:ascii="仿宋_GB2312" w:hAnsi="Segoe UI" w:eastAsia="仿宋_GB2312" w:cs="Segoe UI"/>
          <w:b/>
          <w:sz w:val="32"/>
          <w:szCs w:val="32"/>
          <w:shd w:val="clear" w:color="auto" w:fill="FFFFFF"/>
        </w:rPr>
        <w:t>推进国企重组改革。</w:t>
      </w:r>
      <w:r>
        <w:rPr>
          <w:rFonts w:hint="eastAsia" w:ascii="仿宋_GB2312" w:hAnsi="Segoe UI" w:eastAsia="仿宋_GB2312" w:cs="Segoe UI"/>
          <w:color w:val="0F1115"/>
          <w:sz w:val="32"/>
          <w:szCs w:val="32"/>
          <w:shd w:val="clear" w:color="auto" w:fill="FFFFFF"/>
        </w:rPr>
        <w:t>针对高新区国有企业同质化发展严重、盈利能力不足、负债过重等问题，稳步实施国有企业战略性重组与专业化整合，制定《长治高新区国有企业改革重组工作方案》，</w:t>
      </w:r>
      <w:r>
        <w:rPr>
          <w:rFonts w:hint="eastAsia" w:ascii="仿宋_GB2312" w:eastAsia="仿宋_GB2312"/>
          <w:sz w:val="32"/>
          <w:szCs w:val="32"/>
        </w:rPr>
        <w:t>按“建设、运营、投资、供应链”四大功能板块重新定位，</w:t>
      </w:r>
      <w:r>
        <w:rPr>
          <w:rFonts w:hint="eastAsia" w:ascii="仿宋_GB2312" w:hAnsi="Segoe UI" w:eastAsia="仿宋_GB2312" w:cs="Segoe UI"/>
          <w:color w:val="0F1115"/>
          <w:sz w:val="32"/>
          <w:szCs w:val="32"/>
          <w:shd w:val="clear" w:color="auto" w:fill="FFFFFF"/>
        </w:rPr>
        <w:t>厘清公司主责，减少管理层级，</w:t>
      </w:r>
      <w:r>
        <w:rPr>
          <w:rFonts w:hint="eastAsia" w:ascii="仿宋_GB2312" w:eastAsia="仿宋_GB2312"/>
          <w:sz w:val="32"/>
          <w:szCs w:val="32"/>
        </w:rPr>
        <w:t>提升市场化、专业化服务能力，推动</w:t>
      </w:r>
      <w:r>
        <w:rPr>
          <w:rFonts w:hint="eastAsia" w:ascii="仿宋_GB2312" w:hAnsi="Segoe UI" w:eastAsia="仿宋_GB2312" w:cs="Segoe UI"/>
          <w:sz w:val="32"/>
          <w:szCs w:val="32"/>
          <w:shd w:val="clear" w:color="auto" w:fill="FFFFFF"/>
        </w:rPr>
        <w:t>实现自主经营、自负盈亏</w:t>
      </w:r>
      <w:r>
        <w:rPr>
          <w:rFonts w:ascii="仿宋_GB2312" w:hAnsi="Segoe UI" w:eastAsia="仿宋_GB2312" w:cs="Segoe UI"/>
          <w:sz w:val="32"/>
          <w:szCs w:val="32"/>
          <w:shd w:val="clear" w:color="auto" w:fill="FFFFFF"/>
        </w:rPr>
        <w:t>。</w:t>
      </w:r>
      <w:r>
        <w:rPr>
          <w:rFonts w:hint="eastAsia" w:ascii="仿宋_GB2312" w:hAnsi="Segoe UI" w:eastAsia="仿宋_GB2312" w:cs="Segoe UI"/>
          <w:sz w:val="32"/>
          <w:szCs w:val="32"/>
          <w:shd w:val="clear" w:color="auto" w:fill="FFFFFF"/>
        </w:rPr>
        <w:t>逐步推动“管委会+平台公司”管运分离，强化管委会在战略规划、制度供给、营商环境建设等方面的治理职能，引导区属平台公司向专业园区运营主体转型，重点承担园区开发建设、资产运营、产业招商、项目服务等职能。同时，加强对区属国企“三重一大”决策监管，从严整改巡视、审计反馈的突出问题，促进区属国企高质量发展。</w:t>
      </w:r>
    </w:p>
    <w:p w14:paraId="358756D6">
      <w:pPr>
        <w:pBdr>
          <w:bottom w:val="none" w:color="auto" w:sz="0" w:space="31"/>
        </w:pBdr>
        <w:adjustRightInd w:val="0"/>
        <w:snapToGrid w:val="0"/>
        <w:spacing w:line="600" w:lineRule="exact"/>
        <w:ind w:firstLine="643" w:firstLineChars="200"/>
        <w:rPr>
          <w:rFonts w:ascii="仿宋_GB2312" w:hAnsi="Segoe UI" w:eastAsia="仿宋_GB2312" w:cs="Segoe UI"/>
          <w:b/>
          <w:bCs/>
          <w:color w:val="0F1115"/>
          <w:sz w:val="32"/>
          <w:szCs w:val="32"/>
          <w:shd w:val="clear" w:color="auto" w:fill="FFFFFF"/>
        </w:rPr>
      </w:pPr>
      <w:r>
        <w:rPr>
          <w:rFonts w:hint="eastAsia" w:ascii="仿宋_GB2312" w:hAnsi="仿宋_GB2312" w:eastAsia="仿宋_GB2312" w:cs="仿宋_GB2312"/>
          <w:b/>
          <w:bCs/>
          <w:snapToGrid w:val="0"/>
          <w:color w:val="000000"/>
          <w:sz w:val="32"/>
          <w:szCs w:val="32"/>
        </w:rPr>
        <w:t>深化生产要素改革。</w:t>
      </w:r>
      <w:r>
        <w:rPr>
          <w:rFonts w:hint="eastAsia" w:ascii="仿宋_GB2312" w:hAnsi="仿宋_GB2312" w:eastAsia="仿宋_GB2312" w:cs="仿宋_GB2312"/>
          <w:snapToGrid w:val="0"/>
          <w:color w:val="000000"/>
          <w:sz w:val="32"/>
          <w:szCs w:val="32"/>
        </w:rPr>
        <w:t>聚焦企业所需的厂房、土地、能源、资金、人才、技术、数据等生产要素，创新要素供给模式与激励机制，着力解决要素成本偏高的突出问题，提高要素保障能力，为产业高质量发展注入强劲动能。土地要素改革上，全面实行“标准地+弹性年限”出让机制，</w:t>
      </w:r>
      <w:r>
        <w:rPr>
          <w:rFonts w:hint="eastAsia" w:ascii="仿宋_GB2312" w:hAnsi="Segoe UI" w:eastAsia="仿宋_GB2312" w:cs="Segoe UI"/>
          <w:color w:val="0F1115"/>
          <w:sz w:val="32"/>
          <w:szCs w:val="32"/>
          <w:shd w:val="clear" w:color="auto" w:fill="FFFFFF"/>
        </w:rPr>
        <w:t>针对工业用地价格高的问题，按照《山西省工业用地弹性出让实施办法》，优先给予符合战新产业发展方向的项目20或30年的年期出让，降低工业用地成本。房租要素改革上，研究建立招商项目效益与房租的算账机制，既可降低企业房租成本，也可解决重点招商企业长期租金难收的历史问题。同时，针对企业用电、用气、用水等要素，推进绿电园区、工业蒸汽循环利用、给水厂等项目建设，有效降低要素成本。</w:t>
      </w:r>
    </w:p>
    <w:p w14:paraId="241B307A">
      <w:pPr>
        <w:pBdr>
          <w:bottom w:val="none" w:color="auto" w:sz="0" w:space="31"/>
        </w:pBdr>
        <w:adjustRightInd w:val="0"/>
        <w:snapToGrid w:val="0"/>
        <w:spacing w:line="600" w:lineRule="exact"/>
        <w:ind w:firstLine="643" w:firstLineChars="200"/>
        <w:rPr>
          <w:rFonts w:ascii="仿宋_GB2312" w:hAnsi="仿宋_GB2312" w:eastAsia="仿宋_GB2312" w:cs="仿宋_GB2312"/>
          <w:sz w:val="32"/>
          <w:szCs w:val="32"/>
          <w:lang w:bidi="ar"/>
        </w:rPr>
      </w:pPr>
      <w:r>
        <w:rPr>
          <w:rFonts w:hint="eastAsia" w:ascii="仿宋_GB2312" w:hAnsi="Segoe UI" w:eastAsia="仿宋_GB2312" w:cs="Segoe UI"/>
          <w:b/>
          <w:bCs/>
          <w:color w:val="0F1115"/>
          <w:sz w:val="32"/>
          <w:szCs w:val="32"/>
          <w:shd w:val="clear" w:color="auto" w:fill="FFFFFF"/>
        </w:rPr>
        <w:t>创新债务分类化解机制。</w:t>
      </w:r>
      <w:r>
        <w:rPr>
          <w:rFonts w:hint="eastAsia" w:ascii="仿宋_GB2312" w:hAnsi="仿宋_GB2312" w:eastAsia="仿宋_GB2312" w:cs="仿宋_GB2312"/>
          <w:color w:val="0F1115"/>
          <w:sz w:val="32"/>
          <w:szCs w:val="32"/>
          <w:lang w:bidi="ar"/>
        </w:rPr>
        <w:t>聚焦解决区属国有企业负债高的制约问题，要</w:t>
      </w:r>
      <w:r>
        <w:rPr>
          <w:rFonts w:hint="eastAsia" w:ascii="仿宋_GB2312" w:hAnsi="仿宋_GB2312" w:eastAsia="仿宋_GB2312" w:cs="仿宋_GB2312"/>
          <w:sz w:val="32"/>
          <w:szCs w:val="32"/>
          <w:lang w:bidi="ar"/>
        </w:rPr>
        <w:t>精准承接国家隐债置换政策，努力置换一定比例债务。要压降融资成本，通过银行贷款置换高息非标债务、扩大政府性融资担保覆盖面、降低担保费率、设定融资成本红线等举措，持续推动综合融资成本压降。要完善化债机制，施行债务“借用管还”闭环管理，推行“一户一策”精准治理，对高风险平台实施分类整合与融资职能剥离，为化解存量风险、优化债务结构提供坚实制度支撑。</w:t>
      </w:r>
    </w:p>
    <w:p w14:paraId="421F7EE7">
      <w:pPr>
        <w:widowControl/>
        <w:pBdr>
          <w:bottom w:val="none" w:color="auto" w:sz="0" w:space="31"/>
        </w:pBdr>
        <w:adjustRightInd w:val="0"/>
        <w:snapToGrid w:val="0"/>
        <w:spacing w:line="600" w:lineRule="exact"/>
        <w:ind w:firstLine="643" w:firstLineChars="200"/>
        <w:rPr>
          <w:rFonts w:ascii="仿宋_GB2312" w:hAnsi="仿宋_GB2312" w:eastAsia="仿宋_GB2312" w:cs="仿宋_GB2312"/>
          <w:snapToGrid w:val="0"/>
          <w:color w:val="000000"/>
          <w:sz w:val="32"/>
          <w:szCs w:val="32"/>
        </w:rPr>
      </w:pPr>
      <w:r>
        <w:rPr>
          <w:rFonts w:ascii="仿宋_GB2312" w:hAnsi="仿宋_GB2312" w:eastAsia="仿宋_GB2312" w:cs="仿宋_GB2312"/>
          <w:b/>
          <w:bCs/>
          <w:sz w:val="32"/>
          <w:szCs w:val="32"/>
          <w:lang w:bidi="ar"/>
        </w:rPr>
        <w:t>创新资产盘活机制</w:t>
      </w:r>
      <w:r>
        <w:rPr>
          <w:rFonts w:hint="eastAsia" w:ascii="仿宋_GB2312" w:hAnsi="仿宋_GB2312" w:eastAsia="仿宋_GB2312" w:cs="仿宋_GB2312"/>
          <w:b/>
          <w:bCs/>
          <w:sz w:val="32"/>
          <w:szCs w:val="32"/>
          <w:lang w:bidi="ar"/>
        </w:rPr>
        <w:t>。</w:t>
      </w:r>
      <w:r>
        <w:rPr>
          <w:rFonts w:hint="eastAsia" w:ascii="仿宋_GB2312" w:hAnsi="仿宋_GB2312" w:eastAsia="仿宋_GB2312" w:cs="仿宋_GB2312"/>
          <w:sz w:val="32"/>
          <w:szCs w:val="32"/>
          <w:lang w:bidi="ar"/>
        </w:rPr>
        <w:t>聚焦解决高新区资产闲置率高的突出问题，坚持</w:t>
      </w:r>
      <w:r>
        <w:rPr>
          <w:rFonts w:hint="eastAsia" w:ascii="仿宋_GB2312" w:hAnsi="Segoe UI" w:eastAsia="仿宋_GB2312" w:cs="Segoe UI"/>
          <w:color w:val="0F1115"/>
          <w:sz w:val="32"/>
          <w:szCs w:val="32"/>
          <w:shd w:val="clear" w:color="auto" w:fill="FFFFFF"/>
        </w:rPr>
        <w:t>“</w:t>
      </w:r>
      <w:r>
        <w:rPr>
          <w:rFonts w:ascii="仿宋_GB2312" w:hAnsi="Segoe UI" w:eastAsia="仿宋_GB2312" w:cs="Segoe UI"/>
          <w:color w:val="0F1115"/>
          <w:sz w:val="32"/>
          <w:szCs w:val="32"/>
          <w:shd w:val="clear" w:color="auto" w:fill="FFFFFF"/>
        </w:rPr>
        <w:t>盘活存量</w:t>
      </w:r>
      <w:r>
        <w:rPr>
          <w:rFonts w:hint="eastAsia" w:ascii="仿宋_GB2312" w:hAnsi="Segoe UI" w:eastAsia="仿宋_GB2312" w:cs="Segoe UI"/>
          <w:color w:val="0F1115"/>
          <w:sz w:val="32"/>
          <w:szCs w:val="32"/>
          <w:shd w:val="clear" w:color="auto" w:fill="FFFFFF"/>
        </w:rPr>
        <w:t>”</w:t>
      </w:r>
      <w:r>
        <w:rPr>
          <w:rFonts w:ascii="仿宋_GB2312" w:hAnsi="Segoe UI" w:eastAsia="仿宋_GB2312" w:cs="Segoe UI"/>
          <w:color w:val="0F1115"/>
          <w:sz w:val="32"/>
          <w:szCs w:val="32"/>
          <w:shd w:val="clear" w:color="auto" w:fill="FFFFFF"/>
        </w:rPr>
        <w:t>与</w:t>
      </w:r>
      <w:r>
        <w:rPr>
          <w:rFonts w:hint="eastAsia" w:ascii="仿宋_GB2312" w:hAnsi="Segoe UI" w:eastAsia="仿宋_GB2312" w:cs="Segoe UI"/>
          <w:color w:val="0F1115"/>
          <w:sz w:val="32"/>
          <w:szCs w:val="32"/>
          <w:shd w:val="clear" w:color="auto" w:fill="FFFFFF"/>
        </w:rPr>
        <w:t>“</w:t>
      </w:r>
      <w:r>
        <w:rPr>
          <w:rFonts w:ascii="仿宋_GB2312" w:hAnsi="Segoe UI" w:eastAsia="仿宋_GB2312" w:cs="Segoe UI"/>
          <w:color w:val="0F1115"/>
          <w:sz w:val="32"/>
          <w:szCs w:val="32"/>
          <w:shd w:val="clear" w:color="auto" w:fill="FFFFFF"/>
        </w:rPr>
        <w:t>引入增量</w:t>
      </w:r>
      <w:r>
        <w:rPr>
          <w:rFonts w:hint="eastAsia" w:ascii="仿宋_GB2312" w:hAnsi="Segoe UI" w:eastAsia="仿宋_GB2312" w:cs="Segoe UI"/>
          <w:color w:val="0F1115"/>
          <w:sz w:val="32"/>
          <w:szCs w:val="32"/>
          <w:shd w:val="clear" w:color="auto" w:fill="FFFFFF"/>
        </w:rPr>
        <w:t>”并重，</w:t>
      </w:r>
      <w:r>
        <w:rPr>
          <w:rFonts w:hint="eastAsia" w:ascii="仿宋_GB2312" w:hAnsi="仿宋_GB2312" w:eastAsia="仿宋_GB2312" w:cs="仿宋_GB2312"/>
          <w:sz w:val="32"/>
          <w:szCs w:val="32"/>
        </w:rPr>
        <w:t>制定出台盘活闲置资产工作办法，</w:t>
      </w:r>
      <w:r>
        <w:rPr>
          <w:rFonts w:hint="eastAsia" w:ascii="仿宋_GB2312" w:hAnsi="仿宋_GB2312" w:eastAsia="仿宋_GB2312" w:cs="仿宋_GB2312"/>
          <w:snapToGrid w:val="0"/>
          <w:color w:val="000000"/>
          <w:sz w:val="32"/>
          <w:szCs w:val="32"/>
        </w:rPr>
        <w:t>推动区属平台公司组建或引进专业的资产运营管理公司，对闲置的标准厂房、研发楼宇、商业设施实行“统一规划、统一招商、统一运营”，管委会对符合条件的、为高新区主导产业提供厂房租赁服务的各类主体可制定统一的、基于绩效的补贴或奖励办法</w:t>
      </w:r>
      <w:r>
        <w:rPr>
          <w:rFonts w:hint="eastAsia" w:ascii="仿宋_GB2312" w:hAnsi="仿宋_GB2312" w:eastAsia="仿宋_GB2312" w:cs="仿宋_GB2312"/>
          <w:snapToGrid w:val="0"/>
          <w:color w:val="000000"/>
          <w:sz w:val="32"/>
          <w:szCs w:val="32"/>
          <w:lang w:val="en-US" w:eastAsia="zh-CN"/>
        </w:rPr>
        <w:t>,</w:t>
      </w:r>
      <w:r>
        <w:rPr>
          <w:rFonts w:hint="eastAsia" w:ascii="仿宋_GB2312" w:hAnsi="仿宋_GB2312" w:eastAsia="仿宋_GB2312" w:cs="仿宋_GB2312"/>
          <w:snapToGrid w:val="0"/>
          <w:color w:val="000000"/>
          <w:sz w:val="32"/>
          <w:szCs w:val="32"/>
        </w:rPr>
        <w:t>对入驻企业回购厂房制定出台优惠政策，切实通过</w:t>
      </w:r>
      <w:r>
        <w:rPr>
          <w:rFonts w:hint="eastAsia" w:ascii="仿宋_GB2312" w:hAnsi="Segoe UI" w:eastAsia="仿宋_GB2312" w:cs="Segoe UI"/>
          <w:color w:val="0F1115"/>
          <w:sz w:val="32"/>
          <w:szCs w:val="32"/>
          <w:shd w:val="clear" w:color="auto" w:fill="FFFFFF"/>
        </w:rPr>
        <w:t>资产盘活的新机制，降低区属企业资产负债率，提高厂房入驻率。稳妥推进基础设施领域不动产投资信托基金（REITs）试点，探索将符合条件的标准厂房、研发楼宇、仓储物流等园区资产打包证券化，回收资金用于新项目建设和产业再投资，形成“投资—建设—运营—盘活—再投资”的可持续发展闭环。</w:t>
      </w:r>
    </w:p>
    <w:p w14:paraId="4D5441CD">
      <w:pPr>
        <w:pStyle w:val="4"/>
        <w:keepNext/>
        <w:keepLines/>
        <w:adjustRightInd w:val="0"/>
        <w:snapToGrid w:val="0"/>
        <w:spacing w:line="600" w:lineRule="exact"/>
      </w:pPr>
      <w:bookmarkStart w:id="249" w:name="_Toc2361"/>
      <w:bookmarkStart w:id="250" w:name="_Toc223176558"/>
      <w:bookmarkStart w:id="251" w:name="_Toc16011"/>
      <w:bookmarkStart w:id="252" w:name="_Toc621"/>
      <w:r>
        <w:rPr>
          <w:rFonts w:hint="eastAsia"/>
        </w:rPr>
        <w:t>第二节 打造一流营商环境</w:t>
      </w:r>
      <w:bookmarkEnd w:id="249"/>
      <w:bookmarkEnd w:id="250"/>
      <w:bookmarkEnd w:id="251"/>
      <w:bookmarkEnd w:id="252"/>
    </w:p>
    <w:p w14:paraId="346D462A">
      <w:pPr>
        <w:widowControl/>
        <w:pBdr>
          <w:bottom w:val="none" w:color="auto" w:sz="0" w:space="31"/>
        </w:pBdr>
        <w:spacing w:line="600" w:lineRule="exact"/>
        <w:jc w:val="center"/>
        <w:rPr>
          <w:rFonts w:ascii="楷体_GB2312" w:hAnsi="楷体_GB2312" w:eastAsia="楷体_GB2312" w:cs="楷体_GB2312"/>
          <w:sz w:val="32"/>
          <w:szCs w:val="32"/>
        </w:rPr>
      </w:pPr>
    </w:p>
    <w:p w14:paraId="5F299A4A">
      <w:pPr>
        <w:widowControl/>
        <w:pBdr>
          <w:bottom w:val="none" w:color="auto" w:sz="0" w:space="31"/>
        </w:pBdr>
        <w:spacing w:line="600" w:lineRule="exact"/>
        <w:ind w:firstLine="643" w:firstLineChars="200"/>
        <w:rPr>
          <w:rFonts w:ascii="仿宋_GB2312" w:hAnsi="Segoe UI" w:eastAsia="仿宋_GB2312" w:cs="Segoe UI"/>
          <w:color w:val="0F1115"/>
          <w:sz w:val="32"/>
          <w:szCs w:val="32"/>
          <w:shd w:val="clear" w:color="auto" w:fill="FFFFFF"/>
          <w:lang w:bidi="ar"/>
        </w:rPr>
      </w:pPr>
      <w:r>
        <w:rPr>
          <w:rFonts w:hint="eastAsia" w:ascii="仿宋_GB2312" w:hAnsi="Segoe UI" w:eastAsia="仿宋_GB2312" w:cs="Segoe UI"/>
          <w:b/>
          <w:bCs/>
          <w:color w:val="0F1115"/>
          <w:sz w:val="32"/>
          <w:szCs w:val="32"/>
          <w:shd w:val="clear" w:color="auto" w:fill="FFFFFF"/>
          <w:lang w:bidi="ar"/>
        </w:rPr>
        <w:t>建设标准化政务服务。</w:t>
      </w:r>
      <w:r>
        <w:rPr>
          <w:rFonts w:hint="eastAsia" w:ascii="仿宋_GB2312" w:hAnsi="Segoe UI" w:eastAsia="仿宋_GB2312" w:cs="Segoe UI"/>
          <w:color w:val="0F1115"/>
          <w:sz w:val="32"/>
          <w:szCs w:val="32"/>
          <w:shd w:val="clear" w:color="auto" w:fill="FFFFFF"/>
          <w:lang w:bidi="ar"/>
        </w:rPr>
        <w:t>高标准规划建设审批服务大厅，推进政务服务场所智慧化升级，为审批事项集中审批、一站式审批提供空间支撑。全面梳理形成行政审批事项的办事指南，动态涵盖企业从设立到注销全生命周期的核心高频服务事项。深入推进数字政府建设，持续优化“云上服务”平台功能，强化政务数据共享共用与业务协同，推动更多事项全程网办，实现企业开办、政策兑现、项目审批等重点领域高频服务事项“应上尽上、一网通办”。聚焦项目落地关键一环，深化“企业投资项目开工一件事”改革，系统整合从立项备案、用地规划、工程规划、施工许可审批服务事项，推行“一表申请、综窗受理、并联审批、限时办结、统一出件”模式，着力打通项目审批堵点难点，打造高效便捷的项目审批“高速公路”，切实增强市场主体的获得感。</w:t>
      </w:r>
    </w:p>
    <w:p w14:paraId="5A10EB56">
      <w:pPr>
        <w:widowControl/>
        <w:pBdr>
          <w:bottom w:val="none" w:color="auto" w:sz="0" w:space="31"/>
        </w:pBdr>
        <w:adjustRightInd w:val="0"/>
        <w:snapToGrid w:val="0"/>
        <w:spacing w:line="600" w:lineRule="exact"/>
        <w:ind w:firstLine="643" w:firstLineChars="200"/>
        <w:rPr>
          <w:rFonts w:ascii="仿宋_GB2312" w:hAnsi="仿宋_GB2312" w:eastAsia="仿宋_GB2312" w:cs="仿宋_GB2312"/>
          <w:snapToGrid w:val="0"/>
          <w:color w:val="000000"/>
          <w:sz w:val="32"/>
          <w:szCs w:val="32"/>
        </w:rPr>
      </w:pPr>
      <w:r>
        <w:rPr>
          <w:rFonts w:hint="eastAsia" w:ascii="仿宋_GB2312" w:hAnsi="仿宋_GB2312" w:eastAsia="仿宋_GB2312" w:cs="仿宋_GB2312"/>
          <w:b/>
          <w:bCs/>
          <w:sz w:val="32"/>
          <w:szCs w:val="32"/>
          <w:lang w:bidi="ar"/>
        </w:rPr>
        <w:t>创新事中事后监管。</w:t>
      </w:r>
      <w:r>
        <w:rPr>
          <w:rFonts w:hint="eastAsia" w:ascii="仿宋_GB2312" w:hAnsi="仿宋_GB2312" w:eastAsia="仿宋_GB2312" w:cs="仿宋_GB2312"/>
          <w:snapToGrid w:val="0"/>
          <w:color w:val="000000"/>
          <w:sz w:val="32"/>
          <w:szCs w:val="32"/>
        </w:rPr>
        <w:t>建立“双随机+信用”监管机制，对A级信用企业减少检查频次50%，减轻企业迎检负担。建立重点项目“首席服务官”制度，提供从签约、审批、建设到投产的全链条集成服务。健全项目风险防控机制,对项目论证、资金使用、施工安全、工期履约等关键环节实施动态风险评估与预警。完善审管衔接机制，强化审批与监管信息双向实时推送，确保放得开、管得住。</w:t>
      </w:r>
    </w:p>
    <w:p w14:paraId="56213601">
      <w:pPr>
        <w:widowControl/>
        <w:pBdr>
          <w:bottom w:val="none" w:color="auto" w:sz="0" w:space="31"/>
        </w:pBdr>
        <w:spacing w:line="600" w:lineRule="exact"/>
        <w:ind w:firstLine="643" w:firstLineChars="200"/>
        <w:jc w:val="left"/>
        <w:rPr>
          <w:rFonts w:ascii="仿宋_GB2312" w:hAnsi="Segoe UI" w:eastAsia="仿宋_GB2312" w:cs="Segoe UI"/>
          <w:color w:val="0F1115"/>
          <w:sz w:val="32"/>
          <w:szCs w:val="32"/>
          <w:shd w:val="clear" w:color="auto" w:fill="FFFFFF"/>
        </w:rPr>
      </w:pPr>
      <w:r>
        <w:rPr>
          <w:rFonts w:hint="eastAsia" w:ascii="仿宋_GB2312" w:hAnsi="仿宋_GB2312" w:eastAsia="仿宋_GB2312" w:cs="仿宋_GB2312"/>
          <w:b/>
          <w:bCs/>
          <w:sz w:val="32"/>
          <w:szCs w:val="32"/>
          <w:lang w:bidi="ar"/>
        </w:rPr>
        <w:t>建立惠企政策直达机制。</w:t>
      </w:r>
      <w:r>
        <w:rPr>
          <w:rFonts w:hint="eastAsia" w:ascii="仿宋_GB2312" w:hAnsi="Segoe UI" w:eastAsia="仿宋_GB2312" w:cs="Segoe UI"/>
          <w:color w:val="0F1115"/>
          <w:sz w:val="32"/>
          <w:szCs w:val="32"/>
          <w:shd w:val="clear" w:color="auto" w:fill="FFFFFF"/>
        </w:rPr>
        <w:t>建立惠企政策直通车，开通惠企咨询服务窗口，整合经济运行、科技、市场监督、人社、建设、税务等部门各项惠企政策，制定政策清单、文件汇编、申报指南，为企业一站式提供政策推荐、咨询、申报直通车，提高企业获得感和满足感。同时，</w:t>
      </w:r>
      <w:r>
        <w:rPr>
          <w:rFonts w:hint="eastAsia" w:ascii="仿宋_GB2312" w:hAnsi="仿宋_GB2312" w:eastAsia="仿宋_GB2312" w:cs="仿宋_GB2312"/>
          <w:sz w:val="32"/>
          <w:szCs w:val="32"/>
          <w:lang w:bidi="ar"/>
        </w:rPr>
        <w:t>从严兑现政策承诺，</w:t>
      </w:r>
      <w:r>
        <w:rPr>
          <w:rFonts w:ascii="仿宋_GB2312" w:hAnsi="仿宋_GB2312" w:eastAsia="仿宋_GB2312" w:cs="仿宋_GB2312"/>
          <w:bCs/>
          <w:sz w:val="32"/>
          <w:szCs w:val="32"/>
        </w:rPr>
        <w:t>系统开展历史</w:t>
      </w:r>
      <w:r>
        <w:rPr>
          <w:rFonts w:hint="eastAsia" w:ascii="仿宋_GB2312" w:hAnsi="仿宋_GB2312" w:eastAsia="仿宋_GB2312" w:cs="仿宋_GB2312"/>
          <w:bCs/>
          <w:sz w:val="32"/>
          <w:szCs w:val="32"/>
        </w:rPr>
        <w:t>承诺事项</w:t>
      </w:r>
      <w:r>
        <w:rPr>
          <w:rFonts w:ascii="仿宋_GB2312" w:hAnsi="仿宋_GB2312" w:eastAsia="仿宋_GB2312" w:cs="仿宋_GB2312"/>
          <w:bCs/>
          <w:sz w:val="32"/>
          <w:szCs w:val="32"/>
        </w:rPr>
        <w:t>“大起底”专项行动，全面梳理近年来与</w:t>
      </w:r>
      <w:r>
        <w:rPr>
          <w:rFonts w:hint="eastAsia" w:ascii="仿宋_GB2312" w:hAnsi="仿宋_GB2312" w:eastAsia="仿宋_GB2312" w:cs="仿宋_GB2312"/>
          <w:bCs/>
          <w:sz w:val="32"/>
          <w:szCs w:val="32"/>
        </w:rPr>
        <w:t>各类市场主体</w:t>
      </w:r>
      <w:r>
        <w:rPr>
          <w:rFonts w:ascii="仿宋_GB2312" w:hAnsi="仿宋_GB2312" w:eastAsia="仿宋_GB2312" w:cs="仿宋_GB2312"/>
          <w:bCs/>
          <w:sz w:val="32"/>
          <w:szCs w:val="32"/>
        </w:rPr>
        <w:t>签订的</w:t>
      </w:r>
      <w:r>
        <w:rPr>
          <w:rFonts w:hint="eastAsia" w:ascii="仿宋_GB2312" w:hAnsi="仿宋_GB2312" w:eastAsia="仿宋_GB2312" w:cs="仿宋_GB2312"/>
          <w:bCs/>
          <w:sz w:val="32"/>
          <w:szCs w:val="32"/>
        </w:rPr>
        <w:t>协议</w:t>
      </w:r>
      <w:r>
        <w:rPr>
          <w:rFonts w:ascii="仿宋_GB2312" w:hAnsi="仿宋_GB2312" w:eastAsia="仿宋_GB2312" w:cs="仿宋_GB2312"/>
          <w:bCs/>
          <w:sz w:val="32"/>
          <w:szCs w:val="32"/>
        </w:rPr>
        <w:t>，逐项评估履约情况</w:t>
      </w:r>
      <w:r>
        <w:rPr>
          <w:rFonts w:hint="eastAsia" w:ascii="仿宋_GB2312" w:hAnsi="仿宋_GB2312" w:eastAsia="仿宋_GB2312" w:cs="仿宋_GB2312"/>
          <w:bCs/>
          <w:sz w:val="32"/>
          <w:szCs w:val="32"/>
        </w:rPr>
        <w:t>，营造说了算、定了干的</w:t>
      </w:r>
      <w:r>
        <w:rPr>
          <w:rFonts w:ascii="仿宋_GB2312" w:hAnsi="仿宋_GB2312" w:eastAsia="仿宋_GB2312" w:cs="仿宋_GB2312"/>
          <w:bCs/>
          <w:sz w:val="32"/>
          <w:szCs w:val="32"/>
        </w:rPr>
        <w:t>政务环境。</w:t>
      </w:r>
    </w:p>
    <w:p w14:paraId="5321B68E">
      <w:pPr>
        <w:pStyle w:val="4"/>
        <w:keepNext/>
        <w:keepLines/>
        <w:numPr>
          <w:ilvl w:val="0"/>
          <w:numId w:val="2"/>
        </w:numPr>
        <w:adjustRightInd w:val="0"/>
        <w:snapToGrid w:val="0"/>
        <w:spacing w:line="600" w:lineRule="exact"/>
      </w:pPr>
      <w:bookmarkStart w:id="253" w:name="_Toc223176559"/>
      <w:bookmarkStart w:id="254" w:name="_Toc28501"/>
      <w:bookmarkStart w:id="255" w:name="_Toc20258"/>
      <w:bookmarkStart w:id="256" w:name="_Toc3469"/>
      <w:r>
        <w:rPr>
          <w:rFonts w:hint="eastAsia"/>
        </w:rPr>
        <w:t>推动高水平对外开放</w:t>
      </w:r>
      <w:bookmarkEnd w:id="253"/>
      <w:bookmarkEnd w:id="254"/>
      <w:bookmarkEnd w:id="255"/>
      <w:bookmarkEnd w:id="256"/>
    </w:p>
    <w:p w14:paraId="4F653888">
      <w:pPr>
        <w:spacing w:line="600" w:lineRule="exact"/>
        <w:rPr>
          <w:sz w:val="32"/>
          <w:szCs w:val="32"/>
        </w:rPr>
      </w:pPr>
    </w:p>
    <w:p w14:paraId="7936962A">
      <w:pPr>
        <w:widowControl/>
        <w:spacing w:line="600" w:lineRule="exact"/>
        <w:ind w:firstLine="640" w:firstLineChars="200"/>
        <w:rPr>
          <w:rFonts w:ascii="仿宋_GB2312" w:hAnsi="仿宋_GB2312" w:eastAsia="仿宋_GB2312" w:cs="仿宋_GB2312"/>
          <w:snapToGrid w:val="0"/>
          <w:color w:val="000000"/>
          <w:sz w:val="32"/>
          <w:szCs w:val="32"/>
        </w:rPr>
      </w:pPr>
      <w:r>
        <w:rPr>
          <w:rFonts w:hint="eastAsia" w:ascii="仿宋_GB2312" w:hAnsi="仿宋_GB2312" w:eastAsia="仿宋_GB2312" w:cs="仿宋_GB2312"/>
          <w:snapToGrid w:val="0"/>
          <w:color w:val="000000"/>
          <w:sz w:val="32"/>
          <w:szCs w:val="32"/>
        </w:rPr>
        <w:t>立足新发展格局，坚定不移将高新区建设成为开放合作的新高地。</w:t>
      </w:r>
    </w:p>
    <w:p w14:paraId="3E2BC484">
      <w:pPr>
        <w:widowControl/>
        <w:spacing w:line="600" w:lineRule="exact"/>
        <w:ind w:firstLine="643" w:firstLineChars="200"/>
        <w:rPr>
          <w:rFonts w:ascii="仿宋_GB2312" w:hAnsi="仿宋_GB2312" w:eastAsia="仿宋_GB2312" w:cs="仿宋_GB2312"/>
          <w:snapToGrid w:val="0"/>
          <w:color w:val="000000"/>
          <w:sz w:val="32"/>
          <w:szCs w:val="32"/>
        </w:rPr>
      </w:pPr>
      <w:r>
        <w:rPr>
          <w:rFonts w:hint="eastAsia" w:ascii="仿宋_GB2312" w:hAnsi="仿宋_GB2312" w:eastAsia="仿宋_GB2312" w:cs="仿宋_GB2312"/>
          <w:b/>
          <w:bCs/>
          <w:snapToGrid w:val="0"/>
          <w:color w:val="000000"/>
          <w:sz w:val="32"/>
          <w:szCs w:val="32"/>
        </w:rPr>
        <w:t>深化国际合作园区建设。</w:t>
      </w:r>
      <w:r>
        <w:rPr>
          <w:rFonts w:hint="eastAsia" w:ascii="仿宋_GB2312" w:hAnsi="仿宋_GB2312" w:eastAsia="仿宋_GB2312" w:cs="仿宋_GB2312"/>
          <w:snapToGrid w:val="0"/>
          <w:color w:val="000000"/>
          <w:sz w:val="32"/>
          <w:szCs w:val="32"/>
        </w:rPr>
        <w:t>深化RCEP国际合作产业园、中德国际合作产业示范园建设，做强现有园区外资外贸企业，深化对外经贸合作，积极拓展外资引入和国际市场对接渠道，新引进一批外资企业，促进国际合作园质效稳步提高。依托安博泰克与古巴生物医药集团的合作基础，规划建设中古生物医药国际合作园，重点引进基因工程疫苗、创新药物技术及绿色生产工艺，建设集研发中试、规模化生产、国际注册与市场推广于一体的生物医药产业合作基地。</w:t>
      </w:r>
    </w:p>
    <w:p w14:paraId="301ECE27">
      <w:pPr>
        <w:widowControl/>
        <w:spacing w:line="600" w:lineRule="exact"/>
        <w:ind w:firstLine="643" w:firstLineChars="200"/>
        <w:rPr>
          <w:rFonts w:ascii="仿宋_GB2312" w:hAnsi="仿宋_GB2312" w:eastAsia="仿宋_GB2312" w:cs="仿宋_GB2312"/>
          <w:snapToGrid w:val="0"/>
          <w:color w:val="000000"/>
          <w:sz w:val="32"/>
          <w:szCs w:val="32"/>
        </w:rPr>
      </w:pPr>
      <w:r>
        <w:rPr>
          <w:rFonts w:hint="eastAsia" w:ascii="仿宋_GB2312" w:hAnsi="仿宋_GB2312" w:eastAsia="仿宋_GB2312" w:cs="仿宋_GB2312"/>
          <w:b/>
          <w:bCs/>
          <w:snapToGrid w:val="0"/>
          <w:color w:val="000000"/>
          <w:sz w:val="32"/>
          <w:szCs w:val="32"/>
        </w:rPr>
        <w:t>扩大对外合作交流。</w:t>
      </w:r>
      <w:r>
        <w:rPr>
          <w:rFonts w:hint="eastAsia" w:ascii="仿宋_GB2312" w:hAnsi="Segoe UI" w:eastAsia="仿宋_GB2312" w:cs="Segoe UI"/>
          <w:color w:val="0F1115"/>
          <w:sz w:val="32"/>
          <w:szCs w:val="32"/>
          <w:shd w:val="clear" w:color="auto" w:fill="FFFFFF"/>
        </w:rPr>
        <w:t>稳步扩大制度型开放，主动对接RCEP等国际高标准经贸规则，完善跨境贸易便利化与知识产权保护体系，打造稳定、透明、可预期的国际化营商环境。利用中国人民大学前身北方大学抗战时期落户长治的历史资源优势，规划开展北方论坛，打造高新区对外交流新名片。支</w:t>
      </w:r>
      <w:r>
        <w:rPr>
          <w:rFonts w:hint="eastAsia" w:ascii="仿宋_GB2312" w:hAnsi="仿宋_GB2312" w:eastAsia="仿宋_GB2312" w:cs="仿宋_GB2312"/>
          <w:snapToGrid w:val="0"/>
          <w:color w:val="000000"/>
          <w:sz w:val="32"/>
          <w:szCs w:val="32"/>
        </w:rPr>
        <w:t>持园区企业参与国际分工与合作，培育外贸新业态新模式，促进进出口贸易总额稳步增长，全面提升开放型经济发展水平和国际化程度。鼓励区属重点企业、积极引进外向型企业，布局海外仓，建设境外办事机构和国际营销网络，畅通国际物流通道，推动“引进来”与“走出去”深度融合。</w:t>
      </w:r>
    </w:p>
    <w:p w14:paraId="28D76B9C">
      <w:pPr>
        <w:widowControl/>
        <w:spacing w:line="600" w:lineRule="exact"/>
        <w:ind w:firstLine="643" w:firstLineChars="200"/>
        <w:rPr>
          <w:rFonts w:ascii="仿宋_GB2312" w:hAnsi="仿宋_GB2312" w:eastAsia="仿宋_GB2312" w:cs="仿宋_GB2312"/>
          <w:snapToGrid w:val="0"/>
          <w:color w:val="000000"/>
          <w:sz w:val="32"/>
          <w:szCs w:val="32"/>
        </w:rPr>
      </w:pPr>
      <w:r>
        <w:rPr>
          <w:rFonts w:hint="eastAsia" w:ascii="仿宋_GB2312" w:hAnsi="仿宋_GB2312" w:eastAsia="仿宋_GB2312" w:cs="仿宋_GB2312"/>
          <w:b/>
          <w:bCs/>
          <w:snapToGrid w:val="0"/>
          <w:color w:val="000000"/>
          <w:sz w:val="32"/>
          <w:szCs w:val="32"/>
        </w:rPr>
        <w:t>加强与国内地区产业协同发展。</w:t>
      </w:r>
      <w:r>
        <w:rPr>
          <w:rFonts w:hint="eastAsia" w:ascii="仿宋_GB2312" w:hAnsi="仿宋_GB2312" w:eastAsia="仿宋_GB2312" w:cs="仿宋_GB2312"/>
          <w:snapToGrid w:val="0"/>
          <w:color w:val="000000"/>
          <w:sz w:val="32"/>
          <w:szCs w:val="32"/>
          <w:lang w:bidi="ar"/>
        </w:rPr>
        <w:t>主动服务和融入新发展格局，</w:t>
      </w:r>
      <w:r>
        <w:rPr>
          <w:rFonts w:hint="eastAsia" w:ascii="仿宋_GB2312" w:hAnsi="仿宋_GB2312" w:eastAsia="仿宋_GB2312" w:cs="仿宋_GB2312"/>
          <w:snapToGrid w:val="0"/>
          <w:color w:val="000000"/>
          <w:sz w:val="32"/>
          <w:szCs w:val="32"/>
        </w:rPr>
        <w:t>利用国家革命老区重点城市对口合作政策，聚焦北京市与长治市对口合作核心任务，推动北京高精尖产业向高新区梯度转移，构建“北京研发+长治转化”“北京总部+长治基地”的产业协作平台。积极融入中部地区产业发展体系，围绕中部崛起战略加强与周边焦作、安阳、洛阳、邯郸等省市开发区的产业联动，通过深化区域合作推动先进制造业、新能源、人工智能、数字经济等产业集群发展，提升产业整体竞争力与协同效应。积极融入大湾区、长三角、京津冀区域，对标对表国内一流高新区，围绕科技创新、产业培育、空间开发和园区治理等领域系统开展对标调研和经验吸收，持续提升高新区产业协同发展能力和综合治理水平。</w:t>
      </w:r>
    </w:p>
    <w:p w14:paraId="6B481769">
      <w:pPr>
        <w:autoSpaceDE w:val="0"/>
        <w:autoSpaceDN w:val="0"/>
        <w:adjustRightInd w:val="0"/>
        <w:snapToGrid w:val="0"/>
        <w:spacing w:line="600" w:lineRule="exact"/>
        <w:textAlignment w:val="baseline"/>
        <w:rPr>
          <w:rFonts w:ascii="楷体_GB2312" w:hAnsi="楷体_GB2312" w:eastAsia="楷体_GB2312" w:cs="楷体_GB2312"/>
          <w:szCs w:val="32"/>
        </w:rPr>
      </w:pPr>
    </w:p>
    <w:p w14:paraId="47B70BE2">
      <w:pPr>
        <w:pStyle w:val="4"/>
        <w:adjustRightInd w:val="0"/>
        <w:snapToGrid w:val="0"/>
        <w:spacing w:line="600" w:lineRule="exact"/>
        <w:textAlignment w:val="baseline"/>
      </w:pPr>
      <w:bookmarkStart w:id="257" w:name="_Toc31764"/>
      <w:bookmarkStart w:id="258" w:name="_Toc4233"/>
      <w:bookmarkStart w:id="259" w:name="_Toc20474"/>
      <w:bookmarkStart w:id="260" w:name="_Toc223176560"/>
      <w:bookmarkStart w:id="261" w:name="_Toc20362"/>
      <w:bookmarkStart w:id="262" w:name="_Toc29600"/>
      <w:bookmarkStart w:id="263" w:name="_Toc27360"/>
      <w:r>
        <w:rPr>
          <w:rFonts w:hint="eastAsia"/>
        </w:rPr>
        <w:t>第四节 全方位提升招商引资能效</w:t>
      </w:r>
      <w:bookmarkEnd w:id="257"/>
      <w:bookmarkEnd w:id="258"/>
      <w:bookmarkEnd w:id="259"/>
      <w:bookmarkEnd w:id="260"/>
      <w:bookmarkEnd w:id="261"/>
      <w:bookmarkEnd w:id="262"/>
      <w:bookmarkEnd w:id="263"/>
    </w:p>
    <w:p w14:paraId="544FB6F1">
      <w:pPr>
        <w:widowControl/>
        <w:spacing w:line="600" w:lineRule="exact"/>
        <w:ind w:firstLine="640" w:firstLineChars="200"/>
        <w:rPr>
          <w:rFonts w:ascii="仿宋_GB2312" w:hAnsi="仿宋_GB2312" w:eastAsia="仿宋_GB2312" w:cs="仿宋_GB2312"/>
          <w:snapToGrid w:val="0"/>
          <w:color w:val="000000"/>
          <w:sz w:val="32"/>
          <w:szCs w:val="32"/>
        </w:rPr>
      </w:pPr>
    </w:p>
    <w:p w14:paraId="112A0D3A">
      <w:pPr>
        <w:widowControl/>
        <w:spacing w:line="600" w:lineRule="exact"/>
        <w:ind w:firstLine="643" w:firstLineChars="200"/>
        <w:rPr>
          <w:rFonts w:ascii="仿宋_GB2312" w:hAnsi="仿宋_GB2312" w:eastAsia="仿宋_GB2312" w:cs="仿宋_GB2312"/>
          <w:snapToGrid w:val="0"/>
          <w:color w:val="000000"/>
          <w:sz w:val="32"/>
          <w:szCs w:val="32"/>
        </w:rPr>
      </w:pPr>
      <w:bookmarkStart w:id="264" w:name="OLE_LINK2"/>
      <w:r>
        <w:rPr>
          <w:rFonts w:hint="eastAsia" w:ascii="仿宋_GB2312" w:hAnsi="仿宋_GB2312" w:eastAsia="仿宋_GB2312" w:cs="仿宋_GB2312"/>
          <w:b/>
          <w:bCs/>
          <w:snapToGrid w:val="0"/>
          <w:color w:val="000000"/>
          <w:sz w:val="32"/>
          <w:szCs w:val="32"/>
        </w:rPr>
        <w:t>实施产业链精准招商。</w:t>
      </w:r>
      <w:r>
        <w:rPr>
          <w:rFonts w:hint="eastAsia" w:ascii="仿宋_GB2312" w:hAnsi="仿宋_GB2312" w:eastAsia="仿宋_GB2312" w:cs="仿宋_GB2312"/>
          <w:snapToGrid w:val="0"/>
          <w:color w:val="000000"/>
          <w:sz w:val="32"/>
          <w:szCs w:val="32"/>
        </w:rPr>
        <w:t>以创新招商模式为引领，学习借鉴先进地区产业链招商经验，主动融入国家统一大市场建设格局。围绕全区主导产业和重点领域，编制产业链全景图与招商路线图，按照招商图谱精准索骥。聚焦电子信息、新能源、高端装备制造、生物医药等产业领域，通过精准对接上下游产业链，吸引关键核心环节、关键企业落地生根。加强与行业龙头企业、科研机构的合作，推动战略合作项目的落地与实施，形成产业集聚效应。通过建立产业链信息库，精准匹配优质项目和企业，确保每一项引进的项目都能填补产业链的关键空白，提升整体产业的竞争力和抗风险能力。</w:t>
      </w:r>
    </w:p>
    <w:bookmarkEnd w:id="264"/>
    <w:p w14:paraId="154A1D19">
      <w:pPr>
        <w:widowControl/>
        <w:spacing w:line="600" w:lineRule="exact"/>
        <w:ind w:firstLine="643" w:firstLineChars="200"/>
        <w:rPr>
          <w:rFonts w:ascii="仿宋_GB2312" w:hAnsi="仿宋_GB2312" w:eastAsia="仿宋_GB2312" w:cs="仿宋_GB2312"/>
          <w:b/>
          <w:bCs/>
          <w:snapToGrid w:val="0"/>
          <w:color w:val="000000"/>
          <w:sz w:val="32"/>
          <w:szCs w:val="32"/>
        </w:rPr>
      </w:pPr>
      <w:r>
        <w:rPr>
          <w:rFonts w:hint="eastAsia" w:ascii="仿宋_GB2312" w:hAnsi="仿宋_GB2312" w:eastAsia="仿宋_GB2312" w:cs="仿宋_GB2312"/>
          <w:b/>
          <w:bCs/>
          <w:snapToGrid w:val="0"/>
          <w:color w:val="000000"/>
          <w:sz w:val="32"/>
          <w:szCs w:val="32"/>
        </w:rPr>
        <w:t>创新招商引资模式。</w:t>
      </w:r>
      <w:r>
        <w:rPr>
          <w:rFonts w:hint="eastAsia" w:ascii="仿宋_GB2312" w:hAnsi="仿宋_GB2312" w:eastAsia="仿宋_GB2312" w:cs="仿宋_GB2312"/>
          <w:snapToGrid w:val="0"/>
          <w:color w:val="000000"/>
          <w:sz w:val="32"/>
          <w:szCs w:val="32"/>
        </w:rPr>
        <w:t>实施多元化、多层次招商策略。</w:t>
      </w:r>
      <w:r>
        <w:rPr>
          <w:rFonts w:hint="eastAsia" w:ascii="仿宋_GB2312" w:eastAsia="仿宋_GB2312"/>
          <w:sz w:val="32"/>
          <w:szCs w:val="32"/>
        </w:rPr>
        <w:t>要组建招商团队，</w:t>
      </w:r>
      <w:r>
        <w:rPr>
          <w:rFonts w:ascii="仿宋_GB2312" w:eastAsia="仿宋_GB2312"/>
          <w:sz w:val="32"/>
          <w:szCs w:val="32"/>
        </w:rPr>
        <w:t>构建</w:t>
      </w:r>
      <w:r>
        <w:rPr>
          <w:rFonts w:hint="eastAsia" w:ascii="仿宋_GB2312" w:eastAsia="仿宋_GB2312"/>
          <w:sz w:val="32"/>
          <w:szCs w:val="32"/>
        </w:rPr>
        <w:t>“</w:t>
      </w:r>
      <w:r>
        <w:rPr>
          <w:rFonts w:ascii="仿宋_GB2312" w:eastAsia="仿宋_GB2312"/>
          <w:sz w:val="32"/>
          <w:szCs w:val="32"/>
        </w:rPr>
        <w:t>领导牵头、小分队出击、全链条服务</w:t>
      </w:r>
      <w:r>
        <w:rPr>
          <w:rFonts w:hint="eastAsia" w:ascii="仿宋_GB2312" w:eastAsia="仿宋_GB2312"/>
          <w:sz w:val="32"/>
          <w:szCs w:val="32"/>
        </w:rPr>
        <w:t>”</w:t>
      </w:r>
      <w:r>
        <w:rPr>
          <w:rFonts w:ascii="仿宋_GB2312" w:eastAsia="仿宋_GB2312"/>
          <w:sz w:val="32"/>
          <w:szCs w:val="32"/>
        </w:rPr>
        <w:t>作战体系</w:t>
      </w:r>
      <w:r>
        <w:rPr>
          <w:rFonts w:hint="eastAsia" w:ascii="仿宋_GB2312" w:eastAsia="仿宋_GB2312"/>
          <w:sz w:val="32"/>
          <w:szCs w:val="32"/>
        </w:rPr>
        <w:t>，</w:t>
      </w:r>
      <w:r>
        <w:rPr>
          <w:rFonts w:ascii="仿宋_GB2312" w:eastAsia="仿宋_GB2312"/>
          <w:sz w:val="32"/>
          <w:szCs w:val="32"/>
        </w:rPr>
        <w:t>从各部门抽调精干力量组成专业化招商团队，在北京、上海、深圳、太原设立四大招商联络点</w:t>
      </w:r>
      <w:r>
        <w:rPr>
          <w:rFonts w:hint="eastAsia" w:ascii="仿宋_GB2312" w:eastAsia="仿宋_GB2312"/>
          <w:sz w:val="32"/>
          <w:szCs w:val="32"/>
        </w:rPr>
        <w:t>，</w:t>
      </w:r>
      <w:r>
        <w:rPr>
          <w:rFonts w:ascii="仿宋_GB2312" w:eastAsia="仿宋_GB2312"/>
          <w:sz w:val="32"/>
          <w:szCs w:val="32"/>
        </w:rPr>
        <w:t>对项目进行全方位、前瞻性</w:t>
      </w:r>
      <w:r>
        <w:rPr>
          <w:rFonts w:hint="eastAsia" w:ascii="仿宋_GB2312" w:eastAsia="仿宋_GB2312"/>
          <w:sz w:val="32"/>
          <w:szCs w:val="32"/>
        </w:rPr>
        <w:t>服务对接</w:t>
      </w:r>
      <w:r>
        <w:rPr>
          <w:rFonts w:ascii="仿宋_GB2312" w:eastAsia="仿宋_GB2312"/>
          <w:sz w:val="32"/>
          <w:szCs w:val="32"/>
        </w:rPr>
        <w:t>，大幅提升项目落地效率和成功率。</w:t>
      </w:r>
      <w:r>
        <w:rPr>
          <w:rFonts w:hint="eastAsia" w:ascii="仿宋_GB2312" w:hAnsi="仿宋_GB2312" w:eastAsia="仿宋_GB2312" w:cs="仿宋_GB2312"/>
          <w:snapToGrid w:val="0"/>
          <w:color w:val="000000"/>
          <w:sz w:val="32"/>
          <w:szCs w:val="32"/>
        </w:rPr>
        <w:t>积极开展场景招商新模式，深度挖掘人工智能、数据应用、无人驾驶等开放应用场景，吸引优质企业对接合作、落地转化。实施绿电招商战略，将绿电使用作为核心招商条件，重点吸引绿色智算、新能源装备制造等高载能、低污染项目。创新“产业招商+资本招商”模式，与南网能源、华电科工等央企合作，引入股权投资和基金支持，通过股权投资、基金合作、并购重组等方式吸引资本与技术引进。拓展线上招商平台和“云招商”模式，借助互联网、大数据等现代科技手段，精准匹配场景需求与企业资源，提升招商引资的精准度和效率，吸引更多优质项目、优秀人才和资本集聚高新区，形成国际化、市场化的招商引资新格局。</w:t>
      </w:r>
    </w:p>
    <w:p w14:paraId="574B164E">
      <w:pPr>
        <w:widowControl/>
        <w:spacing w:line="600" w:lineRule="exact"/>
        <w:ind w:firstLine="643" w:firstLineChars="200"/>
        <w:rPr>
          <w:rFonts w:ascii="仿宋_GB2312" w:hAnsi="仿宋_GB2312" w:eastAsia="仿宋_GB2312" w:cs="仿宋_GB2312"/>
          <w:snapToGrid w:val="0"/>
          <w:color w:val="000000"/>
          <w:sz w:val="32"/>
          <w:szCs w:val="32"/>
        </w:rPr>
      </w:pPr>
      <w:r>
        <w:rPr>
          <w:rFonts w:hint="eastAsia" w:ascii="仿宋_GB2312" w:hAnsi="仿宋_GB2312" w:eastAsia="仿宋_GB2312" w:cs="仿宋_GB2312"/>
          <w:b/>
          <w:bCs/>
          <w:snapToGrid w:val="0"/>
          <w:color w:val="000000"/>
          <w:sz w:val="32"/>
          <w:szCs w:val="32"/>
        </w:rPr>
        <w:t>强化招商队伍建设。</w:t>
      </w:r>
      <w:r>
        <w:rPr>
          <w:rFonts w:hint="eastAsia" w:ascii="仿宋_GB2312" w:hAnsi="仿宋_GB2312" w:eastAsia="仿宋_GB2312" w:cs="仿宋_GB2312"/>
          <w:snapToGrid w:val="0"/>
          <w:color w:val="000000"/>
          <w:sz w:val="32"/>
          <w:szCs w:val="32"/>
        </w:rPr>
        <w:t>加强招商队伍的专业化建设，构建“领导带队、全员参与、绩效挂钩”的专业化招商体系。全面推行“领导+小分队”招商模式，由管委会班子成员牵头组建产业链招商专班，各园区主任主动领任务、扛指标，压实招商主体责任。通过组织招商人员定期培训、学习国内外先进招商经验，提升招商团队的专业水平和谈判能力。强化招商机制与产业导向深度融合，建立以产业为导向的招商小组，确保招商队伍深度了解目标产业的发展趋势与需求，制定精细化招商方案。注重吸引拥有丰富市场经验和跨国公司背景的人才，打造一支高效、专业、务实的招商队伍。将招商成效与“三化三制”改革紧密结合，将招商实绩纳入绩效考核体系，实现责任层层压实、激励有效挂钩，确保招商引资工作系统推进、高效落地。</w:t>
      </w:r>
    </w:p>
    <w:p w14:paraId="76A3A073">
      <w:pPr>
        <w:widowControl/>
        <w:spacing w:line="600" w:lineRule="exact"/>
        <w:rPr>
          <w:sz w:val="32"/>
          <w:szCs w:val="36"/>
        </w:rPr>
      </w:pPr>
    </w:p>
    <w:p w14:paraId="7E4F4E1D">
      <w:pPr>
        <w:pStyle w:val="3"/>
        <w:spacing w:before="0" w:after="0" w:line="600" w:lineRule="exact"/>
      </w:pPr>
      <w:bookmarkStart w:id="265" w:name="_Toc223176561"/>
      <w:bookmarkStart w:id="266" w:name="_Toc29953"/>
      <w:bookmarkStart w:id="267" w:name="_Toc7380"/>
      <w:bookmarkStart w:id="268" w:name="_Toc5197"/>
      <w:bookmarkStart w:id="269" w:name="_Toc32500"/>
      <w:bookmarkStart w:id="270" w:name="_Toc17643"/>
      <w:bookmarkStart w:id="271" w:name="_Toc30035"/>
      <w:r>
        <w:rPr>
          <w:rFonts w:hint="eastAsia"/>
        </w:rPr>
        <w:t>第八章 探索治理新模式，树立共建共治共享典范</w:t>
      </w:r>
      <w:bookmarkEnd w:id="265"/>
      <w:bookmarkEnd w:id="266"/>
      <w:bookmarkEnd w:id="267"/>
      <w:bookmarkEnd w:id="268"/>
      <w:bookmarkEnd w:id="269"/>
      <w:bookmarkEnd w:id="270"/>
      <w:bookmarkEnd w:id="271"/>
    </w:p>
    <w:p w14:paraId="4374B5EE">
      <w:pPr>
        <w:autoSpaceDE w:val="0"/>
        <w:autoSpaceDN w:val="0"/>
        <w:adjustRightInd w:val="0"/>
        <w:snapToGrid w:val="0"/>
        <w:spacing w:line="600" w:lineRule="exact"/>
      </w:pPr>
    </w:p>
    <w:p w14:paraId="6F744DFD">
      <w:pPr>
        <w:widowControl/>
        <w:spacing w:line="600" w:lineRule="exact"/>
        <w:ind w:firstLine="640" w:firstLineChars="200"/>
        <w:rPr>
          <w:rFonts w:ascii="仿宋_GB2312" w:hAnsi="仿宋_GB2312" w:eastAsia="仿宋_GB2312" w:cs="仿宋_GB2312"/>
          <w:snapToGrid w:val="0"/>
          <w:color w:val="000000"/>
          <w:sz w:val="32"/>
          <w:szCs w:val="32"/>
        </w:rPr>
      </w:pPr>
      <w:r>
        <w:rPr>
          <w:rFonts w:hint="eastAsia" w:ascii="仿宋_GB2312" w:hAnsi="仿宋_GB2312" w:eastAsia="仿宋_GB2312" w:cs="仿宋_GB2312"/>
          <w:snapToGrid w:val="0"/>
          <w:color w:val="000000"/>
          <w:sz w:val="32"/>
          <w:szCs w:val="32"/>
          <w:lang w:bidi="ar"/>
        </w:rPr>
        <w:t>推进区域治理体系和治理能力现代化，全面提高园区治理法治化、智能化、专业化水平，打造现代化园区治理体系。</w:t>
      </w:r>
    </w:p>
    <w:p w14:paraId="5BE0DDA4">
      <w:pPr>
        <w:widowControl/>
        <w:autoSpaceDE w:val="0"/>
        <w:autoSpaceDN w:val="0"/>
        <w:spacing w:line="600" w:lineRule="exact"/>
        <w:ind w:firstLine="1470" w:firstLineChars="700"/>
      </w:pPr>
    </w:p>
    <w:p w14:paraId="5CA3CACC">
      <w:pPr>
        <w:pStyle w:val="4"/>
        <w:spacing w:line="600" w:lineRule="exact"/>
      </w:pPr>
      <w:bookmarkStart w:id="272" w:name="_Toc13635"/>
      <w:bookmarkStart w:id="273" w:name="_Toc16333"/>
      <w:bookmarkStart w:id="274" w:name="_Toc3520"/>
      <w:bookmarkStart w:id="275" w:name="_Toc32112"/>
      <w:bookmarkStart w:id="276" w:name="_Toc223176562"/>
      <w:bookmarkStart w:id="277" w:name="_Toc29212"/>
      <w:bookmarkStart w:id="278" w:name="_Toc21950"/>
      <w:r>
        <w:rPr>
          <w:rFonts w:hint="eastAsia"/>
        </w:rPr>
        <w:t>第一节 推进园区治理法治化</w:t>
      </w:r>
      <w:bookmarkEnd w:id="272"/>
      <w:bookmarkEnd w:id="273"/>
      <w:bookmarkEnd w:id="274"/>
      <w:bookmarkEnd w:id="275"/>
      <w:bookmarkEnd w:id="276"/>
      <w:bookmarkEnd w:id="277"/>
      <w:bookmarkEnd w:id="278"/>
    </w:p>
    <w:p w14:paraId="12A7D55F">
      <w:pPr>
        <w:widowControl/>
        <w:spacing w:line="600" w:lineRule="exact"/>
        <w:ind w:firstLine="643" w:firstLineChars="200"/>
        <w:rPr>
          <w:rFonts w:ascii="仿宋_GB2312" w:hAnsi="仿宋_GB2312" w:eastAsia="仿宋_GB2312" w:cs="仿宋_GB2312"/>
          <w:b/>
          <w:bCs/>
          <w:snapToGrid w:val="0"/>
          <w:color w:val="000000"/>
          <w:sz w:val="32"/>
          <w:szCs w:val="32"/>
          <w:lang w:bidi="ar"/>
        </w:rPr>
      </w:pPr>
    </w:p>
    <w:p w14:paraId="4BB14825">
      <w:pPr>
        <w:widowControl/>
        <w:spacing w:line="600" w:lineRule="exact"/>
        <w:ind w:firstLine="643" w:firstLineChars="200"/>
        <w:rPr>
          <w:rFonts w:ascii="仿宋_GB2312" w:hAnsi="仿宋_GB2312" w:eastAsia="仿宋_GB2312" w:cs="仿宋_GB2312"/>
          <w:snapToGrid w:val="0"/>
          <w:color w:val="000000"/>
          <w:sz w:val="32"/>
          <w:szCs w:val="32"/>
          <w:lang w:bidi="ar"/>
        </w:rPr>
      </w:pPr>
      <w:r>
        <w:rPr>
          <w:rFonts w:hint="eastAsia" w:ascii="仿宋_GB2312" w:hAnsi="仿宋_GB2312" w:eastAsia="仿宋_GB2312" w:cs="仿宋_GB2312"/>
          <w:b/>
          <w:bCs/>
          <w:snapToGrid w:val="0"/>
          <w:color w:val="000000"/>
          <w:sz w:val="32"/>
          <w:szCs w:val="32"/>
          <w:lang w:bidi="ar"/>
        </w:rPr>
        <w:t>推进依法行政。</w:t>
      </w:r>
      <w:r>
        <w:rPr>
          <w:rFonts w:hint="eastAsia" w:ascii="仿宋_GB2312" w:hAnsi="仿宋_GB2312" w:eastAsia="仿宋_GB2312" w:cs="仿宋_GB2312"/>
          <w:snapToGrid w:val="0"/>
          <w:color w:val="000000"/>
          <w:sz w:val="32"/>
          <w:szCs w:val="32"/>
          <w:lang w:bidi="ar"/>
        </w:rPr>
        <w:t>加强重大行政决策科学民主合法，规范重大行政决策程序和行为，提升行政决策的科学化、民主化和法治化水平。加强对管委会各部门权力的制约，科学细化权责，对权力集中的部门和岗位实行分事行权、分岗设权、分级授权，定期轮岗。加强行政复议和应诉工作，积极参与并协助化解行政争议。完善纠错问责机制，加大问责力度，对违反法规制度踩“红线”、闯“雷区”的行为“零容忍”。</w:t>
      </w:r>
    </w:p>
    <w:p w14:paraId="6B299AD7">
      <w:pPr>
        <w:widowControl/>
        <w:spacing w:line="600" w:lineRule="exact"/>
        <w:ind w:firstLine="643" w:firstLineChars="200"/>
        <w:rPr>
          <w:rFonts w:ascii="仿宋_GB2312" w:hAnsi="仿宋_GB2312" w:eastAsia="仿宋_GB2312" w:cs="仿宋_GB2312"/>
          <w:snapToGrid w:val="0"/>
          <w:color w:val="000000"/>
          <w:sz w:val="32"/>
          <w:szCs w:val="32"/>
          <w:lang w:bidi="ar"/>
        </w:rPr>
      </w:pPr>
      <w:r>
        <w:rPr>
          <w:rFonts w:hint="eastAsia" w:ascii="仿宋_GB2312" w:hAnsi="仿宋_GB2312" w:eastAsia="仿宋_GB2312" w:cs="仿宋_GB2312"/>
          <w:b/>
          <w:bCs/>
          <w:snapToGrid w:val="0"/>
          <w:color w:val="000000"/>
          <w:sz w:val="32"/>
          <w:szCs w:val="32"/>
          <w:lang w:bidi="ar"/>
        </w:rPr>
        <w:t>规范执法行为。</w:t>
      </w:r>
      <w:r>
        <w:rPr>
          <w:rFonts w:hint="eastAsia" w:ascii="仿宋_GB2312" w:hAnsi="仿宋_GB2312" w:eastAsia="仿宋_GB2312" w:cs="仿宋_GB2312"/>
          <w:snapToGrid w:val="0"/>
          <w:color w:val="000000"/>
          <w:sz w:val="32"/>
          <w:szCs w:val="32"/>
          <w:lang w:bidi="ar"/>
        </w:rPr>
        <w:t>深化行政执法体制改革，加强执法联动，推进城市管理、市场监督、生态环境等各项执法领域工作重心和执法力量下移，充实基层力量。完善工作机制，加大执法宣传培训力度，推动行政执法工作科学化、制度化。全面落实行政执法“三项制度”，做实行政执法公开，完善重大行政执法决定法治审核，规范执法全过程记录。开展群众公议、两法衔接、细化量化裁量标准、妥善处理行政执法投诉举报等工作。强化监督，常态化开展基层执法监督检查。</w:t>
      </w:r>
    </w:p>
    <w:p w14:paraId="36261D6C">
      <w:pPr>
        <w:widowControl/>
        <w:spacing w:line="600" w:lineRule="exact"/>
        <w:ind w:firstLine="643" w:firstLineChars="200"/>
        <w:rPr>
          <w:rFonts w:ascii="仿宋_GB2312" w:hAnsi="仿宋_GB2312" w:eastAsia="仿宋_GB2312" w:cs="仿宋_GB2312"/>
          <w:snapToGrid w:val="0"/>
          <w:color w:val="000000"/>
          <w:sz w:val="32"/>
          <w:szCs w:val="32"/>
        </w:rPr>
      </w:pPr>
      <w:r>
        <w:rPr>
          <w:rFonts w:hint="eastAsia" w:ascii="仿宋_GB2312" w:hAnsi="仿宋_GB2312" w:eastAsia="仿宋_GB2312" w:cs="仿宋_GB2312"/>
          <w:b/>
          <w:bCs/>
          <w:snapToGrid w:val="0"/>
          <w:color w:val="000000"/>
          <w:sz w:val="32"/>
          <w:szCs w:val="32"/>
          <w:lang w:bidi="ar"/>
        </w:rPr>
        <w:t>完善调处机制。</w:t>
      </w:r>
      <w:r>
        <w:rPr>
          <w:rFonts w:hint="eastAsia" w:ascii="仿宋_GB2312" w:hAnsi="仿宋_GB2312" w:eastAsia="仿宋_GB2312" w:cs="仿宋_GB2312"/>
          <w:snapToGrid w:val="0"/>
          <w:color w:val="000000"/>
          <w:sz w:val="32"/>
          <w:szCs w:val="32"/>
          <w:lang w:bidi="ar"/>
        </w:rPr>
        <w:t xml:space="preserve">坚持和发展新时代“枫桥经验”，完善“四下基层”等信访制度，突出涉企、涉众型矛盾纠纷等重点，强化源头预防化解。以区级基层平安示范单位创建为抓手，推动司法资源向企业、群众延伸，积极开展以案释法等法治宣传活动，营造居民学法、尊法、守法、用法的良好社会氛围。构建人民调解、行政调解、行业调解等多元化矛盾纠纷化解工作格局，稳妥处置各类规模性群体聚集维权事件。 </w:t>
      </w:r>
    </w:p>
    <w:p w14:paraId="6F4380B0">
      <w:pPr>
        <w:pStyle w:val="4"/>
        <w:spacing w:line="600" w:lineRule="exact"/>
        <w:ind w:firstLine="2560" w:firstLineChars="800"/>
        <w:jc w:val="both"/>
      </w:pPr>
      <w:bookmarkStart w:id="279" w:name="_Toc29875"/>
      <w:bookmarkStart w:id="280" w:name="_Toc29849"/>
      <w:bookmarkStart w:id="281" w:name="_Toc32596"/>
    </w:p>
    <w:p w14:paraId="0BACD295">
      <w:pPr>
        <w:pStyle w:val="4"/>
        <w:spacing w:line="600" w:lineRule="exact"/>
        <w:ind w:firstLine="2560" w:firstLineChars="800"/>
        <w:jc w:val="both"/>
      </w:pPr>
      <w:bookmarkStart w:id="282" w:name="_Toc223176563"/>
      <w:bookmarkStart w:id="283" w:name="_Toc17879"/>
      <w:bookmarkStart w:id="284" w:name="_Toc12081"/>
      <w:bookmarkStart w:id="285" w:name="_Toc4726"/>
      <w:r>
        <w:rPr>
          <w:rFonts w:hint="eastAsia"/>
        </w:rPr>
        <w:t>第二节 维护园区公共安全</w:t>
      </w:r>
      <w:bookmarkEnd w:id="279"/>
      <w:bookmarkEnd w:id="280"/>
      <w:bookmarkEnd w:id="281"/>
      <w:bookmarkEnd w:id="282"/>
      <w:bookmarkEnd w:id="283"/>
      <w:bookmarkEnd w:id="284"/>
      <w:bookmarkEnd w:id="285"/>
    </w:p>
    <w:p w14:paraId="00174E50">
      <w:pPr>
        <w:widowControl/>
        <w:spacing w:line="600" w:lineRule="exact"/>
        <w:ind w:firstLine="2560" w:firstLineChars="800"/>
        <w:rPr>
          <w:rFonts w:ascii="仿宋_GB2312" w:hAnsi="仿宋_GB2312" w:eastAsia="仿宋_GB2312" w:cs="仿宋_GB2312"/>
          <w:snapToGrid w:val="0"/>
          <w:color w:val="000000"/>
          <w:sz w:val="32"/>
          <w:szCs w:val="32"/>
        </w:rPr>
      </w:pPr>
    </w:p>
    <w:p w14:paraId="1923FEAC">
      <w:pPr>
        <w:widowControl/>
        <w:spacing w:line="600" w:lineRule="exact"/>
        <w:ind w:firstLine="643" w:firstLineChars="200"/>
        <w:rPr>
          <w:rFonts w:ascii="仿宋_GB2312" w:hAnsi="仿宋_GB2312" w:eastAsia="仿宋_GB2312" w:cs="仿宋_GB2312"/>
          <w:snapToGrid w:val="0"/>
          <w:color w:val="000000"/>
          <w:sz w:val="32"/>
          <w:szCs w:val="32"/>
        </w:rPr>
      </w:pPr>
      <w:r>
        <w:rPr>
          <w:rFonts w:hint="eastAsia" w:ascii="仿宋_GB2312" w:hAnsi="仿宋_GB2312" w:eastAsia="仿宋_GB2312" w:cs="仿宋_GB2312"/>
          <w:b/>
          <w:bCs/>
          <w:snapToGrid w:val="0"/>
          <w:color w:val="000000"/>
          <w:sz w:val="32"/>
          <w:szCs w:val="32"/>
          <w:lang w:bidi="ar"/>
        </w:rPr>
        <w:t>加强园区治安综合治理。</w:t>
      </w:r>
      <w:r>
        <w:rPr>
          <w:rFonts w:hint="eastAsia" w:ascii="仿宋_GB2312" w:hAnsi="仿宋_GB2312" w:eastAsia="仿宋_GB2312" w:cs="仿宋_GB2312"/>
          <w:snapToGrid w:val="0"/>
          <w:color w:val="000000"/>
          <w:sz w:val="32"/>
          <w:szCs w:val="32"/>
          <w:lang w:bidi="ar"/>
        </w:rPr>
        <w:t>加快推进“雪亮工程”建设，补牢织密高新区园区治安视频监控点位。推广智慧警务应用、网格化服务管理、物业服务管理等平台加速应用,提升园区管理、人员管控、数据抓逃等社会治理现代化能力和水平。机制化开展扫黑除恶斗争，坚决防范和打击危害群众生命健康和财产安全的各类违法犯罪行动。</w:t>
      </w:r>
    </w:p>
    <w:p w14:paraId="14EDDB63">
      <w:pPr>
        <w:widowControl/>
        <w:spacing w:line="600" w:lineRule="exact"/>
        <w:ind w:firstLine="643" w:firstLineChars="200"/>
        <w:rPr>
          <w:rFonts w:ascii="仿宋_GB2312" w:hAnsi="仿宋_GB2312" w:eastAsia="仿宋_GB2312" w:cs="仿宋_GB2312"/>
          <w:snapToGrid w:val="0"/>
          <w:color w:val="000000"/>
          <w:sz w:val="32"/>
          <w:szCs w:val="32"/>
        </w:rPr>
      </w:pPr>
      <w:r>
        <w:rPr>
          <w:rFonts w:hint="eastAsia" w:ascii="仿宋_GB2312" w:hAnsi="仿宋_GB2312" w:eastAsia="仿宋_GB2312" w:cs="仿宋_GB2312"/>
          <w:b/>
          <w:bCs/>
          <w:snapToGrid w:val="0"/>
          <w:color w:val="000000"/>
          <w:sz w:val="32"/>
          <w:szCs w:val="32"/>
          <w:lang w:bidi="ar"/>
        </w:rPr>
        <w:t>提高公共安全保障能力。</w:t>
      </w:r>
      <w:r>
        <w:rPr>
          <w:rFonts w:hint="eastAsia" w:ascii="仿宋_GB2312" w:hAnsi="仿宋_GB2312" w:eastAsia="仿宋_GB2312" w:cs="仿宋_GB2312"/>
          <w:snapToGrid w:val="0"/>
          <w:color w:val="000000"/>
          <w:sz w:val="32"/>
          <w:szCs w:val="32"/>
          <w:lang w:bidi="ar"/>
        </w:rPr>
        <w:t>完善落实安全生产责任制，深入开展安全生产标准化建设。推进各类重点行业领域安全生产专项整治，深入开展消防、危险化学品、建筑工地等重点隐患整治。加大安全生产监管执法力度和水平，实现园区安全生产监管“全覆盖”。加强应急管理体系建设，增加公共安全投入，建设专业应急救援队伍，提高应急管理信息化水平，加快构建“大安全、大应急、大减灾”体系，强化物资储备保障，全面提高防灾、减灾、抗灾、救灾能力。</w:t>
      </w:r>
    </w:p>
    <w:p w14:paraId="0406305E">
      <w:pPr>
        <w:widowControl/>
        <w:spacing w:line="600" w:lineRule="exact"/>
        <w:ind w:firstLine="643" w:firstLineChars="200"/>
        <w:rPr>
          <w:rFonts w:ascii="仿宋_GB2312" w:hAnsi="仿宋_GB2312" w:eastAsia="仿宋_GB2312" w:cs="仿宋_GB2312"/>
          <w:snapToGrid w:val="0"/>
          <w:color w:val="000000"/>
          <w:sz w:val="32"/>
          <w:szCs w:val="32"/>
          <w:lang w:bidi="ar"/>
        </w:rPr>
      </w:pPr>
      <w:r>
        <w:rPr>
          <w:rFonts w:hint="eastAsia" w:ascii="仿宋_GB2312" w:hAnsi="仿宋_GB2312" w:eastAsia="仿宋_GB2312" w:cs="仿宋_GB2312"/>
          <w:b/>
          <w:bCs/>
          <w:snapToGrid w:val="0"/>
          <w:color w:val="000000"/>
          <w:sz w:val="32"/>
          <w:szCs w:val="32"/>
          <w:lang w:bidi="ar"/>
        </w:rPr>
        <w:t>强化市场重点领域安全监管。</w:t>
      </w:r>
      <w:r>
        <w:rPr>
          <w:rFonts w:hint="eastAsia" w:ascii="仿宋_GB2312" w:hAnsi="仿宋_GB2312" w:eastAsia="仿宋_GB2312" w:cs="仿宋_GB2312"/>
          <w:snapToGrid w:val="0"/>
          <w:color w:val="000000"/>
          <w:sz w:val="32"/>
          <w:szCs w:val="32"/>
          <w:lang w:bidi="ar"/>
        </w:rPr>
        <w:t>全面实施质量强区战略，推动质量基础设施建设，开展高端品牌创建培育。守牢食品药品安全底线，贯彻落实食品安全党政同责，创新监管模式，落实生产经营者主体责任。守牢特种设备安全底线，强化动态管理和重点设备监管，探索建立信息化监管模式。守牢工业产品质量安全底线，突出监管重点，及时发布消费警示，向公众提供消费品质量安全信息服务，加大生产流通领域产品质量安全抽检监测力度。完善标准体系，鼓励参与国际、国家、行业、地方等标准修订。加强强制性产品等认证认可监管，加大能源计量和能效管理，推进诚信计量体系建设。</w:t>
      </w:r>
    </w:p>
    <w:p w14:paraId="7C7A276F">
      <w:pPr>
        <w:pStyle w:val="2"/>
        <w:rPr>
          <w:lang w:bidi="ar"/>
        </w:rPr>
      </w:pPr>
    </w:p>
    <w:p w14:paraId="7547B830">
      <w:pPr>
        <w:spacing w:line="600" w:lineRule="exact"/>
      </w:pPr>
      <w:bookmarkStart w:id="286" w:name="_Toc2005"/>
      <w:bookmarkStart w:id="287" w:name="_Toc27189"/>
      <w:bookmarkStart w:id="288" w:name="_Toc14620"/>
    </w:p>
    <w:p w14:paraId="5B720298">
      <w:pPr>
        <w:pStyle w:val="4"/>
        <w:spacing w:line="600" w:lineRule="exact"/>
        <w:ind w:firstLine="2560" w:firstLineChars="800"/>
        <w:jc w:val="both"/>
      </w:pPr>
      <w:bookmarkStart w:id="289" w:name="_Toc20367"/>
      <w:bookmarkStart w:id="290" w:name="_Toc12264"/>
      <w:bookmarkStart w:id="291" w:name="_Toc25037"/>
      <w:bookmarkStart w:id="292" w:name="_Toc223176564"/>
      <w:r>
        <w:rPr>
          <w:rFonts w:hint="eastAsia"/>
        </w:rPr>
        <w:t>第三节 强化智慧治理支撑</w:t>
      </w:r>
      <w:bookmarkEnd w:id="286"/>
      <w:bookmarkEnd w:id="287"/>
      <w:bookmarkEnd w:id="288"/>
      <w:bookmarkEnd w:id="289"/>
      <w:bookmarkEnd w:id="290"/>
      <w:bookmarkEnd w:id="291"/>
      <w:bookmarkEnd w:id="292"/>
    </w:p>
    <w:p w14:paraId="3FDA767B">
      <w:pPr>
        <w:widowControl/>
        <w:spacing w:line="600" w:lineRule="exact"/>
        <w:ind w:firstLine="2240" w:firstLineChars="700"/>
        <w:rPr>
          <w:rFonts w:ascii="仿宋_GB2312" w:hAnsi="仿宋_GB2312" w:eastAsia="仿宋_GB2312" w:cs="仿宋_GB2312"/>
          <w:snapToGrid w:val="0"/>
          <w:color w:val="000000"/>
          <w:sz w:val="32"/>
          <w:szCs w:val="32"/>
        </w:rPr>
      </w:pPr>
    </w:p>
    <w:p w14:paraId="3B0030CA">
      <w:pPr>
        <w:spacing w:line="600" w:lineRule="exact"/>
        <w:ind w:firstLine="643" w:firstLineChars="200"/>
        <w:rPr>
          <w:rFonts w:ascii="仿宋_GB2312" w:hAnsi="仿宋_GB2312" w:eastAsia="仿宋_GB2312" w:cs="仿宋_GB2312"/>
          <w:snapToGrid w:val="0"/>
          <w:color w:val="000000"/>
          <w:sz w:val="32"/>
          <w:szCs w:val="32"/>
        </w:rPr>
      </w:pPr>
      <w:r>
        <w:rPr>
          <w:rFonts w:hint="eastAsia" w:ascii="仿宋_GB2312" w:hAnsi="仿宋_GB2312" w:eastAsia="仿宋_GB2312" w:cs="仿宋_GB2312"/>
          <w:b/>
          <w:bCs/>
          <w:snapToGrid w:val="0"/>
          <w:color w:val="000000"/>
          <w:sz w:val="32"/>
          <w:szCs w:val="32"/>
          <w:lang w:bidi="ar"/>
        </w:rPr>
        <w:t>推动园区治理智慧化。</w:t>
      </w:r>
      <w:r>
        <w:rPr>
          <w:rFonts w:hint="eastAsia" w:ascii="仿宋_GB2312" w:hAnsi="仿宋_GB2312" w:eastAsia="仿宋_GB2312" w:cs="仿宋_GB2312"/>
          <w:snapToGrid w:val="0"/>
          <w:color w:val="000000"/>
          <w:sz w:val="32"/>
          <w:szCs w:val="32"/>
          <w:lang w:bidi="ar"/>
        </w:rPr>
        <w:t>全面提速5G基站、5G独立组网（SA）、5G专网建设，前瞻布局6G网络建设。有序推进算力中心项目建设，提升数据计算、存储和智能处理能力。</w:t>
      </w:r>
      <w:r>
        <w:rPr>
          <w:rFonts w:hint="eastAsia" w:ascii="仿宋_GB2312" w:hAnsi="仿宋_GB2312" w:eastAsia="仿宋_GB2312" w:cs="仿宋_GB2312"/>
          <w:kern w:val="2"/>
          <w:sz w:val="32"/>
          <w:szCs w:val="32"/>
        </w:rPr>
        <w:t>运用大数据、物联网、云计算等技术，加快建设统一智慧园区平台，实现各领域数据融合与业务智能协同。同时，将智慧技术应用延伸至园区环境监测、安全防控等领域，优化商圈周边环境查询服务，实现公共设施与商业信息一站式获取，形成集约、高效、敏捷的智慧园区服务体系。</w:t>
      </w:r>
    </w:p>
    <w:p w14:paraId="115C82A3">
      <w:pPr>
        <w:widowControl/>
        <w:spacing w:line="600" w:lineRule="exact"/>
        <w:ind w:firstLine="643" w:firstLineChars="200"/>
        <w:rPr>
          <w:rFonts w:ascii="仿宋_GB2312" w:hAnsi="仿宋_GB2312" w:eastAsia="仿宋_GB2312" w:cs="仿宋_GB2312"/>
          <w:snapToGrid w:val="0"/>
          <w:color w:val="000000"/>
          <w:sz w:val="32"/>
          <w:szCs w:val="32"/>
          <w:lang w:bidi="ar"/>
        </w:rPr>
      </w:pPr>
      <w:r>
        <w:rPr>
          <w:rFonts w:hint="eastAsia" w:ascii="仿宋_GB2312" w:hAnsi="仿宋_GB2312" w:eastAsia="仿宋_GB2312" w:cs="仿宋_GB2312"/>
          <w:b/>
          <w:bCs/>
          <w:snapToGrid w:val="0"/>
          <w:color w:val="000000"/>
          <w:sz w:val="32"/>
          <w:szCs w:val="32"/>
          <w:lang w:bidi="ar"/>
        </w:rPr>
        <w:t>建设智慧治理示范场景。</w:t>
      </w:r>
      <w:r>
        <w:rPr>
          <w:rFonts w:hint="eastAsia" w:ascii="仿宋_GB2312" w:hAnsi="仿宋_GB2312" w:eastAsia="仿宋_GB2312" w:cs="仿宋_GB2312"/>
          <w:snapToGrid w:val="0"/>
          <w:color w:val="000000"/>
          <w:sz w:val="32"/>
          <w:szCs w:val="32"/>
          <w:lang w:bidi="ar"/>
        </w:rPr>
        <w:t>以场景创新驱动园区智慧治理能力提升，探索设立场景创新促进中心，围绕园区管理、数字生活等领域，强化数据要素应用，谋划一批数字赋能示范场景项目。拓展“智慧+”产业融合新业态，聚焦园区企业和职工的急难愁盼问题，拓展智慧园区的应用场景。</w:t>
      </w:r>
    </w:p>
    <w:p w14:paraId="250C651C">
      <w:pPr>
        <w:pStyle w:val="2"/>
        <w:rPr>
          <w:lang w:bidi="ar"/>
        </w:rPr>
      </w:pPr>
    </w:p>
    <w:p w14:paraId="678F97FF">
      <w:pPr>
        <w:pStyle w:val="2"/>
      </w:pPr>
    </w:p>
    <w:p w14:paraId="0AC6EDA7">
      <w:pPr>
        <w:pStyle w:val="3"/>
        <w:keepNext/>
        <w:keepLines/>
        <w:widowControl/>
        <w:spacing w:before="0" w:after="0" w:line="600" w:lineRule="exact"/>
      </w:pPr>
      <w:bookmarkStart w:id="293" w:name="_Toc223176565"/>
      <w:bookmarkStart w:id="294" w:name="_Toc22760"/>
      <w:bookmarkStart w:id="295" w:name="_Toc12691"/>
      <w:bookmarkStart w:id="296" w:name="_Toc13330"/>
      <w:bookmarkStart w:id="297" w:name="_Toc18693"/>
      <w:bookmarkStart w:id="298" w:name="_Toc7808"/>
      <w:bookmarkStart w:id="299" w:name="_Toc8774"/>
      <w:r>
        <w:rPr>
          <w:rFonts w:hint="eastAsia"/>
        </w:rPr>
        <w:t>第九章 保障措施与实施机制</w:t>
      </w:r>
      <w:bookmarkEnd w:id="293"/>
      <w:bookmarkEnd w:id="294"/>
      <w:bookmarkEnd w:id="295"/>
      <w:bookmarkEnd w:id="296"/>
      <w:bookmarkEnd w:id="297"/>
      <w:bookmarkEnd w:id="298"/>
      <w:bookmarkEnd w:id="299"/>
    </w:p>
    <w:p w14:paraId="0C97D53F">
      <w:pPr>
        <w:widowControl/>
        <w:spacing w:line="600" w:lineRule="exact"/>
        <w:rPr>
          <w:sz w:val="32"/>
          <w:szCs w:val="36"/>
        </w:rPr>
      </w:pPr>
    </w:p>
    <w:p w14:paraId="37DC807E">
      <w:pPr>
        <w:pStyle w:val="4"/>
        <w:numPr>
          <w:ilvl w:val="0"/>
          <w:numId w:val="3"/>
        </w:numPr>
        <w:spacing w:line="600" w:lineRule="exact"/>
        <w:jc w:val="both"/>
      </w:pPr>
      <w:bookmarkStart w:id="300" w:name="_Toc18967"/>
      <w:bookmarkStart w:id="301" w:name="_Toc223176566"/>
      <w:bookmarkStart w:id="302" w:name="_Toc9844"/>
      <w:bookmarkStart w:id="303" w:name="_Toc21015"/>
      <w:r>
        <w:rPr>
          <w:rFonts w:hint="eastAsia"/>
        </w:rPr>
        <w:t>强化组织保障</w:t>
      </w:r>
      <w:bookmarkEnd w:id="300"/>
      <w:bookmarkEnd w:id="301"/>
      <w:bookmarkEnd w:id="302"/>
      <w:bookmarkEnd w:id="303"/>
    </w:p>
    <w:p w14:paraId="213A3ADE">
      <w:pPr>
        <w:rPr>
          <w:sz w:val="32"/>
          <w:szCs w:val="36"/>
        </w:rPr>
      </w:pPr>
    </w:p>
    <w:p w14:paraId="51F10900">
      <w:pPr>
        <w:widowControl/>
        <w:spacing w:line="600" w:lineRule="exact"/>
        <w:ind w:firstLine="643" w:firstLineChars="200"/>
        <w:rPr>
          <w:rFonts w:ascii="仿宋_GB2312" w:hAnsi="仿宋_GB2312" w:eastAsia="仿宋_GB2312" w:cs="仿宋_GB2312"/>
          <w:snapToGrid w:val="0"/>
          <w:color w:val="000000"/>
          <w:sz w:val="32"/>
          <w:szCs w:val="32"/>
        </w:rPr>
      </w:pPr>
      <w:r>
        <w:rPr>
          <w:rFonts w:ascii="仿宋_GB2312" w:hAnsi="仿宋_GB2312" w:eastAsia="仿宋_GB2312" w:cs="仿宋_GB2312"/>
          <w:b/>
          <w:bCs/>
          <w:snapToGrid w:val="0"/>
          <w:color w:val="000000"/>
          <w:sz w:val="32"/>
          <w:szCs w:val="32"/>
          <w:lang w:bidi="ar"/>
        </w:rPr>
        <w:t>坚持党的全面领导</w:t>
      </w:r>
      <w:r>
        <w:rPr>
          <w:rFonts w:ascii="仿宋_GB2312" w:hAnsi="仿宋_GB2312" w:eastAsia="仿宋_GB2312" w:cs="仿宋_GB2312"/>
          <w:snapToGrid w:val="0"/>
          <w:color w:val="000000"/>
          <w:sz w:val="32"/>
          <w:szCs w:val="32"/>
          <w:lang w:bidi="ar"/>
        </w:rPr>
        <w:t>。全面加强党工委对规划实施的组织领导，建立党建引领</w:t>
      </w:r>
      <w:r>
        <w:rPr>
          <w:rFonts w:hint="eastAsia" w:ascii="仿宋_GB2312" w:hAnsi="仿宋_GB2312" w:eastAsia="仿宋_GB2312" w:cs="仿宋_GB2312"/>
          <w:snapToGrid w:val="0"/>
          <w:color w:val="000000"/>
          <w:sz w:val="32"/>
          <w:szCs w:val="32"/>
          <w:lang w:bidi="ar"/>
        </w:rPr>
        <w:t>高质量</w:t>
      </w:r>
      <w:r>
        <w:rPr>
          <w:rFonts w:ascii="仿宋_GB2312" w:hAnsi="仿宋_GB2312" w:eastAsia="仿宋_GB2312" w:cs="仿宋_GB2312"/>
          <w:snapToGrid w:val="0"/>
          <w:color w:val="000000"/>
          <w:sz w:val="32"/>
          <w:szCs w:val="32"/>
          <w:lang w:bidi="ar"/>
        </w:rPr>
        <w:t>发展工作机制，建立领导分包重点产业、重点企业、重点项目机制，成立重点项目推进领导小组。充分发挥基层党组织战斗堡垒作用和党员先锋模范作用，为</w:t>
      </w:r>
      <w:r>
        <w:rPr>
          <w:rFonts w:hint="eastAsia" w:ascii="仿宋_GB2312" w:hAnsi="仿宋_GB2312" w:eastAsia="仿宋_GB2312" w:cs="仿宋_GB2312"/>
          <w:snapToGrid w:val="0"/>
          <w:color w:val="000000"/>
          <w:sz w:val="32"/>
          <w:szCs w:val="32"/>
          <w:lang w:bidi="ar"/>
        </w:rPr>
        <w:t>建设千亿级产业园区、跻身国家百强高新区</w:t>
      </w:r>
      <w:r>
        <w:rPr>
          <w:rFonts w:ascii="仿宋_GB2312" w:hAnsi="仿宋_GB2312" w:eastAsia="仿宋_GB2312" w:cs="仿宋_GB2312"/>
          <w:snapToGrid w:val="0"/>
          <w:color w:val="000000"/>
          <w:sz w:val="32"/>
          <w:szCs w:val="32"/>
          <w:lang w:bidi="ar"/>
        </w:rPr>
        <w:t>提供坚强组织保障。各级各部门以</w:t>
      </w:r>
      <w:r>
        <w:rPr>
          <w:rFonts w:hint="eastAsia" w:ascii="仿宋_GB2312" w:hAnsi="仿宋_GB2312" w:eastAsia="仿宋_GB2312" w:cs="仿宋_GB2312"/>
          <w:snapToGrid w:val="0"/>
          <w:color w:val="000000"/>
          <w:sz w:val="32"/>
          <w:szCs w:val="32"/>
          <w:lang w:bidi="ar"/>
        </w:rPr>
        <w:t>长治</w:t>
      </w:r>
      <w:r>
        <w:rPr>
          <w:rFonts w:ascii="仿宋_GB2312" w:hAnsi="仿宋_GB2312" w:eastAsia="仿宋_GB2312" w:cs="仿宋_GB2312"/>
          <w:snapToGrid w:val="0"/>
          <w:color w:val="000000"/>
          <w:sz w:val="32"/>
          <w:szCs w:val="32"/>
          <w:lang w:bidi="ar"/>
        </w:rPr>
        <w:t>高新区</w:t>
      </w:r>
      <w:r>
        <w:rPr>
          <w:rFonts w:hint="eastAsia" w:ascii="仿宋_GB2312" w:hAnsi="仿宋_GB2312" w:eastAsia="仿宋_GB2312" w:cs="仿宋_GB2312"/>
          <w:snapToGrid w:val="0"/>
          <w:color w:val="000000"/>
          <w:sz w:val="32"/>
          <w:szCs w:val="32"/>
          <w:lang w:bidi="ar"/>
        </w:rPr>
        <w:t>“十五五”</w:t>
      </w:r>
      <w:r>
        <w:rPr>
          <w:rFonts w:ascii="仿宋_GB2312" w:hAnsi="仿宋_GB2312" w:eastAsia="仿宋_GB2312" w:cs="仿宋_GB2312"/>
          <w:snapToGrid w:val="0"/>
          <w:color w:val="000000"/>
          <w:sz w:val="32"/>
          <w:szCs w:val="32"/>
          <w:lang w:bidi="ar"/>
        </w:rPr>
        <w:t>规划为统领，出台具体实施方案和细则，完善保障机制，</w:t>
      </w:r>
      <w:r>
        <w:rPr>
          <w:rFonts w:hint="eastAsia" w:ascii="仿宋_GB2312" w:hAnsi="仿宋_GB2312" w:eastAsia="仿宋_GB2312" w:cs="仿宋_GB2312"/>
          <w:snapToGrid w:val="0"/>
          <w:color w:val="000000"/>
          <w:sz w:val="32"/>
          <w:szCs w:val="32"/>
          <w:lang w:bidi="ar"/>
        </w:rPr>
        <w:t>促进</w:t>
      </w:r>
      <w:r>
        <w:rPr>
          <w:rFonts w:ascii="仿宋_GB2312" w:hAnsi="仿宋_GB2312" w:eastAsia="仿宋_GB2312" w:cs="仿宋_GB2312"/>
          <w:snapToGrid w:val="0"/>
          <w:color w:val="000000"/>
          <w:sz w:val="32"/>
          <w:szCs w:val="32"/>
          <w:lang w:bidi="ar"/>
        </w:rPr>
        <w:t>规划</w:t>
      </w:r>
      <w:r>
        <w:rPr>
          <w:rFonts w:hint="eastAsia" w:ascii="仿宋_GB2312" w:hAnsi="仿宋_GB2312" w:eastAsia="仿宋_GB2312" w:cs="仿宋_GB2312"/>
          <w:snapToGrid w:val="0"/>
          <w:color w:val="000000"/>
          <w:sz w:val="32"/>
          <w:szCs w:val="32"/>
          <w:lang w:bidi="ar"/>
        </w:rPr>
        <w:t>落地落实</w:t>
      </w:r>
      <w:r>
        <w:rPr>
          <w:rFonts w:ascii="仿宋_GB2312" w:hAnsi="仿宋_GB2312" w:eastAsia="仿宋_GB2312" w:cs="仿宋_GB2312"/>
          <w:snapToGrid w:val="0"/>
          <w:color w:val="000000"/>
          <w:sz w:val="32"/>
          <w:szCs w:val="32"/>
          <w:lang w:bidi="ar"/>
        </w:rPr>
        <w:t>。</w:t>
      </w:r>
    </w:p>
    <w:p w14:paraId="26F3213D">
      <w:pPr>
        <w:widowControl/>
        <w:spacing w:line="600" w:lineRule="exact"/>
        <w:ind w:firstLine="643" w:firstLineChars="200"/>
        <w:rPr>
          <w:rFonts w:ascii="仿宋_GB2312" w:hAnsi="仿宋_GB2312" w:eastAsia="仿宋_GB2312" w:cs="仿宋_GB2312"/>
          <w:snapToGrid w:val="0"/>
          <w:color w:val="000000"/>
          <w:sz w:val="32"/>
          <w:szCs w:val="32"/>
        </w:rPr>
      </w:pPr>
      <w:r>
        <w:rPr>
          <w:rFonts w:ascii="仿宋_GB2312" w:hAnsi="仿宋_GB2312" w:eastAsia="仿宋_GB2312" w:cs="仿宋_GB2312"/>
          <w:b/>
          <w:bCs/>
          <w:snapToGrid w:val="0"/>
          <w:color w:val="000000"/>
          <w:sz w:val="32"/>
          <w:szCs w:val="32"/>
          <w:lang w:bidi="ar"/>
        </w:rPr>
        <w:t>加强党组织建设和从严治党。</w:t>
      </w:r>
      <w:r>
        <w:rPr>
          <w:rFonts w:ascii="仿宋_GB2312" w:hAnsi="仿宋_GB2312" w:eastAsia="仿宋_GB2312" w:cs="仿宋_GB2312"/>
          <w:snapToGrid w:val="0"/>
          <w:color w:val="000000"/>
          <w:sz w:val="32"/>
          <w:szCs w:val="32"/>
          <w:lang w:bidi="ar"/>
        </w:rPr>
        <w:t>压紧压实全面从严治党主体责任、监督责任，推动全面从严治党向纵深发展，不断提高党建质量。持续构建干部正向激励机制和担当作为保障机制。长期坚持“严”的主基调，推动主体责任和监督责任贯通协同、一体落实，坚持惩治高压、权力归笼、思想自律三管齐下，一体推进不敢腐、不能腐、不想腐。锲而不舍落实中央八项规定及实施细则精神，持续纠治形式主义、官僚主义，坚决防止“四风”问题反弹回潮。精准运用监督执纪“四种形态”，健全党统一领导、全面覆盖、权威高效的监督体系，强化对公权力运行的制约和监督。</w:t>
      </w:r>
    </w:p>
    <w:p w14:paraId="584EEBA3">
      <w:pPr>
        <w:spacing w:line="600" w:lineRule="exact"/>
        <w:ind w:firstLine="420"/>
        <w:rPr>
          <w:rFonts w:ascii="仿宋_GB2312" w:hAnsi="仿宋_GB2312" w:eastAsia="仿宋_GB2312" w:cs="仿宋_GB2312"/>
          <w:snapToGrid w:val="0"/>
          <w:color w:val="000000"/>
          <w:sz w:val="32"/>
          <w:szCs w:val="32"/>
        </w:rPr>
      </w:pPr>
    </w:p>
    <w:p w14:paraId="66B2BB2E">
      <w:pPr>
        <w:pStyle w:val="4"/>
        <w:spacing w:line="600" w:lineRule="exact"/>
        <w:ind w:firstLine="2240" w:firstLineChars="700"/>
        <w:jc w:val="both"/>
      </w:pPr>
      <w:bookmarkStart w:id="304" w:name="_Toc223176567"/>
      <w:bookmarkStart w:id="305" w:name="_Toc16429"/>
      <w:bookmarkStart w:id="306" w:name="_Toc28086"/>
      <w:bookmarkStart w:id="307" w:name="_Toc32611"/>
      <w:r>
        <w:rPr>
          <w:rFonts w:hint="eastAsia"/>
        </w:rPr>
        <w:t>第二节 强化项目和资金保障</w:t>
      </w:r>
      <w:bookmarkEnd w:id="304"/>
      <w:bookmarkEnd w:id="305"/>
      <w:bookmarkEnd w:id="306"/>
      <w:bookmarkEnd w:id="307"/>
    </w:p>
    <w:p w14:paraId="71C3D449">
      <w:pPr>
        <w:widowControl/>
        <w:spacing w:line="600" w:lineRule="exact"/>
        <w:ind w:right="221" w:firstLine="643" w:firstLineChars="200"/>
        <w:rPr>
          <w:rFonts w:ascii="仿宋_GB2312" w:hAnsi="仿宋_GB2312" w:eastAsia="仿宋_GB2312" w:cs="仿宋_GB2312"/>
          <w:b/>
          <w:bCs/>
          <w:snapToGrid w:val="0"/>
          <w:color w:val="000000"/>
          <w:sz w:val="32"/>
          <w:szCs w:val="32"/>
          <w:lang w:bidi="ar"/>
        </w:rPr>
      </w:pPr>
    </w:p>
    <w:p w14:paraId="00B3E90A">
      <w:pPr>
        <w:widowControl/>
        <w:spacing w:line="600" w:lineRule="exact"/>
        <w:ind w:right="221" w:firstLine="643" w:firstLineChars="200"/>
        <w:rPr>
          <w:rFonts w:ascii="仿宋_GB2312" w:hAnsi="仿宋_GB2312" w:eastAsia="仿宋_GB2312" w:cs="仿宋_GB2312"/>
          <w:snapToGrid w:val="0"/>
          <w:color w:val="000000"/>
          <w:sz w:val="32"/>
          <w:szCs w:val="32"/>
          <w:lang w:bidi="ar"/>
        </w:rPr>
      </w:pPr>
      <w:r>
        <w:rPr>
          <w:rFonts w:hint="eastAsia" w:ascii="仿宋_GB2312" w:hAnsi="仿宋_GB2312" w:eastAsia="仿宋_GB2312" w:cs="仿宋_GB2312"/>
          <w:b/>
          <w:bCs/>
          <w:snapToGrid w:val="0"/>
          <w:color w:val="000000"/>
          <w:sz w:val="32"/>
          <w:szCs w:val="32"/>
          <w:lang w:bidi="ar"/>
        </w:rPr>
        <w:t>强化重大项目保障。</w:t>
      </w:r>
      <w:r>
        <w:rPr>
          <w:rFonts w:hint="eastAsia" w:ascii="仿宋_GB2312" w:hAnsi="仿宋_GB2312" w:eastAsia="仿宋_GB2312" w:cs="仿宋_GB2312"/>
          <w:snapToGrid w:val="0"/>
          <w:color w:val="000000"/>
          <w:sz w:val="32"/>
          <w:szCs w:val="32"/>
          <w:lang w:bidi="ar"/>
        </w:rPr>
        <w:t>坚持规划引领、项目支撑，围绕重点领域，谋划提出有全局性、前瞻性、带动性的大工程、好项目，推进一批强基础、增功能、利长远的重大项目建设，以重大工程、重大项目实施支撑规划目标推进落实。</w:t>
      </w:r>
      <w:r>
        <w:rPr>
          <w:rFonts w:ascii="仿宋_GB2312" w:hAnsi="仿宋_GB2312" w:eastAsia="仿宋_GB2312" w:cs="仿宋_GB2312"/>
          <w:snapToGrid w:val="0"/>
          <w:color w:val="000000"/>
          <w:sz w:val="32"/>
          <w:szCs w:val="32"/>
          <w:lang w:bidi="ar"/>
        </w:rPr>
        <w:t>建立重大项目数据库，加强对重大项目的规划、遴选和储备，提高项目前期决策的科学性、规范性，进行前期评估评审。</w:t>
      </w:r>
      <w:r>
        <w:rPr>
          <w:rFonts w:hint="eastAsia" w:ascii="仿宋_GB2312" w:hAnsi="仿宋_GB2312" w:eastAsia="仿宋_GB2312" w:cs="仿宋_GB2312"/>
          <w:snapToGrid w:val="0"/>
          <w:color w:val="000000"/>
          <w:sz w:val="32"/>
          <w:szCs w:val="32"/>
        </w:rPr>
        <w:t>围绕重点产业项目和重大投资项目，全面推行项目清单化推进机制,一个重点项目明确一名管委会领导牵头、一名项目专员负责，实行从签约、审批、建设到投产的全过程跟踪服务。</w:t>
      </w:r>
      <w:r>
        <w:rPr>
          <w:rFonts w:ascii="仿宋_GB2312" w:hAnsi="仿宋_GB2312" w:eastAsia="仿宋_GB2312" w:cs="仿宋_GB2312"/>
          <w:snapToGrid w:val="0"/>
          <w:color w:val="000000"/>
          <w:sz w:val="32"/>
          <w:szCs w:val="32"/>
          <w:lang w:bidi="ar"/>
        </w:rPr>
        <w:t>加快推进重大项目建设，完善重大项目跟踪督查机制。</w:t>
      </w:r>
    </w:p>
    <w:p w14:paraId="10FFC322">
      <w:pPr>
        <w:widowControl/>
        <w:pBdr>
          <w:bottom w:val="none" w:color="auto" w:sz="0" w:space="31"/>
        </w:pBdr>
        <w:spacing w:line="600" w:lineRule="exact"/>
        <w:ind w:firstLine="630" w:firstLineChars="196"/>
        <w:rPr>
          <w:rFonts w:eastAsia="仿宋_GB2312"/>
          <w:lang w:bidi="ar"/>
        </w:rPr>
      </w:pPr>
      <w:r>
        <w:rPr>
          <w:rFonts w:hint="eastAsia" w:ascii="仿宋_GB2312" w:hAnsi="仿宋_GB2312" w:eastAsia="仿宋_GB2312" w:cs="仿宋_GB2312"/>
          <w:b/>
          <w:snapToGrid w:val="0"/>
          <w:color w:val="000000"/>
          <w:sz w:val="32"/>
          <w:szCs w:val="32"/>
          <w:lang w:bidi="ar"/>
        </w:rPr>
        <w:t>强化资金保障。</w:t>
      </w:r>
      <w:r>
        <w:rPr>
          <w:rFonts w:hint="eastAsia" w:ascii="仿宋_GB2312" w:hAnsi="仿宋_GB2312" w:eastAsia="仿宋_GB2312" w:cs="仿宋_GB2312"/>
          <w:snapToGrid w:val="0"/>
          <w:color w:val="000000"/>
          <w:sz w:val="32"/>
          <w:szCs w:val="32"/>
          <w:lang w:bidi="ar"/>
        </w:rPr>
        <w:t>牢固树立过“紧日子”的理念，</w:t>
      </w:r>
      <w:r>
        <w:rPr>
          <w:rFonts w:hint="eastAsia" w:ascii="仿宋_GB2312" w:hAnsi="仿宋_GB2312" w:eastAsia="仿宋_GB2312" w:cs="仿宋_GB2312"/>
          <w:snapToGrid w:val="0"/>
          <w:color w:val="000000"/>
          <w:sz w:val="32"/>
          <w:szCs w:val="32"/>
        </w:rPr>
        <w:t>非刚性、非重点支出应压尽压，</w:t>
      </w:r>
      <w:r>
        <w:rPr>
          <w:rFonts w:hint="eastAsia" w:ascii="仿宋_GB2312" w:hAnsi="仿宋_GB2312" w:eastAsia="仿宋_GB2312" w:cs="仿宋_GB2312"/>
          <w:snapToGrid w:val="0"/>
          <w:color w:val="000000"/>
          <w:sz w:val="32"/>
          <w:szCs w:val="32"/>
          <w:lang w:bidi="ar"/>
        </w:rPr>
        <w:t>将钱花在刀刃上，把更多资源投入到产业发展和项目建设上。</w:t>
      </w:r>
      <w:r>
        <w:rPr>
          <w:rFonts w:hint="eastAsia" w:ascii="仿宋_GB2312" w:hAnsi="仿宋_GB2312" w:eastAsia="仿宋_GB2312" w:cs="仿宋_GB2312"/>
          <w:sz w:val="32"/>
          <w:szCs w:val="32"/>
        </w:rPr>
        <w:t>加快理顺市区两级增量财税</w:t>
      </w:r>
      <w:r>
        <w:rPr>
          <w:rFonts w:ascii="仿宋_GB2312" w:hAnsi="仿宋_GB2312" w:eastAsia="仿宋_GB2312" w:cs="仿宋_GB2312"/>
          <w:sz w:val="32"/>
          <w:szCs w:val="32"/>
        </w:rPr>
        <w:t>分配机制，为高新区可持续发展赋能增力</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稳步推动</w:t>
      </w:r>
      <w:r>
        <w:rPr>
          <w:rFonts w:hint="eastAsia" w:ascii="仿宋_GB2312" w:hAnsi="仿宋_GB2312" w:eastAsia="仿宋_GB2312" w:cs="仿宋_GB2312"/>
          <w:sz w:val="32"/>
          <w:szCs w:val="32"/>
        </w:rPr>
        <w:t>住宅用地</w:t>
      </w:r>
      <w:r>
        <w:rPr>
          <w:rFonts w:ascii="仿宋_GB2312" w:hAnsi="仿宋_GB2312" w:eastAsia="仿宋_GB2312" w:cs="仿宋_GB2312"/>
          <w:sz w:val="32"/>
          <w:szCs w:val="32"/>
        </w:rPr>
        <w:t>收益政策优化，</w:t>
      </w:r>
      <w:r>
        <w:rPr>
          <w:rFonts w:hint="eastAsia" w:ascii="仿宋_GB2312" w:hAnsi="仿宋_GB2312" w:eastAsia="仿宋_GB2312" w:cs="仿宋_GB2312"/>
          <w:sz w:val="32"/>
          <w:szCs w:val="32"/>
        </w:rPr>
        <w:t>推动出台更有利于高新区发展的创新政策，</w:t>
      </w:r>
      <w:r>
        <w:rPr>
          <w:rFonts w:ascii="仿宋_GB2312" w:hAnsi="仿宋_GB2312" w:eastAsia="仿宋_GB2312" w:cs="仿宋_GB2312"/>
          <w:sz w:val="32"/>
          <w:szCs w:val="32"/>
        </w:rPr>
        <w:t>为城市建设与产业发展强化资源保障。</w:t>
      </w:r>
      <w:r>
        <w:rPr>
          <w:rFonts w:hint="eastAsia" w:ascii="仿宋_GB2312" w:hAnsi="仿宋_GB2312" w:eastAsia="仿宋_GB2312" w:cs="仿宋_GB2312"/>
          <w:snapToGrid w:val="0"/>
          <w:color w:val="000000"/>
          <w:sz w:val="32"/>
          <w:szCs w:val="32"/>
        </w:rPr>
        <w:t>加大力度争取中央预算内投资、超长期国债、专项债等各类政策性资金，为重点项目建设解决资金难题。创新资金统筹方式，盘活存量资产资源，避免资金闲置浪费，实现“花小钱办大事、少花钱多办事”。</w:t>
      </w:r>
    </w:p>
    <w:p w14:paraId="3EEDA00E">
      <w:pPr>
        <w:pStyle w:val="4"/>
        <w:spacing w:line="600" w:lineRule="exact"/>
        <w:ind w:firstLine="2240" w:firstLineChars="700"/>
        <w:jc w:val="both"/>
      </w:pPr>
      <w:bookmarkStart w:id="308" w:name="_Toc223176568"/>
      <w:bookmarkStart w:id="309" w:name="_Toc5743"/>
      <w:bookmarkStart w:id="310" w:name="_Toc558"/>
      <w:bookmarkStart w:id="311" w:name="_Toc20451"/>
      <w:r>
        <w:rPr>
          <w:rFonts w:hint="eastAsia"/>
          <w:lang w:bidi="ar"/>
        </w:rPr>
        <w:t>第</w:t>
      </w:r>
      <w:r>
        <w:rPr>
          <w:rFonts w:hint="eastAsia"/>
        </w:rPr>
        <w:t>三节 完善规划实施体制机制</w:t>
      </w:r>
      <w:bookmarkEnd w:id="308"/>
      <w:bookmarkEnd w:id="309"/>
      <w:bookmarkEnd w:id="310"/>
      <w:bookmarkEnd w:id="311"/>
    </w:p>
    <w:p w14:paraId="3D2220F9">
      <w:pPr>
        <w:widowControl/>
        <w:spacing w:line="600" w:lineRule="exact"/>
        <w:rPr>
          <w:rFonts w:ascii="仿宋_GB2312" w:hAnsi="仿宋_GB2312" w:eastAsia="仿宋_GB2312" w:cs="仿宋_GB2312"/>
          <w:snapToGrid w:val="0"/>
          <w:color w:val="000000"/>
          <w:sz w:val="32"/>
          <w:szCs w:val="32"/>
          <w:lang w:bidi="ar"/>
        </w:rPr>
      </w:pPr>
    </w:p>
    <w:p w14:paraId="6157D78F">
      <w:pPr>
        <w:widowControl/>
        <w:spacing w:line="600" w:lineRule="exact"/>
        <w:ind w:firstLine="643" w:firstLineChars="200"/>
        <w:rPr>
          <w:rFonts w:ascii="仿宋_GB2312" w:hAnsi="仿宋_GB2312" w:eastAsia="仿宋_GB2312" w:cs="仿宋_GB2312"/>
          <w:snapToGrid w:val="0"/>
          <w:color w:val="000000"/>
          <w:sz w:val="32"/>
          <w:szCs w:val="32"/>
          <w:lang w:bidi="ar"/>
        </w:rPr>
      </w:pPr>
      <w:r>
        <w:rPr>
          <w:rFonts w:ascii="仿宋_GB2312" w:hAnsi="仿宋_GB2312" w:eastAsia="仿宋_GB2312" w:cs="仿宋_GB2312"/>
          <w:b/>
          <w:bCs/>
          <w:snapToGrid w:val="0"/>
          <w:color w:val="000000"/>
          <w:sz w:val="32"/>
          <w:szCs w:val="32"/>
          <w:lang w:bidi="ar"/>
        </w:rPr>
        <w:t>健全监督评价机制。</w:t>
      </w:r>
      <w:r>
        <w:rPr>
          <w:rFonts w:ascii="仿宋_GB2312" w:hAnsi="仿宋_GB2312" w:eastAsia="仿宋_GB2312" w:cs="仿宋_GB2312"/>
          <w:snapToGrid w:val="0"/>
          <w:color w:val="000000"/>
          <w:sz w:val="32"/>
          <w:szCs w:val="32"/>
          <w:lang w:bidi="ar"/>
        </w:rPr>
        <w:t>建立专家咨询委员会，发挥两代表一委员、媒体</w:t>
      </w:r>
      <w:r>
        <w:rPr>
          <w:rFonts w:hint="eastAsia" w:ascii="仿宋_GB2312" w:hAnsi="仿宋_GB2312" w:eastAsia="仿宋_GB2312" w:cs="仿宋_GB2312"/>
          <w:snapToGrid w:val="0"/>
          <w:color w:val="000000"/>
          <w:sz w:val="32"/>
          <w:szCs w:val="32"/>
          <w:lang w:bidi="ar"/>
        </w:rPr>
        <w:t>、园区企业</w:t>
      </w:r>
      <w:r>
        <w:rPr>
          <w:rFonts w:ascii="仿宋_GB2312" w:hAnsi="仿宋_GB2312" w:eastAsia="仿宋_GB2312" w:cs="仿宋_GB2312"/>
          <w:snapToGrid w:val="0"/>
          <w:color w:val="000000"/>
          <w:sz w:val="32"/>
          <w:szCs w:val="32"/>
          <w:lang w:bidi="ar"/>
        </w:rPr>
        <w:t>等多元监督作用，强化纪检监察、组织人事、巡视</w:t>
      </w:r>
      <w:r>
        <w:rPr>
          <w:rFonts w:hint="eastAsia" w:ascii="仿宋_GB2312" w:hAnsi="仿宋_GB2312" w:eastAsia="仿宋_GB2312" w:cs="仿宋_GB2312"/>
          <w:snapToGrid w:val="0"/>
          <w:color w:val="000000"/>
          <w:sz w:val="32"/>
          <w:szCs w:val="32"/>
          <w:lang w:bidi="ar"/>
        </w:rPr>
        <w:t>巡察</w:t>
      </w:r>
      <w:r>
        <w:rPr>
          <w:rFonts w:ascii="仿宋_GB2312" w:hAnsi="仿宋_GB2312" w:eastAsia="仿宋_GB2312" w:cs="仿宋_GB2312"/>
          <w:snapToGrid w:val="0"/>
          <w:color w:val="000000"/>
          <w:sz w:val="32"/>
          <w:szCs w:val="32"/>
          <w:lang w:bidi="ar"/>
        </w:rPr>
        <w:t>审计等监督作用</w:t>
      </w:r>
      <w:r>
        <w:rPr>
          <w:rFonts w:hint="eastAsia" w:ascii="仿宋_GB2312" w:hAnsi="仿宋_GB2312" w:eastAsia="仿宋_GB2312" w:cs="仿宋_GB2312"/>
          <w:snapToGrid w:val="0"/>
          <w:color w:val="000000"/>
          <w:sz w:val="32"/>
          <w:szCs w:val="32"/>
          <w:lang w:bidi="ar"/>
        </w:rPr>
        <w:t>。</w:t>
      </w:r>
      <w:r>
        <w:rPr>
          <w:rFonts w:ascii="仿宋_GB2312" w:hAnsi="仿宋_GB2312" w:eastAsia="仿宋_GB2312" w:cs="仿宋_GB2312"/>
          <w:snapToGrid w:val="0"/>
          <w:color w:val="000000"/>
          <w:sz w:val="32"/>
          <w:szCs w:val="32"/>
          <w:lang w:bidi="ar"/>
        </w:rPr>
        <w:t>建立与创新驱动发展和深化改革开放相配套、适应的监督机制和容错机制。建立有效信息反馈机制，在规划实施过程中，针对反馈意见或建议，建立高效信息传导路径和客观评价机制，对信息进行专业评估。</w:t>
      </w:r>
    </w:p>
    <w:p w14:paraId="01F56065">
      <w:pPr>
        <w:widowControl/>
        <w:spacing w:line="600" w:lineRule="exact"/>
        <w:ind w:firstLine="643" w:firstLineChars="200"/>
        <w:rPr>
          <w:rFonts w:ascii="仿宋_GB2312" w:hAnsi="仿宋_GB2312" w:eastAsia="仿宋_GB2312" w:cs="仿宋_GB2312"/>
          <w:snapToGrid w:val="0"/>
          <w:color w:val="000000"/>
          <w:sz w:val="32"/>
          <w:szCs w:val="32"/>
          <w:lang w:bidi="ar"/>
        </w:rPr>
      </w:pPr>
      <w:r>
        <w:rPr>
          <w:rFonts w:ascii="仿宋_GB2312" w:hAnsi="仿宋_GB2312" w:eastAsia="仿宋_GB2312" w:cs="仿宋_GB2312"/>
          <w:b/>
          <w:bCs/>
          <w:snapToGrid w:val="0"/>
          <w:color w:val="000000"/>
          <w:sz w:val="32"/>
          <w:szCs w:val="32"/>
          <w:lang w:bidi="ar"/>
        </w:rPr>
        <w:t>建立动态监测机制。</w:t>
      </w:r>
      <w:r>
        <w:rPr>
          <w:rFonts w:ascii="仿宋_GB2312" w:hAnsi="仿宋_GB2312" w:eastAsia="仿宋_GB2312" w:cs="仿宋_GB2312"/>
          <w:snapToGrid w:val="0"/>
          <w:color w:val="000000"/>
          <w:sz w:val="32"/>
          <w:szCs w:val="32"/>
          <w:lang w:bidi="ar"/>
        </w:rPr>
        <w:t>建立规划实施动态监测机制，围绕经济发展、产业培育、科技创新、绿色转型等核心指标，设定监测预警阈值，实行</w:t>
      </w:r>
      <w:r>
        <w:rPr>
          <w:rFonts w:hint="eastAsia" w:ascii="仿宋_GB2312" w:hAnsi="仿宋_GB2312" w:eastAsia="仿宋_GB2312" w:cs="仿宋_GB2312"/>
          <w:snapToGrid w:val="0"/>
          <w:color w:val="000000"/>
          <w:sz w:val="32"/>
          <w:szCs w:val="32"/>
          <w:lang w:bidi="ar"/>
        </w:rPr>
        <w:t>年度动态监测</w:t>
      </w:r>
      <w:r>
        <w:rPr>
          <w:rFonts w:ascii="仿宋_GB2312" w:hAnsi="仿宋_GB2312" w:eastAsia="仿宋_GB2312" w:cs="仿宋_GB2312"/>
          <w:snapToGrid w:val="0"/>
          <w:color w:val="000000"/>
          <w:sz w:val="32"/>
          <w:szCs w:val="32"/>
          <w:lang w:bidi="ar"/>
        </w:rPr>
        <w:t>。</w:t>
      </w:r>
      <w:r>
        <w:rPr>
          <w:rFonts w:hint="eastAsia" w:ascii="仿宋_GB2312" w:hAnsi="仿宋_GB2312" w:eastAsia="仿宋_GB2312" w:cs="仿宋_GB2312"/>
          <w:snapToGrid w:val="0"/>
          <w:color w:val="000000"/>
          <w:sz w:val="32"/>
          <w:szCs w:val="32"/>
          <w:lang w:bidi="ar"/>
        </w:rPr>
        <w:t>加强统计队伍建设，设置园区统计专岗，加强统计人员专业培训，构建“稳定化+专业化”基层统计人员体系，解决好统计部门人员紧缺、专业覆盖不全、园区统计岗位不稳定等问题，确保园区主要指标应统尽统。</w:t>
      </w:r>
      <w:r>
        <w:rPr>
          <w:rFonts w:ascii="仿宋_GB2312" w:hAnsi="仿宋_GB2312" w:eastAsia="仿宋_GB2312" w:cs="仿宋_GB2312"/>
          <w:snapToGrid w:val="0"/>
          <w:color w:val="000000"/>
          <w:sz w:val="32"/>
          <w:szCs w:val="32"/>
          <w:lang w:bidi="ar"/>
        </w:rPr>
        <w:t>建立快速响应机制，对监测发现的问题及时交办、限期整改，确保规划实施不偏离、不走样。</w:t>
      </w:r>
    </w:p>
    <w:p w14:paraId="3D7FB532">
      <w:pPr>
        <w:widowControl/>
        <w:spacing w:line="600" w:lineRule="exact"/>
        <w:ind w:firstLine="643" w:firstLineChars="200"/>
        <w:rPr>
          <w:rFonts w:ascii="仿宋_GB2312" w:hAnsi="仿宋_GB2312" w:eastAsia="仿宋_GB2312" w:cs="仿宋_GB2312"/>
          <w:snapToGrid w:val="0"/>
          <w:color w:val="000000"/>
          <w:sz w:val="32"/>
          <w:szCs w:val="32"/>
          <w:lang w:bidi="ar"/>
        </w:rPr>
      </w:pPr>
      <w:r>
        <w:rPr>
          <w:rFonts w:hint="eastAsia" w:ascii="仿宋_GB2312" w:hAnsi="仿宋_GB2312" w:eastAsia="仿宋_GB2312" w:cs="仿宋_GB2312"/>
          <w:b/>
          <w:bCs/>
          <w:snapToGrid w:val="0"/>
          <w:color w:val="000000"/>
          <w:sz w:val="32"/>
          <w:szCs w:val="32"/>
          <w:lang w:bidi="ar"/>
        </w:rPr>
        <w:t>建立动态调整机制。</w:t>
      </w:r>
      <w:r>
        <w:rPr>
          <w:rFonts w:ascii="仿宋_GB2312" w:hAnsi="仿宋_GB2312" w:eastAsia="仿宋_GB2312" w:cs="仿宋_GB2312"/>
          <w:snapToGrid w:val="0"/>
          <w:color w:val="000000"/>
          <w:sz w:val="32"/>
          <w:szCs w:val="32"/>
          <w:lang w:bidi="ar"/>
        </w:rPr>
        <w:t>充分结合国家和省市经济社会发展形势变化以及高新区发展过程中出现的重大事项，在贯彻落实上级政策和规划基础上，实现高新区重点工程统筹布局，对规划实施路径和具体措施做出及时调整，保证规划的权威性与可行性。</w:t>
      </w:r>
    </w:p>
    <w:p w14:paraId="675702F9">
      <w:pPr>
        <w:widowControl/>
        <w:spacing w:line="600" w:lineRule="exact"/>
        <w:rPr>
          <w:rFonts w:ascii="仿宋_GB2312" w:hAnsi="仿宋_GB2312" w:eastAsia="仿宋_GB2312" w:cs="仿宋_GB2312"/>
          <w:snapToGrid w:val="0"/>
          <w:color w:val="000000"/>
          <w:sz w:val="32"/>
          <w:szCs w:val="32"/>
          <w:lang w:bidi="ar"/>
        </w:rPr>
      </w:pPr>
      <w:r>
        <w:rPr>
          <w:rFonts w:ascii="仿宋_GB2312" w:hAnsi="仿宋_GB2312" w:eastAsia="仿宋_GB2312" w:cs="仿宋_GB2312"/>
          <w:snapToGrid w:val="0"/>
          <w:color w:val="000000"/>
          <w:sz w:val="32"/>
          <w:szCs w:val="32"/>
          <w:lang w:bidi="ar"/>
        </w:rPr>
        <w:t xml:space="preserve"> </w:t>
      </w:r>
      <w:r>
        <w:rPr>
          <w:rFonts w:hint="eastAsia" w:ascii="仿宋_GB2312" w:hAnsi="仿宋_GB2312" w:eastAsia="仿宋_GB2312" w:cs="仿宋_GB2312"/>
          <w:snapToGrid w:val="0"/>
          <w:color w:val="000000"/>
          <w:sz w:val="32"/>
          <w:szCs w:val="32"/>
          <w:lang w:bidi="ar"/>
        </w:rPr>
        <w:t xml:space="preserve">  </w:t>
      </w:r>
    </w:p>
    <w:p w14:paraId="101A0A10">
      <w:pPr>
        <w:pStyle w:val="4"/>
        <w:spacing w:line="600" w:lineRule="exact"/>
        <w:ind w:firstLine="2880" w:firstLineChars="900"/>
        <w:jc w:val="both"/>
      </w:pPr>
      <w:bookmarkStart w:id="312" w:name="_Toc1864"/>
      <w:bookmarkStart w:id="313" w:name="_Toc12863"/>
      <w:bookmarkStart w:id="314" w:name="_Toc223176569"/>
      <w:bookmarkStart w:id="315" w:name="_Toc32614"/>
      <w:r>
        <w:rPr>
          <w:rFonts w:hint="eastAsia"/>
        </w:rPr>
        <w:t>第四节 健全考核评估体系</w:t>
      </w:r>
      <w:bookmarkEnd w:id="312"/>
      <w:bookmarkEnd w:id="313"/>
      <w:bookmarkEnd w:id="314"/>
      <w:bookmarkEnd w:id="315"/>
      <w:r>
        <w:rPr>
          <w:rFonts w:hint="eastAsia"/>
        </w:rPr>
        <w:t xml:space="preserve"> </w:t>
      </w:r>
    </w:p>
    <w:p w14:paraId="5200C81A">
      <w:pPr>
        <w:widowControl/>
        <w:spacing w:line="600" w:lineRule="exact"/>
        <w:ind w:firstLine="2560" w:firstLineChars="800"/>
        <w:rPr>
          <w:rFonts w:ascii="楷体_GB2312" w:hAnsi="楷体_GB2312" w:eastAsia="楷体_GB2312" w:cs="楷体_GB2312"/>
          <w:snapToGrid w:val="0"/>
          <w:color w:val="000000"/>
          <w:sz w:val="32"/>
          <w:szCs w:val="32"/>
          <w:lang w:bidi="ar"/>
        </w:rPr>
      </w:pPr>
    </w:p>
    <w:p w14:paraId="03096172">
      <w:pPr>
        <w:widowControl/>
        <w:spacing w:line="600" w:lineRule="exact"/>
        <w:ind w:firstLine="643" w:firstLineChars="200"/>
        <w:rPr>
          <w:rFonts w:ascii="仿宋_GB2312" w:hAnsi="仿宋_GB2312" w:eastAsia="仿宋_GB2312" w:cs="仿宋_GB2312"/>
          <w:snapToGrid w:val="0"/>
          <w:color w:val="000000"/>
          <w:sz w:val="32"/>
          <w:szCs w:val="32"/>
          <w:lang w:bidi="ar"/>
        </w:rPr>
      </w:pPr>
      <w:r>
        <w:rPr>
          <w:rFonts w:ascii="仿宋_GB2312" w:hAnsi="仿宋_GB2312" w:eastAsia="仿宋_GB2312" w:cs="仿宋_GB2312"/>
          <w:b/>
          <w:bCs/>
          <w:snapToGrid w:val="0"/>
          <w:color w:val="000000"/>
          <w:sz w:val="32"/>
          <w:szCs w:val="32"/>
          <w:lang w:bidi="ar"/>
        </w:rPr>
        <w:t>合理分解实施目标。</w:t>
      </w:r>
      <w:r>
        <w:rPr>
          <w:rFonts w:ascii="仿宋_GB2312" w:hAnsi="仿宋_GB2312" w:eastAsia="仿宋_GB2312" w:cs="仿宋_GB2312"/>
          <w:snapToGrid w:val="0"/>
          <w:color w:val="000000"/>
          <w:sz w:val="32"/>
          <w:szCs w:val="32"/>
          <w:lang w:bidi="ar"/>
        </w:rPr>
        <w:t>对“十</w:t>
      </w:r>
      <w:r>
        <w:rPr>
          <w:rFonts w:hint="eastAsia" w:ascii="仿宋_GB2312" w:hAnsi="仿宋_GB2312" w:eastAsia="仿宋_GB2312" w:cs="仿宋_GB2312"/>
          <w:snapToGrid w:val="0"/>
          <w:color w:val="000000"/>
          <w:sz w:val="32"/>
          <w:szCs w:val="32"/>
          <w:lang w:bidi="ar"/>
        </w:rPr>
        <w:t>五</w:t>
      </w:r>
      <w:r>
        <w:rPr>
          <w:rFonts w:ascii="仿宋_GB2312" w:hAnsi="仿宋_GB2312" w:eastAsia="仿宋_GB2312" w:cs="仿宋_GB2312"/>
          <w:snapToGrid w:val="0"/>
          <w:color w:val="000000"/>
          <w:sz w:val="32"/>
          <w:szCs w:val="32"/>
          <w:lang w:bidi="ar"/>
        </w:rPr>
        <w:t xml:space="preserve">五”规划的重大项目、重点任务进行合理分解，制定年度、中期等阶段目标，定期考核。各部门细致分工，通力合作，将分解后的阶段目标落实到责任主体。科学制定评估方案。根据各阶段目标任务构建规划完成情况的评估体系，针对各阶段重点难点工作制定科学、合理的评估细则。加强对各责任主体的过程考核和专项跟踪考核，制定差异化考核标准，全面评估各责任主体在规划实施和完成过程中的作用。 </w:t>
      </w:r>
    </w:p>
    <w:p w14:paraId="19EBF748">
      <w:pPr>
        <w:widowControl/>
        <w:spacing w:line="600" w:lineRule="exact"/>
        <w:ind w:firstLine="643" w:firstLineChars="200"/>
        <w:rPr>
          <w:rFonts w:ascii="仿宋_GB2312" w:hAnsi="仿宋_GB2312" w:eastAsia="仿宋_GB2312" w:cs="仿宋_GB2312"/>
          <w:snapToGrid w:val="0"/>
          <w:color w:val="000000"/>
          <w:sz w:val="32"/>
          <w:szCs w:val="32"/>
          <w:lang w:bidi="ar"/>
        </w:rPr>
      </w:pPr>
      <w:r>
        <w:rPr>
          <w:rFonts w:ascii="仿宋_GB2312" w:hAnsi="仿宋_GB2312" w:eastAsia="仿宋_GB2312" w:cs="仿宋_GB2312"/>
          <w:b/>
          <w:bCs/>
          <w:snapToGrid w:val="0"/>
          <w:color w:val="000000"/>
          <w:sz w:val="32"/>
          <w:szCs w:val="32"/>
          <w:lang w:bidi="ar"/>
        </w:rPr>
        <w:t>严格执行奖惩制度</w:t>
      </w:r>
      <w:r>
        <w:rPr>
          <w:rFonts w:ascii="仿宋_GB2312" w:hAnsi="仿宋_GB2312" w:eastAsia="仿宋_GB2312" w:cs="仿宋_GB2312"/>
          <w:snapToGrid w:val="0"/>
          <w:color w:val="000000"/>
          <w:sz w:val="32"/>
          <w:szCs w:val="32"/>
          <w:lang w:bidi="ar"/>
        </w:rPr>
        <w:t>。根据规划实施的具体要求，在科学制定阶段目标与评估制度的基础上，制定明确的奖惩细则，进一步完善规划实施激励机制，</w:t>
      </w:r>
      <w:r>
        <w:rPr>
          <w:rFonts w:hint="eastAsia" w:ascii="仿宋_GB2312" w:hAnsi="仿宋_GB2312" w:eastAsia="仿宋_GB2312" w:cs="仿宋_GB2312"/>
          <w:snapToGrid w:val="0"/>
          <w:color w:val="000000"/>
          <w:sz w:val="32"/>
          <w:szCs w:val="32"/>
        </w:rPr>
        <w:t>强化评估结果运用，将评估结果与部门绩效考核、干部履职评价挂钩，</w:t>
      </w:r>
      <w:r>
        <w:rPr>
          <w:rFonts w:ascii="仿宋_GB2312" w:hAnsi="仿宋_GB2312" w:eastAsia="仿宋_GB2312" w:cs="仿宋_GB2312"/>
          <w:snapToGrid w:val="0"/>
          <w:color w:val="000000"/>
          <w:sz w:val="32"/>
          <w:szCs w:val="32"/>
          <w:lang w:bidi="ar"/>
        </w:rPr>
        <w:t xml:space="preserve">充分调动各责任主体的积极性、主动性和协同性。 </w:t>
      </w:r>
    </w:p>
    <w:p w14:paraId="0C7A46B9">
      <w:pPr>
        <w:widowControl/>
        <w:spacing w:line="600" w:lineRule="exact"/>
        <w:ind w:firstLine="640" w:firstLineChars="200"/>
        <w:rPr>
          <w:rFonts w:ascii="仿宋_GB2312" w:hAnsi="仿宋_GB2312" w:eastAsia="仿宋_GB2312" w:cs="仿宋_GB2312"/>
          <w:snapToGrid w:val="0"/>
          <w:color w:val="000000"/>
          <w:sz w:val="32"/>
          <w:szCs w:val="32"/>
          <w:lang w:bidi="ar"/>
        </w:rPr>
      </w:pPr>
    </w:p>
    <w:p w14:paraId="49F7EF36">
      <w:pPr>
        <w:widowControl/>
        <w:spacing w:line="600" w:lineRule="exact"/>
        <w:ind w:firstLine="640" w:firstLineChars="200"/>
        <w:rPr>
          <w:rFonts w:ascii="仿宋_GB2312" w:hAnsi="仿宋_GB2312" w:eastAsia="仿宋_GB2312" w:cs="仿宋_GB2312"/>
          <w:snapToGrid w:val="0"/>
          <w:color w:val="000000"/>
          <w:sz w:val="32"/>
          <w:szCs w:val="32"/>
          <w:lang w:bidi="ar"/>
        </w:rPr>
      </w:pPr>
    </w:p>
    <w:p w14:paraId="47A0D9D0">
      <w:pPr>
        <w:widowControl/>
        <w:spacing w:line="600" w:lineRule="exact"/>
        <w:ind w:firstLine="640" w:firstLineChars="200"/>
        <w:rPr>
          <w:rFonts w:ascii="仿宋_GB2312" w:hAnsi="仿宋_GB2312" w:eastAsia="仿宋_GB2312" w:cs="仿宋_GB2312"/>
          <w:snapToGrid w:val="0"/>
          <w:color w:val="000000"/>
          <w:sz w:val="32"/>
          <w:szCs w:val="32"/>
          <w:lang w:bidi="ar"/>
        </w:rPr>
      </w:pPr>
    </w:p>
    <w:p w14:paraId="00D0C952">
      <w:pPr>
        <w:widowControl/>
        <w:spacing w:line="600" w:lineRule="exact"/>
        <w:ind w:firstLine="640" w:firstLineChars="200"/>
        <w:rPr>
          <w:rFonts w:ascii="仿宋_GB2312" w:hAnsi="仿宋_GB2312" w:eastAsia="仿宋_GB2312" w:cs="仿宋_GB2312"/>
          <w:snapToGrid w:val="0"/>
          <w:color w:val="000000"/>
          <w:sz w:val="32"/>
          <w:szCs w:val="32"/>
          <w:lang w:bidi="ar"/>
        </w:rPr>
      </w:pPr>
    </w:p>
    <w:p w14:paraId="64C81093">
      <w:pPr>
        <w:widowControl/>
        <w:spacing w:line="600" w:lineRule="exact"/>
        <w:ind w:firstLine="640" w:firstLineChars="200"/>
        <w:rPr>
          <w:rFonts w:ascii="仿宋_GB2312" w:hAnsi="仿宋_GB2312" w:eastAsia="仿宋_GB2312" w:cs="仿宋_GB2312"/>
          <w:snapToGrid w:val="0"/>
          <w:color w:val="000000"/>
          <w:sz w:val="32"/>
          <w:szCs w:val="32"/>
          <w:lang w:bidi="ar"/>
        </w:rPr>
      </w:pPr>
    </w:p>
    <w:p w14:paraId="6A30C3AC">
      <w:pPr>
        <w:widowControl/>
        <w:spacing w:line="600" w:lineRule="exact"/>
        <w:ind w:firstLine="640" w:firstLineChars="200"/>
        <w:rPr>
          <w:rFonts w:ascii="仿宋_GB2312" w:hAnsi="仿宋_GB2312" w:eastAsia="仿宋_GB2312" w:cs="仿宋_GB2312"/>
          <w:snapToGrid w:val="0"/>
          <w:color w:val="000000"/>
          <w:sz w:val="32"/>
          <w:szCs w:val="32"/>
          <w:lang w:bidi="ar"/>
        </w:rPr>
      </w:pPr>
    </w:p>
    <w:p w14:paraId="6BCF94D8">
      <w:pPr>
        <w:widowControl/>
        <w:spacing w:line="600" w:lineRule="exact"/>
        <w:ind w:firstLine="640" w:firstLineChars="200"/>
        <w:rPr>
          <w:rFonts w:ascii="仿宋_GB2312" w:hAnsi="仿宋_GB2312" w:eastAsia="仿宋_GB2312" w:cs="仿宋_GB2312"/>
          <w:snapToGrid w:val="0"/>
          <w:color w:val="000000"/>
          <w:sz w:val="32"/>
          <w:szCs w:val="32"/>
          <w:lang w:bidi="ar"/>
        </w:rPr>
      </w:pPr>
    </w:p>
    <w:p w14:paraId="158E09DF">
      <w:pPr>
        <w:widowControl/>
        <w:spacing w:line="600" w:lineRule="exact"/>
        <w:ind w:firstLine="640" w:firstLineChars="200"/>
        <w:rPr>
          <w:rFonts w:ascii="仿宋_GB2312" w:hAnsi="仿宋_GB2312" w:eastAsia="仿宋_GB2312" w:cs="仿宋_GB2312"/>
          <w:snapToGrid w:val="0"/>
          <w:color w:val="000000"/>
          <w:sz w:val="32"/>
          <w:szCs w:val="32"/>
          <w:lang w:bidi="ar"/>
        </w:rPr>
      </w:pPr>
    </w:p>
    <w:p w14:paraId="051D7CF8">
      <w:pPr>
        <w:widowControl/>
        <w:spacing w:line="600" w:lineRule="exact"/>
        <w:ind w:firstLine="640" w:firstLineChars="200"/>
        <w:rPr>
          <w:rFonts w:ascii="仿宋_GB2312" w:hAnsi="仿宋_GB2312" w:eastAsia="仿宋_GB2312" w:cs="仿宋_GB2312"/>
          <w:snapToGrid w:val="0"/>
          <w:color w:val="000000"/>
          <w:sz w:val="32"/>
          <w:szCs w:val="32"/>
          <w:lang w:bidi="ar"/>
        </w:rPr>
      </w:pPr>
    </w:p>
    <w:p w14:paraId="574FD81C">
      <w:pPr>
        <w:keepNext/>
        <w:keepLines/>
        <w:widowControl/>
        <w:jc w:val="center"/>
        <w:rPr>
          <w:rFonts w:ascii="Arial" w:hAnsi="Arial" w:eastAsia="黑体" w:cs="Arial"/>
          <w:bCs/>
          <w:sz w:val="32"/>
          <w:szCs w:val="36"/>
        </w:rPr>
      </w:pPr>
      <w:r>
        <w:rPr>
          <w:rFonts w:hint="eastAsia" w:ascii="仿宋_GB2312" w:hAnsi="仿宋_GB2312" w:eastAsia="仿宋_GB2312" w:cs="仿宋_GB2312"/>
          <w:snapToGrid w:val="0"/>
          <w:color w:val="000000"/>
          <w:sz w:val="32"/>
          <w:szCs w:val="32"/>
          <w:lang w:bidi="ar"/>
        </w:rPr>
        <w:br w:type="page"/>
      </w:r>
      <w:bookmarkStart w:id="316" w:name="_Toc5393"/>
      <w:bookmarkStart w:id="317" w:name="_Toc223176570"/>
      <w:bookmarkStart w:id="318" w:name="_Toc20298"/>
      <w:r>
        <w:rPr>
          <w:rFonts w:hint="eastAsia" w:ascii="Arial" w:hAnsi="Arial" w:eastAsia="黑体" w:cs="Arial"/>
          <w:bCs/>
          <w:sz w:val="32"/>
          <w:szCs w:val="36"/>
        </w:rPr>
        <w:t>附录</w:t>
      </w:r>
      <w:r>
        <w:rPr>
          <w:rFonts w:ascii="Arial" w:hAnsi="Arial" w:eastAsia="黑体" w:cs="Arial"/>
          <w:bCs/>
          <w:sz w:val="32"/>
          <w:szCs w:val="36"/>
        </w:rPr>
        <w:t xml:space="preserve">  </w:t>
      </w:r>
      <w:r>
        <w:rPr>
          <w:rFonts w:hint="eastAsia" w:ascii="Arial" w:hAnsi="Arial" w:eastAsia="黑体" w:cs="Arial"/>
          <w:bCs/>
          <w:sz w:val="32"/>
          <w:szCs w:val="36"/>
        </w:rPr>
        <w:t>名词解释</w:t>
      </w:r>
      <w:bookmarkEnd w:id="316"/>
      <w:bookmarkEnd w:id="317"/>
      <w:bookmarkEnd w:id="318"/>
    </w:p>
    <w:p w14:paraId="2D2295D8">
      <w:pPr>
        <w:pStyle w:val="3"/>
        <w:keepNext/>
        <w:keepLines/>
        <w:widowControl/>
        <w:spacing w:before="0" w:after="0" w:line="600" w:lineRule="exact"/>
      </w:pPr>
    </w:p>
    <w:p w14:paraId="22DB59FC">
      <w:pPr>
        <w:widowControl/>
        <w:spacing w:line="600" w:lineRule="exact"/>
        <w:ind w:firstLine="640" w:firstLineChars="200"/>
        <w:rPr>
          <w:rFonts w:ascii="仿宋_GB2312" w:hAnsi="仿宋_GB2312" w:eastAsia="仿宋_GB2312" w:cs="仿宋_GB2312"/>
          <w:snapToGrid w:val="0"/>
          <w:color w:val="000000"/>
          <w:sz w:val="32"/>
          <w:szCs w:val="32"/>
        </w:rPr>
      </w:pPr>
      <w:r>
        <w:rPr>
          <w:rFonts w:hint="eastAsia" w:ascii="仿宋_GB2312" w:hAnsi="仿宋_GB2312" w:eastAsia="仿宋_GB2312" w:cs="仿宋_GB2312"/>
          <w:snapToGrid w:val="0"/>
          <w:color w:val="000000"/>
          <w:sz w:val="32"/>
          <w:szCs w:val="32"/>
        </w:rPr>
        <w:t>本附录聚焦《长治高新技术产业开发区“十五五”发展规划》中具有统领性、概括性和组合特征的核心提法，对其在本规划中的具体内涵、指向内容和实施落点进行解释说明。相关名词解释均严格依托规划正文，不作一般性政策术语解释，也不脱离规划实际另行扩展。</w:t>
      </w:r>
    </w:p>
    <w:p w14:paraId="5417DC35">
      <w:pPr>
        <w:spacing w:line="600" w:lineRule="exact"/>
        <w:ind w:firstLine="643" w:firstLineChars="200"/>
        <w:rPr>
          <w:rFonts w:ascii="仿宋_GB2312" w:hAnsi="仿宋_GB2312" w:eastAsia="仿宋_GB2312" w:cs="仿宋_GB2312"/>
          <w:b/>
          <w:bCs/>
          <w:snapToGrid w:val="0"/>
          <w:color w:val="000000"/>
          <w:sz w:val="32"/>
          <w:szCs w:val="32"/>
          <w:lang w:bidi="ar"/>
        </w:rPr>
      </w:pPr>
      <w:bookmarkStart w:id="319" w:name="_Ref223540616"/>
      <w:r>
        <w:rPr>
          <w:rFonts w:hint="eastAsia" w:ascii="仿宋_GB2312" w:hAnsi="仿宋_GB2312" w:eastAsia="仿宋_GB2312" w:cs="仿宋_GB2312"/>
          <w:b/>
          <w:bCs/>
          <w:snapToGrid w:val="0"/>
          <w:color w:val="000000"/>
          <w:sz w:val="32"/>
          <w:szCs w:val="32"/>
          <w:lang w:bidi="ar"/>
        </w:rPr>
        <w:t>[1]两区两城两高地</w:t>
      </w:r>
      <w:bookmarkEnd w:id="319"/>
    </w:p>
    <w:p w14:paraId="3267B7EB">
      <w:pPr>
        <w:widowControl/>
        <w:spacing w:line="600" w:lineRule="exact"/>
        <w:ind w:firstLine="640" w:firstLineChars="200"/>
        <w:rPr>
          <w:rFonts w:ascii="仿宋_GB2312" w:hAnsi="仿宋_GB2312" w:eastAsia="仿宋_GB2312" w:cs="仿宋_GB2312"/>
          <w:snapToGrid w:val="0"/>
          <w:color w:val="000000"/>
          <w:sz w:val="32"/>
          <w:szCs w:val="32"/>
        </w:rPr>
      </w:pPr>
      <w:r>
        <w:rPr>
          <w:rFonts w:hint="eastAsia" w:ascii="仿宋_GB2312" w:hAnsi="仿宋_GB2312" w:eastAsia="仿宋_GB2312" w:cs="仿宋_GB2312"/>
          <w:snapToGrid w:val="0"/>
          <w:color w:val="000000"/>
          <w:sz w:val="32"/>
          <w:szCs w:val="32"/>
        </w:rPr>
        <w:t>中共长治市委十二届九次全会审议通过的《中共长治市委关于制定国民经济和社会发展第十五个五年规划的建议》，作出“十五五”期间长治建设“两区两城两高地”的战略擘画和定位。“两区两城两高地”：</w:t>
      </w:r>
      <w:r>
        <w:rPr>
          <w:rFonts w:hint="eastAsia" w:ascii="仿宋_GB2312" w:hAnsi="仿宋_GB2312" w:eastAsia="仿宋_GB2312" w:cs="仿宋_GB2312"/>
          <w:snapToGrid w:val="0"/>
          <w:color w:val="000000"/>
          <w:sz w:val="32"/>
          <w:szCs w:val="32"/>
          <w:lang w:bidi="ar"/>
        </w:rPr>
        <w:t>把长治建设成为革命老区中国式现代化先行区、全国资源型城市产业转型升级示范区、山西省区域中心城市、全国新发展格局重要节点城市、全国知名文化旅游高地、内陆地区开放合作新高地。</w:t>
      </w:r>
    </w:p>
    <w:p w14:paraId="500783F8">
      <w:pPr>
        <w:pStyle w:val="39"/>
        <w:spacing w:line="600" w:lineRule="exact"/>
        <w:ind w:firstLine="640" w:firstLineChars="200"/>
        <w:jc w:val="both"/>
      </w:pPr>
      <w:bookmarkStart w:id="320" w:name="_Ref223540663"/>
      <w:r>
        <w:rPr>
          <w:sz w:val="32"/>
        </w:rPr>
        <w:t>[2]</w:t>
      </w:r>
      <w:r>
        <w:rPr>
          <w:rFonts w:hint="eastAsia" w:ascii="仿宋_GB2312" w:hAnsi="仿宋_GB2312" w:eastAsia="仿宋_GB2312" w:cs="仿宋_GB2312"/>
          <w:b/>
          <w:bCs/>
          <w:snapToGrid w:val="0"/>
          <w:color w:val="000000"/>
          <w:sz w:val="32"/>
          <w:szCs w:val="32"/>
          <w:lang w:bidi="ar"/>
        </w:rPr>
        <w:t>五大使命任务，六个重点建设方向</w:t>
      </w:r>
      <w:bookmarkEnd w:id="320"/>
    </w:p>
    <w:p w14:paraId="4B5E9384">
      <w:pPr>
        <w:widowControl/>
        <w:spacing w:line="600" w:lineRule="exact"/>
        <w:ind w:firstLine="640" w:firstLineChars="200"/>
        <w:rPr>
          <w:rFonts w:ascii="仿宋_GB2312" w:hAnsi="仿宋_GB2312" w:eastAsia="仿宋_GB2312" w:cs="仿宋_GB2312"/>
          <w:snapToGrid w:val="0"/>
          <w:color w:val="000000"/>
          <w:sz w:val="32"/>
          <w:szCs w:val="32"/>
        </w:rPr>
      </w:pPr>
      <w:r>
        <w:rPr>
          <w:rFonts w:hint="eastAsia" w:ascii="Calibri" w:hAnsi="Calibri" w:eastAsia="仿宋_GB2312" w:cs="Calibri"/>
          <w:snapToGrid w:val="0"/>
          <w:color w:val="000000"/>
          <w:sz w:val="32"/>
          <w:szCs w:val="32"/>
        </w:rPr>
        <w:t>该概念于中国共产党山西省第十二届委员会第十一次全体会议上提出。</w:t>
      </w:r>
      <w:r>
        <w:rPr>
          <w:rFonts w:hint="eastAsia" w:ascii="仿宋_GB2312" w:hAnsi="仿宋_GB2312" w:eastAsia="仿宋_GB2312" w:cs="仿宋_GB2312"/>
          <w:snapToGrid w:val="0"/>
          <w:color w:val="000000"/>
          <w:sz w:val="32"/>
          <w:szCs w:val="32"/>
        </w:rPr>
        <w:t>结合本规划内容，五大使命任务主要体现在：以培育新质生产力为核心推进产业体系现代化；以科技创新引领主导产业转型升级；以能源革命和绿色低碳发展为重要支撑；以深化体制机制改革提升园区治理和服务能力；以更高水平开放合作增强区域协同和资源配置能力。“五大使命任务”是本规划确定发展方向、空间布局和重点工程的根本依据。“六个重点”具体体现为：做强做优主导产业、加快培育新兴和未来产业；构建以企业为主体的科技创新体系；优化园区空间布局和功能分区；提升招商引资和产业导入质量；强化要素保障和基础设施支撑；推进体制机制和治理模式创新。各项重点在规划中通过专项任务、重点工程和实施举措予以细化落实。</w:t>
      </w:r>
    </w:p>
    <w:p w14:paraId="064E014E">
      <w:pPr>
        <w:pStyle w:val="39"/>
        <w:spacing w:line="600" w:lineRule="exact"/>
        <w:ind w:firstLine="643" w:firstLineChars="200"/>
        <w:jc w:val="both"/>
        <w:rPr>
          <w:rFonts w:ascii="仿宋_GB2312" w:hAnsi="仿宋_GB2312" w:eastAsia="仿宋_GB2312" w:cs="仿宋_GB2312"/>
          <w:b/>
          <w:bCs/>
          <w:snapToGrid w:val="0"/>
          <w:color w:val="000000"/>
          <w:sz w:val="32"/>
          <w:szCs w:val="32"/>
          <w:lang w:bidi="ar"/>
        </w:rPr>
      </w:pPr>
      <w:bookmarkStart w:id="321" w:name="_Ref223540674"/>
      <w:r>
        <w:rPr>
          <w:rFonts w:ascii="仿宋_GB2312" w:hAnsi="仿宋_GB2312" w:eastAsia="仿宋_GB2312" w:cs="仿宋_GB2312"/>
          <w:b/>
          <w:bCs/>
          <w:snapToGrid w:val="0"/>
          <w:color w:val="000000"/>
          <w:sz w:val="32"/>
          <w:szCs w:val="32"/>
          <w:lang w:bidi="ar"/>
        </w:rPr>
        <w:t>[3]</w:t>
      </w:r>
      <w:r>
        <w:rPr>
          <w:rFonts w:hint="eastAsia" w:ascii="仿宋_GB2312" w:hAnsi="仿宋_GB2312" w:eastAsia="仿宋_GB2312" w:cs="仿宋_GB2312"/>
          <w:b/>
          <w:bCs/>
          <w:snapToGrid w:val="0"/>
          <w:color w:val="000000"/>
          <w:sz w:val="32"/>
          <w:szCs w:val="32"/>
          <w:lang w:bidi="ar"/>
        </w:rPr>
        <w:t>一谷三园</w:t>
      </w:r>
      <w:bookmarkEnd w:id="321"/>
    </w:p>
    <w:p w14:paraId="7994B259">
      <w:pPr>
        <w:widowControl/>
        <w:spacing w:line="600" w:lineRule="exact"/>
        <w:ind w:firstLine="640" w:firstLineChars="200"/>
        <w:rPr>
          <w:rFonts w:ascii="仿宋_GB2312" w:hAnsi="仿宋_GB2312" w:eastAsia="仿宋_GB2312" w:cs="仿宋_GB2312"/>
          <w:snapToGrid w:val="0"/>
          <w:color w:val="000000"/>
          <w:sz w:val="32"/>
          <w:szCs w:val="32"/>
          <w:lang w:bidi="ar"/>
        </w:rPr>
      </w:pPr>
      <w:r>
        <w:rPr>
          <w:rFonts w:ascii="仿宋_GB2312" w:hAnsi="仿宋_GB2312" w:eastAsia="仿宋_GB2312" w:cs="仿宋_GB2312"/>
          <w:snapToGrid w:val="0"/>
          <w:color w:val="000000"/>
          <w:sz w:val="32"/>
          <w:szCs w:val="32"/>
          <w:lang w:bidi="ar"/>
        </w:rPr>
        <w:t>指</w:t>
      </w:r>
      <w:r>
        <w:rPr>
          <w:rFonts w:hint="eastAsia" w:ascii="仿宋_GB2312" w:hAnsi="仿宋_GB2312" w:eastAsia="仿宋_GB2312" w:cs="仿宋_GB2312"/>
          <w:snapToGrid w:val="0"/>
          <w:color w:val="000000"/>
          <w:sz w:val="32"/>
          <w:szCs w:val="32"/>
          <w:lang w:bidi="ar"/>
        </w:rPr>
        <w:t>山西</w:t>
      </w:r>
      <w:r>
        <w:rPr>
          <w:rFonts w:ascii="仿宋_GB2312" w:hAnsi="仿宋_GB2312" w:eastAsia="仿宋_GB2312" w:cs="仿宋_GB2312"/>
          <w:snapToGrid w:val="0"/>
          <w:color w:val="000000"/>
          <w:sz w:val="32"/>
          <w:szCs w:val="32"/>
          <w:lang w:bidi="ar"/>
        </w:rPr>
        <w:t>面向高质量发展构建现代化产业体系的总体布局，包括晋创谷、绿电产业园区、</w:t>
      </w:r>
      <w:r>
        <w:rPr>
          <w:rFonts w:hint="eastAsia" w:ascii="仿宋_GB2312" w:hAnsi="仿宋_GB2312" w:eastAsia="仿宋_GB2312" w:cs="仿宋_GB2312"/>
          <w:snapToGrid w:val="0"/>
          <w:color w:val="000000"/>
          <w:sz w:val="32"/>
          <w:szCs w:val="32"/>
          <w:lang w:bidi="ar"/>
        </w:rPr>
        <w:t>消费品</w:t>
      </w:r>
      <w:r>
        <w:rPr>
          <w:rFonts w:ascii="仿宋_GB2312" w:hAnsi="仿宋_GB2312" w:eastAsia="仿宋_GB2312" w:cs="仿宋_GB2312"/>
          <w:snapToGrid w:val="0"/>
          <w:color w:val="000000"/>
          <w:sz w:val="32"/>
          <w:szCs w:val="32"/>
          <w:lang w:bidi="ar"/>
        </w:rPr>
        <w:t>园区和国际合作园区。</w:t>
      </w:r>
    </w:p>
    <w:p w14:paraId="588AF631">
      <w:pPr>
        <w:pStyle w:val="39"/>
        <w:spacing w:line="600" w:lineRule="exact"/>
        <w:ind w:firstLine="643" w:firstLineChars="200"/>
        <w:jc w:val="both"/>
        <w:rPr>
          <w:rFonts w:ascii="仿宋_GB2312" w:hAnsi="仿宋_GB2312" w:eastAsia="仿宋_GB2312" w:cs="仿宋_GB2312"/>
          <w:b/>
          <w:bCs/>
          <w:snapToGrid w:val="0"/>
          <w:color w:val="000000"/>
          <w:sz w:val="32"/>
          <w:szCs w:val="32"/>
          <w:lang w:bidi="ar"/>
        </w:rPr>
      </w:pPr>
      <w:bookmarkStart w:id="322" w:name="_Ref223540683"/>
      <w:r>
        <w:rPr>
          <w:rFonts w:ascii="仿宋_GB2312" w:hAnsi="仿宋_GB2312" w:eastAsia="仿宋_GB2312" w:cs="仿宋_GB2312"/>
          <w:b/>
          <w:bCs/>
          <w:snapToGrid w:val="0"/>
          <w:color w:val="000000"/>
          <w:sz w:val="32"/>
          <w:szCs w:val="32"/>
          <w:lang w:bidi="ar"/>
        </w:rPr>
        <w:t>[4]</w:t>
      </w:r>
      <w:r>
        <w:rPr>
          <w:rFonts w:hint="eastAsia" w:ascii="仿宋_GB2312" w:hAnsi="仿宋_GB2312" w:eastAsia="仿宋_GB2312" w:cs="仿宋_GB2312"/>
          <w:b/>
          <w:bCs/>
          <w:snapToGrid w:val="0"/>
          <w:color w:val="000000"/>
          <w:sz w:val="32"/>
          <w:szCs w:val="32"/>
          <w:lang w:bidi="ar"/>
        </w:rPr>
        <w:t>五个一</w:t>
      </w:r>
      <w:bookmarkEnd w:id="322"/>
    </w:p>
    <w:p w14:paraId="6613AB5C">
      <w:pPr>
        <w:widowControl/>
        <w:spacing w:line="600" w:lineRule="exact"/>
        <w:ind w:firstLine="640" w:firstLineChars="200"/>
      </w:pPr>
      <w:r>
        <w:rPr>
          <w:rFonts w:hint="eastAsia" w:ascii="仿宋_GB2312" w:hAnsi="仿宋_GB2312" w:eastAsia="仿宋_GB2312" w:cs="仿宋_GB2312"/>
          <w:snapToGrid w:val="0"/>
          <w:color w:val="000000"/>
          <w:sz w:val="32"/>
          <w:szCs w:val="32"/>
        </w:rPr>
        <w:t>“十五五”期间，</w:t>
      </w:r>
      <w:r>
        <w:rPr>
          <w:rFonts w:hint="eastAsia" w:ascii="Calibri" w:hAnsi="Calibri" w:eastAsia="仿宋_GB2312" w:cs="Calibri"/>
          <w:snapToGrid w:val="0"/>
          <w:color w:val="000000"/>
          <w:sz w:val="32"/>
          <w:szCs w:val="32"/>
        </w:rPr>
        <w:t>长治高新区</w:t>
      </w:r>
      <w:r>
        <w:rPr>
          <w:rFonts w:hint="eastAsia" w:ascii="仿宋_GB2312" w:hAnsi="仿宋_GB2312" w:eastAsia="仿宋_GB2312" w:cs="仿宋_GB2312"/>
          <w:snapToGrid w:val="0"/>
          <w:color w:val="000000"/>
          <w:sz w:val="32"/>
          <w:szCs w:val="32"/>
        </w:rPr>
        <w:t>希望达到的预期经济发展目标。</w:t>
      </w:r>
      <w:r>
        <w:rPr>
          <w:rFonts w:hint="eastAsia" w:ascii="Calibri" w:hAnsi="Calibri" w:eastAsia="仿宋_GB2312" w:cs="Calibri"/>
          <w:snapToGrid w:val="0"/>
          <w:color w:val="000000"/>
          <w:sz w:val="32"/>
          <w:szCs w:val="32"/>
        </w:rPr>
        <w:t>在高新区</w:t>
      </w:r>
      <w:r>
        <w:rPr>
          <w:rFonts w:ascii="Calibri" w:hAnsi="Calibri" w:eastAsia="仿宋_GB2312" w:cs="Calibri"/>
          <w:snapToGrid w:val="0"/>
          <w:color w:val="000000"/>
          <w:sz w:val="32"/>
          <w:szCs w:val="32"/>
        </w:rPr>
        <w:t>2026</w:t>
      </w:r>
      <w:r>
        <w:rPr>
          <w:rFonts w:hint="eastAsia" w:ascii="Calibri" w:hAnsi="Calibri" w:eastAsia="仿宋_GB2312" w:cs="Calibri"/>
          <w:snapToGrid w:val="0"/>
          <w:color w:val="000000"/>
          <w:sz w:val="32"/>
          <w:szCs w:val="32"/>
        </w:rPr>
        <w:t>年工作会议上明确提出这一工作机制：“十五五”每年</w:t>
      </w:r>
      <w:r>
        <w:rPr>
          <w:rFonts w:hint="eastAsia" w:ascii="仿宋_GB2312" w:hAnsi="仿宋_GB2312" w:eastAsia="仿宋_GB2312" w:cs="仿宋_GB2312"/>
          <w:snapToGrid w:val="0"/>
          <w:color w:val="000000"/>
          <w:sz w:val="32"/>
          <w:szCs w:val="32"/>
        </w:rPr>
        <w:t>新增项目100个、新增入园企业1000个、新增营业收入100亿元、工业投资增速10%、规上工业增加值增速10%。</w:t>
      </w:r>
    </w:p>
    <w:p w14:paraId="1BA1E867">
      <w:pPr>
        <w:pStyle w:val="39"/>
        <w:spacing w:line="600" w:lineRule="exact"/>
        <w:ind w:firstLine="643" w:firstLineChars="200"/>
        <w:jc w:val="both"/>
        <w:rPr>
          <w:rFonts w:ascii="仿宋_GB2312" w:hAnsi="仿宋_GB2312" w:eastAsia="仿宋_GB2312" w:cs="仿宋_GB2312"/>
          <w:b/>
          <w:bCs/>
          <w:snapToGrid w:val="0"/>
          <w:color w:val="000000"/>
          <w:sz w:val="32"/>
          <w:szCs w:val="32"/>
          <w:lang w:bidi="ar"/>
        </w:rPr>
      </w:pPr>
      <w:bookmarkStart w:id="323" w:name="_Ref223540694"/>
      <w:r>
        <w:rPr>
          <w:rFonts w:ascii="仿宋_GB2312" w:hAnsi="仿宋_GB2312" w:eastAsia="仿宋_GB2312" w:cs="仿宋_GB2312"/>
          <w:b/>
          <w:bCs/>
          <w:snapToGrid w:val="0"/>
          <w:color w:val="000000"/>
          <w:sz w:val="32"/>
          <w:szCs w:val="32"/>
          <w:lang w:bidi="ar"/>
        </w:rPr>
        <w:t>[5]</w:t>
      </w:r>
      <w:r>
        <w:rPr>
          <w:rFonts w:hint="eastAsia" w:ascii="仿宋_GB2312" w:hAnsi="仿宋_GB2312" w:eastAsia="仿宋_GB2312" w:cs="仿宋_GB2312"/>
          <w:b/>
          <w:bCs/>
          <w:snapToGrid w:val="0"/>
          <w:color w:val="000000"/>
          <w:sz w:val="32"/>
          <w:szCs w:val="32"/>
          <w:lang w:bidi="ar"/>
        </w:rPr>
        <w:t>一区一极一高地</w:t>
      </w:r>
      <w:bookmarkEnd w:id="323"/>
    </w:p>
    <w:p w14:paraId="2D5D7430">
      <w:pPr>
        <w:widowControl/>
        <w:spacing w:line="600" w:lineRule="exact"/>
        <w:ind w:firstLine="640" w:firstLineChars="200"/>
        <w:rPr>
          <w:rFonts w:ascii="仿宋_GB2312" w:hAnsi="仿宋_GB2312" w:eastAsia="仿宋_GB2312" w:cs="仿宋_GB2312"/>
          <w:snapToGrid w:val="0"/>
          <w:color w:val="000000"/>
          <w:sz w:val="32"/>
          <w:szCs w:val="32"/>
        </w:rPr>
      </w:pPr>
      <w:r>
        <w:rPr>
          <w:rFonts w:hint="eastAsia" w:ascii="仿宋_GB2312" w:hAnsi="仿宋_GB2312" w:eastAsia="仿宋_GB2312" w:cs="仿宋_GB2312"/>
          <w:snapToGrid w:val="0"/>
          <w:color w:val="000000"/>
          <w:sz w:val="32"/>
          <w:szCs w:val="32"/>
        </w:rPr>
        <w:t>指长治高新区在“十五五”时期的总体战略定位，</w:t>
      </w:r>
      <w:r>
        <w:rPr>
          <w:rFonts w:hint="eastAsia" w:ascii="Calibri" w:hAnsi="Calibri" w:eastAsia="仿宋_GB2312" w:cs="Calibri"/>
          <w:snapToGrid w:val="0"/>
          <w:color w:val="000000"/>
          <w:sz w:val="32"/>
          <w:szCs w:val="32"/>
        </w:rPr>
        <w:t>于长治高新区2026年工作会议上提出</w:t>
      </w:r>
      <w:r>
        <w:rPr>
          <w:rFonts w:hint="eastAsia" w:ascii="仿宋_GB2312" w:hAnsi="仿宋_GB2312" w:eastAsia="仿宋_GB2312" w:cs="仿宋_GB2312"/>
          <w:snapToGrid w:val="0"/>
          <w:color w:val="000000"/>
          <w:sz w:val="32"/>
          <w:szCs w:val="32"/>
        </w:rPr>
        <w:t>。“一区”指新质生产力先导区，突出高新区在全市产业体系中的核心功能；“一极”指城市发展增长极，强调高新区对长治市主城区产城融合的带动作用；“一高地”指开放合作新高地，突出在主导产业集聚、创新平台建设和对外协同发展中的示范引领作用。</w:t>
      </w:r>
    </w:p>
    <w:p w14:paraId="753F14D3">
      <w:pPr>
        <w:pStyle w:val="39"/>
        <w:spacing w:line="600" w:lineRule="exact"/>
        <w:ind w:firstLine="643" w:firstLineChars="200"/>
        <w:jc w:val="both"/>
        <w:rPr>
          <w:rFonts w:ascii="仿宋_GB2312" w:hAnsi="仿宋_GB2312" w:eastAsia="仿宋_GB2312" w:cs="仿宋_GB2312"/>
          <w:b/>
          <w:bCs/>
          <w:snapToGrid w:val="0"/>
          <w:color w:val="000000"/>
          <w:sz w:val="32"/>
          <w:szCs w:val="32"/>
          <w:lang w:bidi="ar"/>
        </w:rPr>
      </w:pPr>
      <w:bookmarkStart w:id="324" w:name="_Ref223540711"/>
      <w:r>
        <w:rPr>
          <w:rFonts w:ascii="仿宋_GB2312" w:hAnsi="仿宋_GB2312" w:eastAsia="仿宋_GB2312" w:cs="仿宋_GB2312"/>
          <w:b/>
          <w:bCs/>
          <w:snapToGrid w:val="0"/>
          <w:color w:val="000000"/>
          <w:sz w:val="32"/>
          <w:szCs w:val="32"/>
          <w:lang w:bidi="ar"/>
        </w:rPr>
        <w:t>[6]</w:t>
      </w:r>
      <w:r>
        <w:rPr>
          <w:rFonts w:hint="eastAsia" w:ascii="仿宋_GB2312" w:hAnsi="仿宋_GB2312" w:eastAsia="仿宋_GB2312" w:cs="仿宋_GB2312"/>
          <w:b/>
          <w:bCs/>
          <w:snapToGrid w:val="0"/>
          <w:color w:val="000000"/>
          <w:sz w:val="32"/>
          <w:szCs w:val="32"/>
          <w:lang w:bidi="ar"/>
        </w:rPr>
        <w:t>链长制</w:t>
      </w:r>
      <w:bookmarkEnd w:id="324"/>
    </w:p>
    <w:p w14:paraId="100ED61F">
      <w:pPr>
        <w:spacing w:line="600" w:lineRule="exact"/>
        <w:ind w:firstLine="640" w:firstLineChars="200"/>
        <w:rPr>
          <w:rFonts w:ascii="仿宋_GB2312" w:hAnsi="仿宋_GB2312" w:eastAsia="仿宋_GB2312" w:cs="仿宋_GB2312"/>
          <w:snapToGrid w:val="0"/>
          <w:color w:val="000000"/>
          <w:sz w:val="32"/>
          <w:szCs w:val="32"/>
          <w:lang w:bidi="ar"/>
        </w:rPr>
      </w:pPr>
      <w:r>
        <w:rPr>
          <w:rFonts w:ascii="仿宋_GB2312" w:hAnsi="仿宋_GB2312" w:eastAsia="仿宋_GB2312" w:cs="仿宋_GB2312"/>
          <w:snapToGrid w:val="0"/>
          <w:color w:val="000000"/>
          <w:sz w:val="32"/>
          <w:szCs w:val="32"/>
          <w:lang w:bidi="ar"/>
        </w:rPr>
        <w:t>指围绕高新区重点产业链，由相关责任部门或重点主体牵头，统筹推进产业链规划实施、项目招引、要素保障和问题协调的工作机制。</w:t>
      </w:r>
      <w:r>
        <w:rPr>
          <w:rFonts w:hint="eastAsia" w:ascii="Calibri" w:hAnsi="Calibri" w:eastAsia="仿宋_GB2312" w:cs="Calibri"/>
          <w:snapToGrid w:val="0"/>
          <w:color w:val="000000"/>
          <w:sz w:val="32"/>
          <w:szCs w:val="32"/>
          <w:lang w:bidi="ar"/>
        </w:rPr>
        <w:t>该概念出自长治市人民政府官网发布的《长治市重点产业链及产业链链长工作机制实施方案》。</w:t>
      </w:r>
      <w:r>
        <w:rPr>
          <w:rFonts w:ascii="仿宋_GB2312" w:hAnsi="仿宋_GB2312" w:eastAsia="仿宋_GB2312" w:cs="仿宋_GB2312"/>
          <w:snapToGrid w:val="0"/>
          <w:color w:val="000000"/>
          <w:sz w:val="32"/>
          <w:szCs w:val="32"/>
          <w:lang w:bidi="ar"/>
        </w:rPr>
        <w:t>通过明确产业链责任分工，强化对重点环节、关键项目和链上企业的组织协调，推动产业链延链、补链、强链协同实施，是提升产业链系统推进能力和整体发展效率的重要制度安排。</w:t>
      </w:r>
    </w:p>
    <w:p w14:paraId="2439134B">
      <w:pPr>
        <w:spacing w:line="600" w:lineRule="exact"/>
        <w:ind w:firstLine="643" w:firstLineChars="200"/>
        <w:rPr>
          <w:rFonts w:ascii="仿宋_GB2312" w:hAnsi="仿宋_GB2312" w:eastAsia="仿宋_GB2312" w:cs="仿宋_GB2312"/>
          <w:b/>
          <w:bCs/>
          <w:snapToGrid w:val="0"/>
          <w:color w:val="000000"/>
          <w:sz w:val="32"/>
          <w:szCs w:val="32"/>
          <w:lang w:bidi="ar"/>
        </w:rPr>
      </w:pPr>
      <w:r>
        <w:rPr>
          <w:rFonts w:ascii="仿宋_GB2312" w:hAnsi="仿宋_GB2312" w:eastAsia="仿宋_GB2312" w:cs="仿宋_GB2312"/>
          <w:b/>
          <w:bCs/>
          <w:snapToGrid w:val="0"/>
          <w:color w:val="000000"/>
          <w:sz w:val="32"/>
          <w:szCs w:val="32"/>
          <w:lang w:bidi="ar"/>
        </w:rPr>
        <w:t>[7]</w:t>
      </w:r>
      <w:r>
        <w:rPr>
          <w:rFonts w:hint="eastAsia" w:ascii="仿宋_GB2312" w:hAnsi="仿宋_GB2312" w:eastAsia="仿宋_GB2312" w:cs="仿宋_GB2312"/>
          <w:b/>
          <w:bCs/>
          <w:snapToGrid w:val="0"/>
          <w:color w:val="000000"/>
          <w:sz w:val="32"/>
          <w:szCs w:val="32"/>
          <w:lang w:bidi="ar"/>
        </w:rPr>
        <w:t>“</w:t>
      </w:r>
      <w:r>
        <w:rPr>
          <w:rFonts w:ascii="仿宋_GB2312" w:hAnsi="仿宋_GB2312" w:eastAsia="仿宋_GB2312" w:cs="仿宋_GB2312"/>
          <w:b/>
          <w:bCs/>
          <w:snapToGrid w:val="0"/>
          <w:color w:val="000000"/>
          <w:sz w:val="32"/>
          <w:szCs w:val="32"/>
          <w:lang w:bidi="ar"/>
        </w:rPr>
        <w:t>4+6+2</w:t>
      </w:r>
      <w:r>
        <w:rPr>
          <w:rFonts w:hint="eastAsia" w:ascii="仿宋_GB2312" w:hAnsi="仿宋_GB2312" w:eastAsia="仿宋_GB2312" w:cs="仿宋_GB2312"/>
          <w:b/>
          <w:bCs/>
          <w:snapToGrid w:val="0"/>
          <w:color w:val="000000"/>
          <w:sz w:val="32"/>
          <w:szCs w:val="32"/>
          <w:lang w:bidi="ar"/>
        </w:rPr>
        <w:t>”</w:t>
      </w:r>
      <w:r>
        <w:rPr>
          <w:rFonts w:ascii="仿宋_GB2312" w:hAnsi="仿宋_GB2312" w:eastAsia="仿宋_GB2312" w:cs="仿宋_GB2312"/>
          <w:b/>
          <w:bCs/>
          <w:snapToGrid w:val="0"/>
          <w:color w:val="000000"/>
          <w:sz w:val="32"/>
          <w:szCs w:val="32"/>
          <w:lang w:bidi="ar"/>
        </w:rPr>
        <w:t>重点产业集群</w:t>
      </w:r>
    </w:p>
    <w:p w14:paraId="3CA5E848">
      <w:pPr>
        <w:pStyle w:val="21"/>
        <w:spacing w:beforeAutospacing="0" w:afterAutospacing="0" w:line="600" w:lineRule="exact"/>
        <w:ind w:firstLine="480"/>
        <w:rPr>
          <w:rFonts w:ascii="仿宋_GB2312" w:hAnsi="仿宋_GB2312" w:eastAsia="仿宋_GB2312" w:cs="仿宋_GB2312"/>
          <w:snapToGrid w:val="0"/>
          <w:color w:val="000000"/>
          <w:sz w:val="32"/>
          <w:szCs w:val="32"/>
          <w:lang w:bidi="ar"/>
        </w:rPr>
      </w:pPr>
      <w:r>
        <w:rPr>
          <w:rFonts w:hint="eastAsia" w:ascii="仿宋_GB2312" w:hAnsi="仿宋_GB2312" w:eastAsia="仿宋_GB2312" w:cs="仿宋_GB2312"/>
          <w:snapToGrid w:val="0"/>
          <w:color w:val="000000"/>
          <w:sz w:val="32"/>
          <w:szCs w:val="32"/>
          <w:lang w:bidi="ar"/>
        </w:rPr>
        <w:t>“</w:t>
      </w:r>
      <w:r>
        <w:rPr>
          <w:rFonts w:ascii="仿宋_GB2312" w:hAnsi="仿宋_GB2312" w:eastAsia="仿宋_GB2312" w:cs="仿宋_GB2312"/>
          <w:snapToGrid w:val="0"/>
          <w:color w:val="000000"/>
          <w:sz w:val="32"/>
          <w:szCs w:val="32"/>
          <w:lang w:bidi="ar"/>
        </w:rPr>
        <w:t>4+6+2</w:t>
      </w:r>
      <w:r>
        <w:rPr>
          <w:rFonts w:hint="eastAsia" w:ascii="仿宋_GB2312" w:hAnsi="仿宋_GB2312" w:eastAsia="仿宋_GB2312" w:cs="仿宋_GB2312"/>
          <w:snapToGrid w:val="0"/>
          <w:color w:val="000000"/>
          <w:sz w:val="32"/>
          <w:szCs w:val="32"/>
          <w:lang w:bidi="ar"/>
        </w:rPr>
        <w:t>”</w:t>
      </w:r>
      <w:r>
        <w:rPr>
          <w:rFonts w:ascii="仿宋_GB2312" w:hAnsi="仿宋_GB2312" w:eastAsia="仿宋_GB2312" w:cs="仿宋_GB2312"/>
          <w:snapToGrid w:val="0"/>
          <w:color w:val="000000"/>
          <w:sz w:val="32"/>
          <w:szCs w:val="32"/>
          <w:lang w:bidi="ar"/>
        </w:rPr>
        <w:t>重点产业集群是长治市“十五五”时期产业发展的核心布局。“4”指</w:t>
      </w:r>
      <w:r>
        <w:rPr>
          <w:rFonts w:hint="eastAsia" w:ascii="仿宋_GB2312" w:hAnsi="仿宋_GB2312" w:eastAsia="仿宋_GB2312" w:cs="仿宋_GB2312"/>
          <w:snapToGrid w:val="0"/>
          <w:color w:val="000000"/>
          <w:sz w:val="32"/>
          <w:szCs w:val="32"/>
          <w:lang w:bidi="ar"/>
        </w:rPr>
        <w:t>长治市重点依托的四大核心支柱产业：现代煤化工、高端装备制造、新材料、资源综合利用。“</w:t>
      </w:r>
      <w:r>
        <w:rPr>
          <w:rFonts w:ascii="仿宋_GB2312" w:hAnsi="仿宋_GB2312" w:eastAsia="仿宋_GB2312" w:cs="仿宋_GB2312"/>
          <w:snapToGrid w:val="0"/>
          <w:color w:val="000000"/>
          <w:sz w:val="32"/>
          <w:szCs w:val="32"/>
          <w:lang w:bidi="ar"/>
        </w:rPr>
        <w:t>6</w:t>
      </w:r>
      <w:r>
        <w:rPr>
          <w:rFonts w:hint="eastAsia" w:ascii="仿宋_GB2312" w:hAnsi="仿宋_GB2312" w:eastAsia="仿宋_GB2312" w:cs="仿宋_GB2312"/>
          <w:snapToGrid w:val="0"/>
          <w:color w:val="000000"/>
          <w:sz w:val="32"/>
          <w:szCs w:val="32"/>
          <w:lang w:bidi="ar"/>
        </w:rPr>
        <w:t>”指六大战略性新兴产业：半导体光电（LED）、光伏、现代医药、信创与数字经济、新能源汽车、文旅康养。</w:t>
      </w:r>
      <w:r>
        <w:rPr>
          <w:rFonts w:ascii="仿宋_GB2312" w:hAnsi="仿宋_GB2312" w:eastAsia="仿宋_GB2312" w:cs="仿宋_GB2312"/>
          <w:snapToGrid w:val="0"/>
          <w:color w:val="000000"/>
          <w:sz w:val="32"/>
          <w:szCs w:val="32"/>
          <w:lang w:bidi="ar"/>
        </w:rPr>
        <w:t>“2”指两大未来产业，</w:t>
      </w:r>
      <w:r>
        <w:rPr>
          <w:rFonts w:hint="eastAsia" w:ascii="仿宋_GB2312" w:hAnsi="仿宋_GB2312" w:eastAsia="仿宋_GB2312" w:cs="仿宋_GB2312"/>
          <w:snapToGrid w:val="0"/>
          <w:color w:val="000000"/>
          <w:sz w:val="32"/>
          <w:szCs w:val="32"/>
          <w:lang w:bidi="ar"/>
        </w:rPr>
        <w:t>低空经济、氢能与储能两个新赛道。</w:t>
      </w:r>
    </w:p>
    <w:p w14:paraId="43CCE94C">
      <w:pPr>
        <w:pStyle w:val="39"/>
        <w:spacing w:line="600" w:lineRule="exact"/>
        <w:ind w:firstLine="643" w:firstLineChars="200"/>
        <w:jc w:val="both"/>
        <w:rPr>
          <w:rFonts w:ascii="仿宋_GB2312" w:hAnsi="仿宋_GB2312" w:eastAsia="仿宋_GB2312" w:cs="仿宋_GB2312"/>
          <w:b/>
          <w:bCs/>
          <w:snapToGrid w:val="0"/>
          <w:color w:val="000000"/>
          <w:sz w:val="32"/>
          <w:szCs w:val="32"/>
          <w:lang w:bidi="ar"/>
        </w:rPr>
      </w:pPr>
      <w:bookmarkStart w:id="325" w:name="_Ref223540725"/>
      <w:r>
        <w:rPr>
          <w:rFonts w:ascii="仿宋_GB2312" w:hAnsi="仿宋_GB2312" w:eastAsia="仿宋_GB2312" w:cs="仿宋_GB2312"/>
          <w:b/>
          <w:bCs/>
          <w:snapToGrid w:val="0"/>
          <w:color w:val="000000"/>
          <w:sz w:val="32"/>
          <w:szCs w:val="32"/>
          <w:lang w:bidi="ar"/>
        </w:rPr>
        <w:t>[</w:t>
      </w:r>
      <w:r>
        <w:rPr>
          <w:rFonts w:hint="eastAsia" w:ascii="仿宋_GB2312" w:hAnsi="仿宋_GB2312" w:eastAsia="仿宋_GB2312" w:cs="仿宋_GB2312"/>
          <w:b/>
          <w:bCs/>
          <w:snapToGrid w:val="0"/>
          <w:color w:val="000000"/>
          <w:sz w:val="32"/>
          <w:szCs w:val="32"/>
          <w:lang w:bidi="ar"/>
        </w:rPr>
        <w:t>8</w:t>
      </w:r>
      <w:r>
        <w:rPr>
          <w:rFonts w:ascii="仿宋_GB2312" w:hAnsi="仿宋_GB2312" w:eastAsia="仿宋_GB2312" w:cs="仿宋_GB2312"/>
          <w:b/>
          <w:bCs/>
          <w:snapToGrid w:val="0"/>
          <w:color w:val="000000"/>
          <w:sz w:val="32"/>
          <w:szCs w:val="32"/>
          <w:lang w:bidi="ar"/>
        </w:rPr>
        <w:t>]</w:t>
      </w:r>
      <w:r>
        <w:rPr>
          <w:rFonts w:hint="eastAsia" w:ascii="仿宋_GB2312" w:hAnsi="仿宋_GB2312" w:eastAsia="仿宋_GB2312" w:cs="仿宋_GB2312"/>
          <w:b/>
          <w:bCs/>
          <w:snapToGrid w:val="0"/>
          <w:color w:val="000000"/>
          <w:sz w:val="32"/>
          <w:szCs w:val="32"/>
          <w:lang w:bidi="ar"/>
        </w:rPr>
        <w:t>信创产业</w:t>
      </w:r>
      <w:bookmarkEnd w:id="325"/>
    </w:p>
    <w:p w14:paraId="271EEBF7">
      <w:pPr>
        <w:widowControl/>
        <w:spacing w:line="600" w:lineRule="exact"/>
        <w:ind w:firstLine="640" w:firstLineChars="200"/>
        <w:rPr>
          <w:rFonts w:ascii="仿宋_GB2312" w:hAnsi="仿宋_GB2312" w:eastAsia="仿宋_GB2312" w:cs="仿宋_GB2312"/>
          <w:b/>
          <w:bCs/>
          <w:snapToGrid w:val="0"/>
          <w:color w:val="000000"/>
          <w:sz w:val="32"/>
          <w:szCs w:val="32"/>
          <w:lang w:bidi="ar"/>
        </w:rPr>
      </w:pPr>
      <w:r>
        <w:rPr>
          <w:rFonts w:hint="eastAsia" w:ascii="仿宋_GB2312" w:hAnsi="仿宋_GB2312" w:eastAsia="仿宋_GB2312" w:cs="仿宋_GB2312"/>
          <w:snapToGrid w:val="0"/>
          <w:color w:val="000000"/>
          <w:sz w:val="32"/>
          <w:szCs w:val="32"/>
          <w:lang w:bidi="ar"/>
        </w:rPr>
        <w:t>指信息技术应用创新产业，涵盖从底层硬</w:t>
      </w:r>
      <w:r>
        <w:rPr>
          <w:rFonts w:ascii="仿宋_GB2312" w:hAnsi="仿宋_GB2312" w:eastAsia="仿宋_GB2312" w:cs="仿宋_GB2312"/>
          <w:snapToGrid w:val="0"/>
          <w:color w:val="000000"/>
          <w:sz w:val="32"/>
          <w:szCs w:val="32"/>
          <w:lang w:bidi="ar"/>
        </w:rPr>
        <w:t>件、基础软件到上层应用的全产业链条，核心是实现关键技术自主可控。</w:t>
      </w:r>
      <w:r>
        <w:rPr>
          <w:rFonts w:hint="eastAsia" w:ascii="仿宋_GB2312" w:hAnsi="仿宋_GB2312" w:eastAsia="仿宋_GB2312" w:cs="仿宋_GB2312"/>
          <w:snapToGrid w:val="0"/>
          <w:color w:val="000000"/>
          <w:sz w:val="32"/>
          <w:szCs w:val="32"/>
          <w:lang w:bidi="ar"/>
        </w:rPr>
        <w:t>本规划</w:t>
      </w:r>
      <w:r>
        <w:rPr>
          <w:rFonts w:ascii="仿宋_GB2312" w:hAnsi="仿宋_GB2312" w:eastAsia="仿宋_GB2312" w:cs="仿宋_GB2312"/>
          <w:snapToGrid w:val="0"/>
          <w:color w:val="000000"/>
          <w:sz w:val="32"/>
          <w:szCs w:val="32"/>
          <w:lang w:bidi="ar"/>
        </w:rPr>
        <w:t>信创产业被</w:t>
      </w:r>
      <w:r>
        <w:rPr>
          <w:rFonts w:hint="eastAsia" w:ascii="仿宋_GB2312" w:hAnsi="仿宋_GB2312" w:eastAsia="仿宋_GB2312" w:cs="仿宋_GB2312"/>
          <w:snapToGrid w:val="0"/>
          <w:color w:val="000000"/>
          <w:sz w:val="32"/>
          <w:szCs w:val="32"/>
          <w:lang w:bidi="ar"/>
        </w:rPr>
        <w:t>定位</w:t>
      </w:r>
      <w:r>
        <w:rPr>
          <w:rFonts w:ascii="仿宋_GB2312" w:hAnsi="仿宋_GB2312" w:eastAsia="仿宋_GB2312" w:cs="仿宋_GB2312"/>
          <w:snapToGrid w:val="0"/>
          <w:color w:val="000000"/>
          <w:sz w:val="32"/>
          <w:szCs w:val="32"/>
          <w:lang w:bidi="ar"/>
        </w:rPr>
        <w:t>为电子信息产业集群的重要支</w:t>
      </w:r>
      <w:r>
        <w:rPr>
          <w:rFonts w:hint="eastAsia" w:ascii="宋体" w:hAnsi="宋体" w:cs="宋体"/>
          <w:snapToGrid w:val="0"/>
          <w:color w:val="000000"/>
          <w:sz w:val="32"/>
          <w:szCs w:val="32"/>
          <w:lang w:bidi="ar"/>
        </w:rPr>
        <w:t>柱</w:t>
      </w:r>
      <w:r>
        <w:rPr>
          <w:rFonts w:ascii="仿宋_GB2312" w:hAnsi="仿宋_GB2312" w:eastAsia="仿宋_GB2312" w:cs="仿宋_GB2312"/>
          <w:snapToGrid w:val="0"/>
          <w:color w:val="000000"/>
          <w:sz w:val="32"/>
          <w:szCs w:val="32"/>
          <w:lang w:bidi="ar"/>
        </w:rPr>
        <w:t>和差异化发展路径</w:t>
      </w:r>
      <w:r>
        <w:rPr>
          <w:rFonts w:hint="eastAsia" w:ascii="仿宋_GB2312" w:hAnsi="仿宋_GB2312" w:eastAsia="仿宋_GB2312" w:cs="仿宋_GB2312"/>
          <w:snapToGrid w:val="0"/>
          <w:color w:val="000000"/>
          <w:sz w:val="32"/>
          <w:szCs w:val="32"/>
          <w:lang w:bidi="ar"/>
        </w:rPr>
        <w:t>，</w:t>
      </w:r>
      <w:r>
        <w:rPr>
          <w:rFonts w:ascii="仿宋_GB2312" w:hAnsi="仿宋_GB2312" w:eastAsia="仿宋_GB2312" w:cs="仿宋_GB2312"/>
          <w:snapToGrid w:val="0"/>
          <w:color w:val="000000"/>
          <w:sz w:val="32"/>
          <w:szCs w:val="32"/>
          <w:lang w:bidi="ar"/>
        </w:rPr>
        <w:t>以龙芯中科为核心，着力构建“</w:t>
      </w:r>
      <w:r>
        <w:rPr>
          <w:rFonts w:hint="eastAsia" w:ascii="仿宋_GB2312" w:hAnsi="仿宋_GB2312" w:eastAsia="仿宋_GB2312" w:cs="仿宋_GB2312"/>
          <w:snapToGrid w:val="0"/>
          <w:color w:val="000000"/>
          <w:sz w:val="32"/>
          <w:szCs w:val="32"/>
          <w:lang w:bidi="ar"/>
        </w:rPr>
        <w:t>CPU—操作系统—基础软件—应用软件—整机—系统集成”的完整生态链，通过升级公共服务平台、引进GPU及终端制造项目，打造 “全省信创产业高地” 。</w:t>
      </w:r>
    </w:p>
    <w:p w14:paraId="684F3706">
      <w:pPr>
        <w:pStyle w:val="39"/>
        <w:spacing w:line="600" w:lineRule="exact"/>
        <w:ind w:firstLine="643" w:firstLineChars="200"/>
        <w:jc w:val="both"/>
        <w:rPr>
          <w:rFonts w:ascii="仿宋_GB2312" w:hAnsi="仿宋_GB2312" w:eastAsia="仿宋_GB2312" w:cs="仿宋_GB2312"/>
          <w:b/>
          <w:bCs/>
          <w:snapToGrid w:val="0"/>
          <w:color w:val="000000"/>
          <w:sz w:val="32"/>
          <w:szCs w:val="32"/>
          <w:lang w:bidi="ar"/>
        </w:rPr>
      </w:pPr>
      <w:bookmarkStart w:id="326" w:name="_Ref223540736"/>
      <w:r>
        <w:rPr>
          <w:rFonts w:ascii="仿宋_GB2312" w:hAnsi="仿宋_GB2312" w:eastAsia="仿宋_GB2312" w:cs="仿宋_GB2312"/>
          <w:b/>
          <w:bCs/>
          <w:snapToGrid w:val="0"/>
          <w:color w:val="000000"/>
          <w:sz w:val="32"/>
          <w:szCs w:val="32"/>
          <w:lang w:bidi="ar"/>
        </w:rPr>
        <w:t>[</w:t>
      </w:r>
      <w:r>
        <w:rPr>
          <w:rFonts w:hint="eastAsia" w:ascii="仿宋_GB2312" w:hAnsi="仿宋_GB2312" w:eastAsia="仿宋_GB2312" w:cs="仿宋_GB2312"/>
          <w:b/>
          <w:bCs/>
          <w:snapToGrid w:val="0"/>
          <w:color w:val="000000"/>
          <w:sz w:val="32"/>
          <w:szCs w:val="32"/>
          <w:lang w:bidi="ar"/>
        </w:rPr>
        <w:t>9</w:t>
      </w:r>
      <w:r>
        <w:rPr>
          <w:rFonts w:ascii="仿宋_GB2312" w:hAnsi="仿宋_GB2312" w:eastAsia="仿宋_GB2312" w:cs="仿宋_GB2312"/>
          <w:b/>
          <w:bCs/>
          <w:snapToGrid w:val="0"/>
          <w:color w:val="000000"/>
          <w:sz w:val="32"/>
          <w:szCs w:val="32"/>
          <w:lang w:bidi="ar"/>
        </w:rPr>
        <w:t>]</w:t>
      </w:r>
      <w:r>
        <w:rPr>
          <w:rFonts w:hint="eastAsia" w:ascii="仿宋_GB2312" w:hAnsi="仿宋_GB2312" w:eastAsia="仿宋_GB2312" w:cs="仿宋_GB2312"/>
          <w:b/>
          <w:bCs/>
          <w:snapToGrid w:val="0"/>
          <w:color w:val="000000"/>
          <w:sz w:val="32"/>
          <w:szCs w:val="32"/>
          <w:lang w:bidi="ar"/>
        </w:rPr>
        <w:t>源网荷储一体化</w:t>
      </w:r>
    </w:p>
    <w:p w14:paraId="41FEC848">
      <w:pPr>
        <w:widowControl/>
        <w:spacing w:line="600" w:lineRule="exact"/>
        <w:ind w:firstLine="640" w:firstLineChars="200"/>
        <w:rPr>
          <w:rFonts w:ascii="仿宋_GB2312" w:hAnsi="仿宋_GB2312" w:cs="仿宋_GB2312"/>
          <w:b/>
          <w:bCs/>
          <w:snapToGrid w:val="0"/>
          <w:color w:val="000000"/>
          <w:sz w:val="32"/>
          <w:szCs w:val="32"/>
          <w:lang w:bidi="ar"/>
        </w:rPr>
      </w:pPr>
      <w:r>
        <w:rPr>
          <w:rFonts w:hint="eastAsia" w:ascii="仿宋_GB2312" w:hAnsi="仿宋_GB2312" w:eastAsia="仿宋_GB2312" w:cs="仿宋_GB2312"/>
          <w:snapToGrid w:val="0"/>
          <w:color w:val="000000"/>
          <w:sz w:val="32"/>
          <w:szCs w:val="32"/>
          <w:lang w:bidi="ar"/>
        </w:rPr>
        <w:t>指在园区范围内统筹推进电源</w:t>
      </w:r>
      <w:r>
        <w:rPr>
          <w:rFonts w:hint="eastAsia" w:ascii="宋体" w:hAnsi="宋体" w:cs="宋体"/>
          <w:snapToGrid w:val="0"/>
          <w:color w:val="000000"/>
          <w:sz w:val="32"/>
          <w:szCs w:val="32"/>
          <w:lang w:bidi="ar"/>
        </w:rPr>
        <w:t>侧</w:t>
      </w:r>
      <w:r>
        <w:rPr>
          <w:rFonts w:ascii="仿宋_GB2312" w:hAnsi="仿宋_GB2312" w:eastAsia="仿宋_GB2312" w:cs="仿宋_GB2312"/>
          <w:snapToGrid w:val="0"/>
          <w:color w:val="000000"/>
          <w:sz w:val="32"/>
          <w:szCs w:val="32"/>
          <w:lang w:bidi="ar"/>
        </w:rPr>
        <w:t>、电网</w:t>
      </w:r>
      <w:r>
        <w:rPr>
          <w:rFonts w:hint="eastAsia" w:ascii="宋体" w:hAnsi="宋体" w:cs="宋体"/>
          <w:snapToGrid w:val="0"/>
          <w:color w:val="000000"/>
          <w:sz w:val="32"/>
          <w:szCs w:val="32"/>
          <w:lang w:bidi="ar"/>
        </w:rPr>
        <w:t>侧</w:t>
      </w:r>
      <w:r>
        <w:rPr>
          <w:rFonts w:ascii="仿宋_GB2312" w:hAnsi="仿宋_GB2312" w:eastAsia="仿宋_GB2312" w:cs="仿宋_GB2312"/>
          <w:snapToGrid w:val="0"/>
          <w:color w:val="000000"/>
          <w:sz w:val="32"/>
          <w:szCs w:val="32"/>
          <w:lang w:bidi="ar"/>
        </w:rPr>
        <w:t>、负荷</w:t>
      </w:r>
      <w:r>
        <w:rPr>
          <w:rFonts w:hint="eastAsia" w:ascii="宋体" w:hAnsi="宋体" w:cs="宋体"/>
          <w:snapToGrid w:val="0"/>
          <w:color w:val="000000"/>
          <w:sz w:val="32"/>
          <w:szCs w:val="32"/>
          <w:lang w:bidi="ar"/>
        </w:rPr>
        <w:t>侧</w:t>
      </w:r>
      <w:r>
        <w:rPr>
          <w:rFonts w:ascii="仿宋_GB2312" w:hAnsi="仿宋_GB2312" w:eastAsia="仿宋_GB2312" w:cs="仿宋_GB2312"/>
          <w:snapToGrid w:val="0"/>
          <w:color w:val="000000"/>
          <w:sz w:val="32"/>
          <w:szCs w:val="32"/>
          <w:lang w:bidi="ar"/>
        </w:rPr>
        <w:t>和储能设施协同规划与</w:t>
      </w:r>
      <w:r>
        <w:rPr>
          <w:rFonts w:hint="eastAsia" w:ascii="仿宋_GB2312" w:hAnsi="仿宋_GB2312" w:eastAsia="仿宋_GB2312" w:cs="仿宋_GB2312"/>
          <w:snapToGrid w:val="0"/>
          <w:color w:val="000000"/>
          <w:sz w:val="32"/>
          <w:szCs w:val="32"/>
          <w:lang w:bidi="ar"/>
        </w:rPr>
        <w:t>运行</w:t>
      </w:r>
      <w:r>
        <w:rPr>
          <w:rFonts w:ascii="仿宋_GB2312" w:hAnsi="仿宋_GB2312" w:eastAsia="仿宋_GB2312" w:cs="仿宋_GB2312"/>
          <w:snapToGrid w:val="0"/>
          <w:color w:val="000000"/>
          <w:sz w:val="32"/>
          <w:szCs w:val="32"/>
          <w:lang w:bidi="ar"/>
        </w:rPr>
        <w:t>的能源管理模式。本规划通过新能源发电、储能设施、微电网和智能调控系统协同建设，实现新能源高效消纳、电力系统安全运行和企业用能成本优化，是构建新型电力系统的重要技术路径</w:t>
      </w:r>
      <w:r>
        <w:rPr>
          <w:rFonts w:hint="eastAsia" w:ascii="仿宋_GB2312" w:hAnsi="仿宋_GB2312" w:eastAsia="仿宋_GB2312" w:cs="仿宋_GB2312"/>
          <w:snapToGrid w:val="0"/>
          <w:color w:val="000000"/>
          <w:sz w:val="32"/>
          <w:szCs w:val="32"/>
          <w:lang w:bidi="ar"/>
        </w:rPr>
        <w:t>。</w:t>
      </w:r>
    </w:p>
    <w:bookmarkEnd w:id="326"/>
    <w:p w14:paraId="66564998">
      <w:pPr>
        <w:pStyle w:val="39"/>
        <w:spacing w:line="600" w:lineRule="exact"/>
        <w:ind w:firstLine="643" w:firstLineChars="200"/>
        <w:jc w:val="both"/>
        <w:rPr>
          <w:rFonts w:ascii="仿宋_GB2312" w:hAnsi="仿宋_GB2312" w:eastAsia="仿宋_GB2312" w:cs="仿宋_GB2312"/>
          <w:b/>
          <w:bCs/>
          <w:snapToGrid w:val="0"/>
          <w:color w:val="000000"/>
          <w:sz w:val="32"/>
          <w:szCs w:val="32"/>
          <w:lang w:bidi="ar"/>
        </w:rPr>
      </w:pPr>
      <w:bookmarkStart w:id="327" w:name="_Ref223540767"/>
      <w:r>
        <w:rPr>
          <w:rFonts w:ascii="仿宋_GB2312" w:hAnsi="仿宋_GB2312" w:eastAsia="仿宋_GB2312" w:cs="仿宋_GB2312"/>
          <w:b/>
          <w:bCs/>
          <w:snapToGrid w:val="0"/>
          <w:color w:val="000000"/>
          <w:sz w:val="32"/>
          <w:szCs w:val="32"/>
          <w:lang w:bidi="ar"/>
        </w:rPr>
        <w:t>[1</w:t>
      </w:r>
      <w:r>
        <w:rPr>
          <w:rFonts w:hint="eastAsia" w:ascii="仿宋_GB2312" w:hAnsi="仿宋_GB2312" w:eastAsia="仿宋_GB2312" w:cs="仿宋_GB2312"/>
          <w:b/>
          <w:bCs/>
          <w:snapToGrid w:val="0"/>
          <w:color w:val="000000"/>
          <w:sz w:val="32"/>
          <w:szCs w:val="32"/>
          <w:lang w:bidi="ar"/>
        </w:rPr>
        <w:t>0</w:t>
      </w:r>
      <w:r>
        <w:rPr>
          <w:rFonts w:ascii="仿宋_GB2312" w:hAnsi="仿宋_GB2312" w:eastAsia="仿宋_GB2312" w:cs="仿宋_GB2312"/>
          <w:b/>
          <w:bCs/>
          <w:snapToGrid w:val="0"/>
          <w:color w:val="000000"/>
          <w:sz w:val="32"/>
          <w:szCs w:val="32"/>
          <w:lang w:bidi="ar"/>
        </w:rPr>
        <w:t>]产业链延链补链强链</w:t>
      </w:r>
      <w:bookmarkEnd w:id="327"/>
    </w:p>
    <w:p w14:paraId="17524B73">
      <w:pPr>
        <w:pStyle w:val="39"/>
        <w:spacing w:line="600" w:lineRule="exact"/>
        <w:ind w:firstLine="640" w:firstLineChars="200"/>
        <w:jc w:val="both"/>
        <w:rPr>
          <w:rFonts w:ascii="仿宋_GB2312" w:hAnsi="仿宋_GB2312" w:eastAsia="仿宋_GB2312" w:cs="仿宋_GB2312"/>
          <w:snapToGrid w:val="0"/>
          <w:color w:val="000000"/>
          <w:sz w:val="32"/>
          <w:szCs w:val="32"/>
          <w:lang w:bidi="ar"/>
        </w:rPr>
      </w:pPr>
      <w:r>
        <w:rPr>
          <w:rFonts w:hint="eastAsia" w:ascii="Calibri" w:hAnsi="Calibri" w:eastAsia="仿宋_GB2312" w:cs="Calibri"/>
          <w:snapToGrid w:val="0"/>
          <w:color w:val="000000"/>
          <w:sz w:val="32"/>
          <w:szCs w:val="32"/>
          <w:lang w:bidi="ar"/>
        </w:rPr>
        <w:t>指</w:t>
      </w:r>
      <w:r>
        <w:rPr>
          <w:rFonts w:ascii="仿宋_GB2312" w:hAnsi="仿宋_GB2312" w:eastAsia="仿宋_GB2312" w:cs="仿宋_GB2312"/>
          <w:snapToGrid w:val="0"/>
          <w:color w:val="000000"/>
          <w:sz w:val="32"/>
          <w:szCs w:val="32"/>
          <w:lang w:bidi="ar"/>
        </w:rPr>
        <w:t>围绕高新区主导产业和重点产业链，通过精准项目招引、关键技术导入和链上企业培育，补齐</w:t>
      </w:r>
      <w:r>
        <w:rPr>
          <w:rFonts w:hint="eastAsia" w:ascii="仿宋_GB2312" w:hAnsi="仿宋_GB2312" w:eastAsia="仿宋_GB2312" w:cs="仿宋_GB2312"/>
          <w:snapToGrid w:val="0"/>
          <w:color w:val="000000"/>
          <w:sz w:val="32"/>
          <w:szCs w:val="32"/>
          <w:lang w:bidi="ar"/>
        </w:rPr>
        <w:t>薄弱环节、延伸上下游链条、强化核心节点能力，推动产业链由局部配套向体系化、协同化发展转变，是本规划提升产业链完整度、稳定性和竞争力、推动产业高质量发展的重要路径。</w:t>
      </w:r>
    </w:p>
    <w:p w14:paraId="4B253E96">
      <w:pPr>
        <w:pStyle w:val="39"/>
        <w:spacing w:line="600" w:lineRule="exact"/>
        <w:ind w:firstLine="643" w:firstLineChars="200"/>
        <w:jc w:val="both"/>
        <w:rPr>
          <w:rFonts w:ascii="仿宋_GB2312" w:hAnsi="仿宋_GB2312" w:eastAsia="仿宋_GB2312" w:cs="仿宋_GB2312"/>
          <w:b/>
          <w:bCs/>
          <w:snapToGrid w:val="0"/>
          <w:color w:val="000000"/>
          <w:sz w:val="32"/>
          <w:szCs w:val="32"/>
          <w:lang w:bidi="ar"/>
        </w:rPr>
      </w:pPr>
      <w:r>
        <w:rPr>
          <w:rFonts w:ascii="仿宋_GB2312" w:hAnsi="仿宋_GB2312" w:eastAsia="仿宋_GB2312" w:cs="仿宋_GB2312"/>
          <w:b/>
          <w:bCs/>
          <w:snapToGrid w:val="0"/>
          <w:color w:val="000000"/>
          <w:sz w:val="32"/>
          <w:szCs w:val="32"/>
          <w:lang w:bidi="ar"/>
        </w:rPr>
        <w:t>[1</w:t>
      </w:r>
      <w:r>
        <w:rPr>
          <w:rFonts w:hint="eastAsia" w:ascii="仿宋_GB2312" w:hAnsi="仿宋_GB2312" w:eastAsia="仿宋_GB2312" w:cs="仿宋_GB2312"/>
          <w:b/>
          <w:bCs/>
          <w:snapToGrid w:val="0"/>
          <w:color w:val="000000"/>
          <w:sz w:val="32"/>
          <w:szCs w:val="32"/>
          <w:lang w:bidi="ar"/>
        </w:rPr>
        <w:t>1</w:t>
      </w:r>
      <w:r>
        <w:rPr>
          <w:rFonts w:ascii="仿宋_GB2312" w:hAnsi="仿宋_GB2312" w:eastAsia="仿宋_GB2312" w:cs="仿宋_GB2312"/>
          <w:b/>
          <w:bCs/>
          <w:snapToGrid w:val="0"/>
          <w:color w:val="000000"/>
          <w:sz w:val="32"/>
          <w:szCs w:val="32"/>
          <w:lang w:bidi="ar"/>
        </w:rPr>
        <w:t>]</w:t>
      </w:r>
      <w:r>
        <w:rPr>
          <w:rFonts w:hint="eastAsia" w:ascii="仿宋_GB2312" w:hAnsi="仿宋_GB2312" w:eastAsia="仿宋_GB2312" w:cs="仿宋_GB2312"/>
          <w:b/>
          <w:bCs/>
          <w:snapToGrid w:val="0"/>
          <w:color w:val="000000"/>
          <w:sz w:val="32"/>
          <w:szCs w:val="32"/>
          <w:lang w:bidi="ar"/>
        </w:rPr>
        <w:t>未来产业</w:t>
      </w:r>
    </w:p>
    <w:p w14:paraId="6EDEE917">
      <w:pPr>
        <w:widowControl/>
        <w:spacing w:line="600" w:lineRule="exact"/>
        <w:ind w:firstLine="640" w:firstLineChars="200"/>
        <w:rPr>
          <w:rFonts w:ascii="仿宋_GB2312" w:hAnsi="仿宋_GB2312" w:eastAsia="仿宋_GB2312" w:cs="仿宋_GB2312"/>
          <w:snapToGrid w:val="0"/>
          <w:color w:val="000000"/>
          <w:sz w:val="32"/>
          <w:szCs w:val="32"/>
          <w:lang w:bidi="ar"/>
        </w:rPr>
      </w:pPr>
      <w:r>
        <w:rPr>
          <w:rFonts w:ascii="仿宋_GB2312" w:hAnsi="仿宋_GB2312" w:eastAsia="仿宋_GB2312" w:cs="仿宋_GB2312"/>
          <w:snapToGrid w:val="0"/>
          <w:color w:val="000000"/>
          <w:sz w:val="32"/>
          <w:szCs w:val="32"/>
          <w:lang w:bidi="ar"/>
        </w:rPr>
        <w:t>指在本规划期内处于技术</w:t>
      </w:r>
      <w:r>
        <w:rPr>
          <w:rFonts w:hint="eastAsia" w:ascii="宋体" w:hAnsi="宋体" w:cs="宋体"/>
          <w:snapToGrid w:val="0"/>
          <w:color w:val="000000"/>
          <w:sz w:val="32"/>
          <w:szCs w:val="32"/>
          <w:lang w:bidi="ar"/>
        </w:rPr>
        <w:t>孕</w:t>
      </w:r>
      <w:r>
        <w:rPr>
          <w:rFonts w:ascii="仿宋_GB2312" w:hAnsi="仿宋_GB2312" w:eastAsia="仿宋_GB2312" w:cs="仿宋_GB2312"/>
          <w:snapToGrid w:val="0"/>
          <w:color w:val="000000"/>
          <w:sz w:val="32"/>
          <w:szCs w:val="32"/>
          <w:lang w:bidi="ar"/>
        </w:rPr>
        <w:t>育期或产业化初期、但具有重大技术突破潜力和长期成长空间的前沿产业领域</w:t>
      </w:r>
      <w:r>
        <w:rPr>
          <w:rFonts w:hint="eastAsia" w:ascii="仿宋_GB2312" w:hAnsi="仿宋_GB2312" w:eastAsia="仿宋_GB2312" w:cs="仿宋_GB2312"/>
          <w:snapToGrid w:val="0"/>
          <w:color w:val="000000"/>
          <w:sz w:val="32"/>
          <w:szCs w:val="32"/>
          <w:lang w:bidi="ar"/>
        </w:rPr>
        <w:t>。</w:t>
      </w:r>
      <w:r>
        <w:rPr>
          <w:rFonts w:ascii="仿宋_GB2312" w:hAnsi="仿宋_GB2312" w:eastAsia="仿宋_GB2312" w:cs="仿宋_GB2312"/>
          <w:snapToGrid w:val="0"/>
          <w:color w:val="000000"/>
          <w:sz w:val="32"/>
          <w:szCs w:val="32"/>
          <w:lang w:bidi="ar"/>
        </w:rPr>
        <w:t>本规划提出建立未来产业推进机制，通过技术预研、中试验证、场景开放和示范应用，重点布局人工智能、新型储能等方向，推动未来产业由探索性布局向规模化应用稳步演进。</w:t>
      </w:r>
    </w:p>
    <w:p w14:paraId="54993726">
      <w:pPr>
        <w:pStyle w:val="39"/>
        <w:spacing w:line="600" w:lineRule="exact"/>
        <w:ind w:firstLine="643" w:firstLineChars="200"/>
        <w:jc w:val="both"/>
        <w:rPr>
          <w:rFonts w:ascii="仿宋_GB2312" w:hAnsi="仿宋_GB2312" w:eastAsia="仿宋_GB2312" w:cs="仿宋_GB2312"/>
          <w:b/>
          <w:bCs/>
          <w:snapToGrid w:val="0"/>
          <w:color w:val="000000"/>
          <w:sz w:val="32"/>
          <w:szCs w:val="32"/>
          <w:lang w:bidi="ar"/>
        </w:rPr>
      </w:pPr>
      <w:r>
        <w:rPr>
          <w:rFonts w:ascii="仿宋_GB2312" w:hAnsi="仿宋_GB2312" w:eastAsia="仿宋_GB2312" w:cs="仿宋_GB2312"/>
          <w:b/>
          <w:bCs/>
          <w:snapToGrid w:val="0"/>
          <w:color w:val="000000"/>
          <w:sz w:val="32"/>
          <w:szCs w:val="32"/>
          <w:lang w:bidi="ar"/>
        </w:rPr>
        <w:t>[</w:t>
      </w:r>
      <w:r>
        <w:rPr>
          <w:rFonts w:hint="eastAsia" w:ascii="仿宋_GB2312" w:hAnsi="仿宋_GB2312" w:eastAsia="仿宋_GB2312" w:cs="仿宋_GB2312"/>
          <w:b/>
          <w:bCs/>
          <w:snapToGrid w:val="0"/>
          <w:color w:val="000000"/>
          <w:sz w:val="32"/>
          <w:szCs w:val="32"/>
          <w:lang w:bidi="ar"/>
        </w:rPr>
        <w:t>12</w:t>
      </w:r>
      <w:r>
        <w:rPr>
          <w:rFonts w:ascii="仿宋_GB2312" w:hAnsi="仿宋_GB2312" w:eastAsia="仿宋_GB2312" w:cs="仿宋_GB2312"/>
          <w:b/>
          <w:bCs/>
          <w:snapToGrid w:val="0"/>
          <w:color w:val="000000"/>
          <w:sz w:val="32"/>
          <w:szCs w:val="32"/>
          <w:lang w:bidi="ar"/>
        </w:rPr>
        <w:t>]</w:t>
      </w:r>
      <w:r>
        <w:rPr>
          <w:rFonts w:hint="eastAsia" w:ascii="仿宋_GB2312" w:hAnsi="仿宋_GB2312" w:eastAsia="仿宋_GB2312" w:cs="仿宋_GB2312"/>
          <w:b/>
          <w:bCs/>
          <w:snapToGrid w:val="0"/>
          <w:color w:val="000000"/>
          <w:sz w:val="32"/>
          <w:szCs w:val="32"/>
          <w:lang w:bidi="ar"/>
        </w:rPr>
        <w:t>碳足迹</w:t>
      </w:r>
    </w:p>
    <w:p w14:paraId="14E57F27">
      <w:pPr>
        <w:widowControl/>
        <w:spacing w:line="600" w:lineRule="exact"/>
        <w:ind w:firstLine="640" w:firstLineChars="200"/>
        <w:rPr>
          <w:rFonts w:ascii="仿宋_GB2312" w:hAnsi="仿宋_GB2312" w:eastAsia="仿宋_GB2312" w:cs="仿宋_GB2312"/>
          <w:snapToGrid w:val="0"/>
          <w:color w:val="000000"/>
          <w:sz w:val="32"/>
          <w:szCs w:val="32"/>
          <w:lang w:bidi="ar"/>
        </w:rPr>
      </w:pPr>
      <w:r>
        <w:rPr>
          <w:rFonts w:hint="eastAsia" w:ascii="仿宋_GB2312" w:hAnsi="仿宋_GB2312" w:eastAsia="仿宋_GB2312" w:cs="仿宋_GB2312"/>
          <w:snapToGrid w:val="0"/>
          <w:color w:val="000000"/>
          <w:sz w:val="32"/>
          <w:szCs w:val="32"/>
          <w:lang w:bidi="ar"/>
        </w:rPr>
        <w:t>指产品在全生命周期内直接和间接产生的温室气体排放总量，通常以二氧化碳当量表示。降低企业产品碳足迹是应对欧盟碳边境调节机制（CBAM）等国际贸易规则、提升产业国际竞争力的核心策略。规划</w:t>
      </w:r>
      <w:r>
        <w:rPr>
          <w:rFonts w:ascii="仿宋_GB2312" w:hAnsi="仿宋_GB2312" w:eastAsia="仿宋_GB2312" w:cs="仿宋_GB2312"/>
          <w:snapToGrid w:val="0"/>
          <w:color w:val="000000"/>
          <w:sz w:val="32"/>
          <w:szCs w:val="32"/>
          <w:lang w:bidi="ar"/>
        </w:rPr>
        <w:t>主要通过绿电园区提供可溯源绿电，并推动企业开展碳核算与获取绿色电力消费凭证，以降低贸易成本、增强产品绿色溢价。</w:t>
      </w:r>
    </w:p>
    <w:p w14:paraId="434BC68C">
      <w:pPr>
        <w:pStyle w:val="39"/>
        <w:spacing w:line="600" w:lineRule="exact"/>
        <w:ind w:firstLine="643" w:firstLineChars="200"/>
        <w:jc w:val="both"/>
        <w:rPr>
          <w:rFonts w:ascii="仿宋_GB2312" w:hAnsi="仿宋_GB2312" w:eastAsia="仿宋_GB2312" w:cs="仿宋_GB2312"/>
          <w:b/>
          <w:bCs/>
          <w:snapToGrid w:val="0"/>
          <w:color w:val="000000"/>
          <w:sz w:val="32"/>
          <w:szCs w:val="32"/>
          <w:lang w:bidi="ar"/>
        </w:rPr>
      </w:pPr>
      <w:bookmarkStart w:id="328" w:name="_Ref223540791"/>
      <w:r>
        <w:rPr>
          <w:rFonts w:ascii="仿宋_GB2312" w:hAnsi="仿宋_GB2312" w:eastAsia="仿宋_GB2312" w:cs="仿宋_GB2312"/>
          <w:b/>
          <w:bCs/>
          <w:snapToGrid w:val="0"/>
          <w:color w:val="000000"/>
          <w:sz w:val="32"/>
          <w:szCs w:val="32"/>
          <w:lang w:bidi="ar"/>
        </w:rPr>
        <w:t>[1</w:t>
      </w:r>
      <w:r>
        <w:rPr>
          <w:rFonts w:hint="eastAsia" w:ascii="仿宋_GB2312" w:hAnsi="仿宋_GB2312" w:eastAsia="仿宋_GB2312" w:cs="仿宋_GB2312"/>
          <w:b/>
          <w:bCs/>
          <w:snapToGrid w:val="0"/>
          <w:color w:val="000000"/>
          <w:sz w:val="32"/>
          <w:szCs w:val="32"/>
          <w:lang w:bidi="ar"/>
        </w:rPr>
        <w:t>3</w:t>
      </w:r>
      <w:r>
        <w:rPr>
          <w:rFonts w:ascii="仿宋_GB2312" w:hAnsi="仿宋_GB2312" w:eastAsia="仿宋_GB2312" w:cs="仿宋_GB2312"/>
          <w:b/>
          <w:bCs/>
          <w:snapToGrid w:val="0"/>
          <w:color w:val="000000"/>
          <w:sz w:val="32"/>
          <w:szCs w:val="32"/>
          <w:lang w:bidi="ar"/>
        </w:rPr>
        <w:t>]</w:t>
      </w:r>
      <w:r>
        <w:rPr>
          <w:rFonts w:hint="eastAsia" w:ascii="仿宋_GB2312" w:hAnsi="仿宋_GB2312" w:eastAsia="仿宋_GB2312" w:cs="仿宋_GB2312"/>
          <w:b/>
          <w:bCs/>
          <w:snapToGrid w:val="0"/>
          <w:color w:val="000000"/>
          <w:sz w:val="32"/>
          <w:szCs w:val="32"/>
          <w:lang w:bidi="ar"/>
        </w:rPr>
        <w:t>零碳园区</w:t>
      </w:r>
      <w:bookmarkEnd w:id="328"/>
    </w:p>
    <w:p w14:paraId="4D0CB85C">
      <w:pPr>
        <w:widowControl/>
        <w:spacing w:line="600" w:lineRule="exact"/>
        <w:ind w:firstLine="640" w:firstLineChars="200"/>
        <w:rPr>
          <w:rFonts w:ascii="仿宋_GB2312" w:hAnsi="仿宋_GB2312" w:eastAsia="仿宋_GB2312" w:cs="仿宋_GB2312"/>
          <w:snapToGrid w:val="0"/>
          <w:color w:val="000000"/>
          <w:sz w:val="32"/>
          <w:szCs w:val="32"/>
          <w:lang w:bidi="ar"/>
        </w:rPr>
      </w:pPr>
      <w:r>
        <w:rPr>
          <w:rFonts w:hint="eastAsia" w:ascii="仿宋_GB2312" w:hAnsi="仿宋_GB2312" w:eastAsia="仿宋_GB2312" w:cs="仿宋_GB2312"/>
          <w:snapToGrid w:val="0"/>
          <w:color w:val="000000"/>
          <w:sz w:val="32"/>
          <w:szCs w:val="32"/>
          <w:lang w:bidi="ar"/>
        </w:rPr>
        <w:t>指在园区规划、建设和运行过程中，通过提升可再生能源利用比例、优化能源结构、强化能碳协同管理，实现温室气体排放显著降低甚</w:t>
      </w:r>
      <w:r>
        <w:rPr>
          <w:rFonts w:ascii="仿宋_GB2312" w:hAnsi="仿宋_GB2312" w:eastAsia="仿宋_GB2312" w:cs="仿宋_GB2312"/>
          <w:snapToGrid w:val="0"/>
          <w:color w:val="000000"/>
          <w:sz w:val="32"/>
          <w:szCs w:val="32"/>
          <w:lang w:bidi="ar"/>
        </w:rPr>
        <w:t>至接近零排放的园区发展模式。本规划通过建设低碳综合能源系统、零碳工厂和零碳建筑示范项目，为创建国家级零碳园区奠定基础。</w:t>
      </w:r>
    </w:p>
    <w:p w14:paraId="7C09708B">
      <w:pPr>
        <w:spacing w:line="600" w:lineRule="exact"/>
      </w:pPr>
    </w:p>
    <w:sectPr>
      <w:footerReference r:id="rId6" w:type="default"/>
      <w:pgSz w:w="11906" w:h="16838"/>
      <w:pgMar w:top="1440" w:right="1440" w:bottom="1440" w:left="1440" w:header="708" w:footer="708"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F9201E4-E35B-4DFB-B920-8D5E2EDBD6D9}"/>
  </w:font>
  <w:font w:name="黑体">
    <w:panose1 w:val="02010609060101010101"/>
    <w:charset w:val="86"/>
    <w:family w:val="auto"/>
    <w:pitch w:val="default"/>
    <w:sig w:usb0="800002BF" w:usb1="38CF7CFA" w:usb2="00000016" w:usb3="00000000" w:csb0="00040001" w:csb1="00000000"/>
    <w:embedRegular r:id="rId2" w:fontKey="{051DC24E-F821-4B81-8EA5-5C5ED964E2A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695782F1-6DE6-40B8-A7CD-6672C06356A3}"/>
  </w:font>
  <w:font w:name="楷体">
    <w:panose1 w:val="02010609060101010101"/>
    <w:charset w:val="86"/>
    <w:family w:val="modern"/>
    <w:pitch w:val="default"/>
    <w:sig w:usb0="800002BF" w:usb1="38CF7CFA" w:usb2="00000016" w:usb3="00000000" w:csb0="00040001" w:csb1="00000000"/>
    <w:embedRegular r:id="rId4" w:fontKey="{A5023C8C-F69F-455E-8665-F92F588318BB}"/>
  </w:font>
  <w:font w:name="等线">
    <w:panose1 w:val="02010600030101010101"/>
    <w:charset w:val="86"/>
    <w:family w:val="auto"/>
    <w:pitch w:val="default"/>
    <w:sig w:usb0="A00002BF" w:usb1="38CF7CFA" w:usb2="00000016" w:usb3="00000000" w:csb0="0004000F" w:csb1="00000000"/>
  </w:font>
  <w:font w:name="方正仿宋_GB2312">
    <w:panose1 w:val="02000000000000000000"/>
    <w:charset w:val="86"/>
    <w:family w:val="auto"/>
    <w:pitch w:val="default"/>
    <w:sig w:usb0="A00002BF" w:usb1="184F6CFA" w:usb2="00000012" w:usb3="00000000" w:csb0="00040001" w:csb1="00000000"/>
    <w:embedRegular r:id="rId5" w:fontKey="{1CC4ED56-A845-4B90-9542-76BF2850B129}"/>
  </w:font>
  <w:font w:name="仿宋_GB2312">
    <w:panose1 w:val="02010609030101010101"/>
    <w:charset w:val="86"/>
    <w:family w:val="modern"/>
    <w:pitch w:val="default"/>
    <w:sig w:usb0="00000001" w:usb1="080E0000" w:usb2="00000000" w:usb3="00000000" w:csb0="00040000" w:csb1="00000000"/>
    <w:embedRegular r:id="rId6" w:fontKey="{90F0065B-0FA6-4149-BC51-C98D0596D819}"/>
  </w:font>
  <w:font w:name="方正大标宋简体">
    <w:altName w:val="微软雅黑"/>
    <w:panose1 w:val="00000000000000000000"/>
    <w:charset w:val="86"/>
    <w:family w:val="auto"/>
    <w:pitch w:val="default"/>
    <w:sig w:usb0="00000000" w:usb1="00000000" w:usb2="00000012" w:usb3="00000000" w:csb0="00040001" w:csb1="00000000"/>
    <w:embedRegular r:id="rId7" w:fontKey="{19DFED77-7389-4B84-A3B9-7A4E1D8BD0D4}"/>
  </w:font>
  <w:font w:name="微软雅黑">
    <w:panose1 w:val="020B0503020204020204"/>
    <w:charset w:val="86"/>
    <w:family w:val="swiss"/>
    <w:pitch w:val="default"/>
    <w:sig w:usb0="80000287" w:usb1="280F3C52" w:usb2="00000016" w:usb3="00000000" w:csb0="0004001F" w:csb1="00000000"/>
    <w:embedRegular r:id="rId8" w:fontKey="{5361D0D6-D492-4F3E-B145-A4F3F20A1192}"/>
  </w:font>
  <w:font w:name="Arial Unicode MS">
    <w:panose1 w:val="020B0604020202020204"/>
    <w:charset w:val="86"/>
    <w:family w:val="auto"/>
    <w:pitch w:val="default"/>
    <w:sig w:usb0="FFFFFFFF" w:usb1="E9FFFFFF" w:usb2="0000003F" w:usb3="00000000" w:csb0="603F01FF" w:csb1="FFFF0000"/>
    <w:embedRegular r:id="rId9" w:fontKey="{84A0162A-2FD4-4E34-925F-5FCE789881AD}"/>
  </w:font>
  <w:font w:name="楷体_GB2312">
    <w:panose1 w:val="02010609030101010101"/>
    <w:charset w:val="86"/>
    <w:family w:val="modern"/>
    <w:pitch w:val="default"/>
    <w:sig w:usb0="00000001" w:usb1="080E0000" w:usb2="00000000" w:usb3="00000000" w:csb0="00040000" w:csb1="00000000"/>
    <w:embedRegular r:id="rId10" w:fontKey="{CAA119A1-7FE3-41D1-B4BE-83477C6A2EE9}"/>
  </w:font>
  <w:font w:name="仿宋">
    <w:panose1 w:val="02010609060101010101"/>
    <w:charset w:val="86"/>
    <w:family w:val="modern"/>
    <w:pitch w:val="default"/>
    <w:sig w:usb0="800002BF" w:usb1="38CF7CFA" w:usb2="00000016" w:usb3="00000000" w:csb0="00040001" w:csb1="00000000"/>
    <w:embedRegular r:id="rId11" w:fontKey="{25BC01DE-A571-4EEC-A1A1-EA9EFC71B9EF}"/>
  </w:font>
  <w:font w:name="Segoe UI">
    <w:panose1 w:val="020B0502040204020203"/>
    <w:charset w:val="00"/>
    <w:family w:val="swiss"/>
    <w:pitch w:val="default"/>
    <w:sig w:usb0="E4002EFF" w:usb1="C000E47F" w:usb2="00000009" w:usb3="00000000" w:csb0="200001FF" w:csb1="00000000"/>
    <w:embedRegular r:id="rId12" w:fontKey="{5E337CAE-6548-415C-A2C1-015DFEE7E3DE}"/>
  </w:font>
  <w:font w:name="___WRD_EMBED_SUB_52">
    <w:altName w:val="方正公文小标宋"/>
    <w:panose1 w:val="00000000000000000000"/>
    <w:charset w:val="00"/>
    <w:family w:val="auto"/>
    <w:pitch w:val="default"/>
    <w:sig w:usb0="00000000" w:usb1="00000000" w:usb2="00000016" w:usb3="00000000" w:csb0="00040001" w:csb1="00000000"/>
    <w:embedRegular r:id="rId13" w:fontKey="{3E9BAE22-5E71-4C49-A9FC-98C781312CC1}"/>
  </w:font>
  <w:font w:name="方正公文小标宋">
    <w:panose1 w:val="02000500000000000000"/>
    <w:charset w:val="86"/>
    <w:family w:val="auto"/>
    <w:pitch w:val="default"/>
    <w:sig w:usb0="A00002BF" w:usb1="38CF7CFA" w:usb2="00000016" w:usb3="00000000" w:csb0="00040001" w:csb1="00000000"/>
  </w:font>
  <w:font w:name="方正仿宋_GBK">
    <w:panose1 w:val="02000000000000000000"/>
    <w:charset w:val="86"/>
    <w:family w:val="auto"/>
    <w:pitch w:val="default"/>
    <w:sig w:usb0="A00002BF" w:usb1="38CF7CFA" w:usb2="00082016" w:usb3="00000000" w:csb0="00040001" w:csb1="00000000"/>
    <w:embedRegular r:id="rId14" w:fontKey="{B599014B-06D2-4818-B018-F9852BC78B9D}"/>
  </w:font>
  <w:font w:name="方正楷体_GBK">
    <w:panose1 w:val="02000000000000000000"/>
    <w:charset w:val="86"/>
    <w:family w:val="auto"/>
    <w:pitch w:val="default"/>
    <w:sig w:usb0="800002BF" w:usb1="38CF7CFA" w:usb2="00000016" w:usb3="00000000" w:csb0="00040000" w:csb1="00000000"/>
    <w:embedRegular r:id="rId15" w:fontKey="{7A7ACF77-9E89-478E-BC7C-D6B3010A9570}"/>
  </w:font>
  <w:font w:name="___WRD_EMBED_SUB_53">
    <w:altName w:val="宋体"/>
    <w:panose1 w:val="00000000000000000000"/>
    <w:charset w:val="86"/>
    <w:family w:val="auto"/>
    <w:pitch w:val="default"/>
    <w:sig w:usb0="00000000" w:usb1="00000000" w:usb2="00000000" w:usb3="00000000" w:csb0="00040000" w:csb1="00000000"/>
    <w:embedRegular r:id="rId16" w:fontKey="{CB28C6E6-CBA6-4706-9171-2648E2FFE1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853FA">
    <w:pPr>
      <w:pStyle w:val="14"/>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9F4C4">
    <w:pPr>
      <w:pStyle w:val="14"/>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3ED0F">
    <w:pPr>
      <w:pStyle w:val="14"/>
      <w:spacing w:line="14" w:lineRule="auto"/>
      <w:ind w:left="0"/>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2608F96">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s+1Uw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IPs+1UwAgAAYwQAAA4AAAAAAAAAAQAgAAAAHwEAAGRycy9lMm9Eb2MueG1sUEsFBgAA&#10;AAAGAAYAWQEAAMEFAAAAAA==&#10;">
              <v:fill on="f" focussize="0,0"/>
              <v:stroke on="f" weight="0.5pt"/>
              <v:imagedata o:title=""/>
              <o:lock v:ext="edit" aspectratio="f"/>
              <v:textbox inset="0mm,0mm,0mm,0mm" style="mso-fit-shape-to-text:t;">
                <w:txbxContent>
                  <w:p w14:paraId="12608F96">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AA7B6">
    <w:pPr>
      <w:pStyle w:val="16"/>
      <w:jc w:val="center"/>
    </w:pPr>
    <w:r>
      <w:fldChar w:fldCharType="begin"/>
    </w:r>
    <w:r>
      <w:instrText xml:space="preserve">PAGE   \* MERGEFORMAT</w:instrText>
    </w:r>
    <w:r>
      <w:fldChar w:fldCharType="separate"/>
    </w:r>
    <w:r>
      <w:rPr>
        <w:lang w:val="zh-CN"/>
      </w:rPr>
      <w:t>16</w:t>
    </w:r>
    <w:r>
      <w:fldChar w:fldCharType="end"/>
    </w:r>
  </w:p>
  <w:p w14:paraId="5360A9E9">
    <w:pPr>
      <w:pStyle w:val="14"/>
      <w:spacing w:line="14" w:lineRule="auto"/>
      <w:ind w:left="0"/>
      <w:rPr>
        <w:sz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DECCB4"/>
    <w:multiLevelType w:val="multilevel"/>
    <w:tmpl w:val="ABDECCB4"/>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pStyle w:val="5"/>
      <w:suff w:val="nothing"/>
      <w:lvlText w:val="%3．"/>
      <w:lvlJc w:val="left"/>
      <w:pPr>
        <w:ind w:left="0" w:firstLine="400"/>
      </w:pPr>
      <w:rPr>
        <w:rFonts w:hint="eastAsia"/>
      </w:rPr>
    </w:lvl>
    <w:lvl w:ilvl="3" w:tentative="0">
      <w:start w:val="1"/>
      <w:numFmt w:val="decimal"/>
      <w:pStyle w:val="6"/>
      <w:suff w:val="nothing"/>
      <w:lvlText w:val="（%4）"/>
      <w:lvlJc w:val="left"/>
      <w:pPr>
        <w:ind w:left="0" w:firstLine="402"/>
      </w:pPr>
      <w:rPr>
        <w:rFonts w:hint="eastAsia"/>
      </w:rPr>
    </w:lvl>
    <w:lvl w:ilvl="4" w:tentative="0">
      <w:start w:val="1"/>
      <w:numFmt w:val="decimalEnclosedCircleChinese"/>
      <w:pStyle w:val="7"/>
      <w:suff w:val="nothing"/>
      <w:lvlText w:val="%5"/>
      <w:lvlJc w:val="left"/>
      <w:pPr>
        <w:ind w:left="0" w:firstLine="402"/>
      </w:pPr>
      <w:rPr>
        <w:rFonts w:hint="eastAsia"/>
      </w:rPr>
    </w:lvl>
    <w:lvl w:ilvl="5" w:tentative="0">
      <w:start w:val="1"/>
      <w:numFmt w:val="decimal"/>
      <w:pStyle w:val="8"/>
      <w:suff w:val="nothing"/>
      <w:lvlText w:val="%6）"/>
      <w:lvlJc w:val="left"/>
      <w:pPr>
        <w:ind w:left="0" w:firstLine="402"/>
      </w:pPr>
      <w:rPr>
        <w:rFonts w:hint="eastAsia"/>
      </w:rPr>
    </w:lvl>
    <w:lvl w:ilvl="6" w:tentative="0">
      <w:start w:val="1"/>
      <w:numFmt w:val="lowerLetter"/>
      <w:pStyle w:val="9"/>
      <w:suff w:val="nothing"/>
      <w:lvlText w:val="%7．"/>
      <w:lvlJc w:val="left"/>
      <w:pPr>
        <w:ind w:left="0" w:firstLine="402"/>
      </w:pPr>
      <w:rPr>
        <w:rFonts w:hint="eastAsia"/>
      </w:rPr>
    </w:lvl>
    <w:lvl w:ilvl="7" w:tentative="0">
      <w:start w:val="1"/>
      <w:numFmt w:val="lowerLetter"/>
      <w:pStyle w:val="10"/>
      <w:suff w:val="nothing"/>
      <w:lvlText w:val="%8）"/>
      <w:lvlJc w:val="left"/>
      <w:pPr>
        <w:ind w:left="0" w:firstLine="402"/>
      </w:pPr>
      <w:rPr>
        <w:rFonts w:hint="eastAsia"/>
      </w:rPr>
    </w:lvl>
    <w:lvl w:ilvl="8" w:tentative="0">
      <w:start w:val="1"/>
      <w:numFmt w:val="lowerRoman"/>
      <w:pStyle w:val="11"/>
      <w:suff w:val="nothing"/>
      <w:lvlText w:val="%9 "/>
      <w:lvlJc w:val="left"/>
      <w:pPr>
        <w:ind w:left="0" w:firstLine="402"/>
      </w:pPr>
      <w:rPr>
        <w:rFonts w:hint="eastAsia"/>
      </w:rPr>
    </w:lvl>
  </w:abstractNum>
  <w:abstractNum w:abstractNumId="1">
    <w:nsid w:val="EC3A77F1"/>
    <w:multiLevelType w:val="singleLevel"/>
    <w:tmpl w:val="EC3A77F1"/>
    <w:lvl w:ilvl="0" w:tentative="0">
      <w:start w:val="3"/>
      <w:numFmt w:val="chineseCounting"/>
      <w:suff w:val="space"/>
      <w:lvlText w:val="第%1节"/>
      <w:lvlJc w:val="left"/>
      <w:rPr>
        <w:rFonts w:hint="eastAsia"/>
      </w:rPr>
    </w:lvl>
  </w:abstractNum>
  <w:abstractNum w:abstractNumId="2">
    <w:nsid w:val="37D52751"/>
    <w:multiLevelType w:val="multilevel"/>
    <w:tmpl w:val="37D52751"/>
    <w:lvl w:ilvl="0" w:tentative="0">
      <w:start w:val="1"/>
      <w:numFmt w:val="japaneseCounting"/>
      <w:lvlText w:val="第%1节"/>
      <w:lvlJc w:val="left"/>
      <w:pPr>
        <w:ind w:left="4316" w:hanging="1116"/>
      </w:pPr>
      <w:rPr>
        <w:rFonts w:hint="default"/>
      </w:rPr>
    </w:lvl>
    <w:lvl w:ilvl="1" w:tentative="0">
      <w:start w:val="1"/>
      <w:numFmt w:val="lowerLetter"/>
      <w:lvlText w:val="%2)"/>
      <w:lvlJc w:val="left"/>
      <w:pPr>
        <w:ind w:left="4080" w:hanging="440"/>
      </w:pPr>
    </w:lvl>
    <w:lvl w:ilvl="2" w:tentative="0">
      <w:start w:val="1"/>
      <w:numFmt w:val="lowerRoman"/>
      <w:lvlText w:val="%3."/>
      <w:lvlJc w:val="right"/>
      <w:pPr>
        <w:ind w:left="4520" w:hanging="440"/>
      </w:pPr>
    </w:lvl>
    <w:lvl w:ilvl="3" w:tentative="0">
      <w:start w:val="1"/>
      <w:numFmt w:val="decimal"/>
      <w:lvlText w:val="%4."/>
      <w:lvlJc w:val="left"/>
      <w:pPr>
        <w:ind w:left="4960" w:hanging="440"/>
      </w:pPr>
    </w:lvl>
    <w:lvl w:ilvl="4" w:tentative="0">
      <w:start w:val="1"/>
      <w:numFmt w:val="lowerLetter"/>
      <w:lvlText w:val="%5)"/>
      <w:lvlJc w:val="left"/>
      <w:pPr>
        <w:ind w:left="5400" w:hanging="440"/>
      </w:pPr>
    </w:lvl>
    <w:lvl w:ilvl="5" w:tentative="0">
      <w:start w:val="1"/>
      <w:numFmt w:val="lowerRoman"/>
      <w:lvlText w:val="%6."/>
      <w:lvlJc w:val="right"/>
      <w:pPr>
        <w:ind w:left="5840" w:hanging="440"/>
      </w:pPr>
    </w:lvl>
    <w:lvl w:ilvl="6" w:tentative="0">
      <w:start w:val="1"/>
      <w:numFmt w:val="decimal"/>
      <w:lvlText w:val="%7."/>
      <w:lvlJc w:val="left"/>
      <w:pPr>
        <w:ind w:left="6280" w:hanging="440"/>
      </w:pPr>
    </w:lvl>
    <w:lvl w:ilvl="7" w:tentative="0">
      <w:start w:val="1"/>
      <w:numFmt w:val="lowerLetter"/>
      <w:lvlText w:val="%8)"/>
      <w:lvlJc w:val="left"/>
      <w:pPr>
        <w:ind w:left="6720" w:hanging="440"/>
      </w:pPr>
    </w:lvl>
    <w:lvl w:ilvl="8" w:tentative="0">
      <w:start w:val="1"/>
      <w:numFmt w:val="lowerRoman"/>
      <w:lvlText w:val="%9."/>
      <w:lvlJc w:val="right"/>
      <w:pPr>
        <w:ind w:left="7160" w:hanging="4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1"/>
  <w:bordersDoNotSurroundFooter w:val="1"/>
  <w:documentProtection w:enforcement="0"/>
  <w:defaultTabStop w:val="420"/>
  <w:noPunctuationKerning w:val="1"/>
  <w:characterSpacingControl w:val="doNotCompress"/>
  <w:compat>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384"/>
    <w:rsid w:val="000030F3"/>
    <w:rsid w:val="0000473F"/>
    <w:rsid w:val="00012981"/>
    <w:rsid w:val="0001364C"/>
    <w:rsid w:val="00033643"/>
    <w:rsid w:val="00034120"/>
    <w:rsid w:val="0003559D"/>
    <w:rsid w:val="00061DA4"/>
    <w:rsid w:val="00071065"/>
    <w:rsid w:val="00072C34"/>
    <w:rsid w:val="0007766F"/>
    <w:rsid w:val="00077CF4"/>
    <w:rsid w:val="0009086B"/>
    <w:rsid w:val="000966F9"/>
    <w:rsid w:val="000A05ED"/>
    <w:rsid w:val="000B1DA3"/>
    <w:rsid w:val="000B324E"/>
    <w:rsid w:val="000D5752"/>
    <w:rsid w:val="00101AED"/>
    <w:rsid w:val="00120C65"/>
    <w:rsid w:val="00125F38"/>
    <w:rsid w:val="00126612"/>
    <w:rsid w:val="00132EA5"/>
    <w:rsid w:val="00140572"/>
    <w:rsid w:val="0015617F"/>
    <w:rsid w:val="001914A0"/>
    <w:rsid w:val="00197A0B"/>
    <w:rsid w:val="001B094B"/>
    <w:rsid w:val="001C4010"/>
    <w:rsid w:val="001C6465"/>
    <w:rsid w:val="001D4AAE"/>
    <w:rsid w:val="001E0F83"/>
    <w:rsid w:val="001F1BC1"/>
    <w:rsid w:val="001F3CAC"/>
    <w:rsid w:val="001F638F"/>
    <w:rsid w:val="00200FE0"/>
    <w:rsid w:val="0020201C"/>
    <w:rsid w:val="0020787D"/>
    <w:rsid w:val="00222C3F"/>
    <w:rsid w:val="00222EFD"/>
    <w:rsid w:val="00227220"/>
    <w:rsid w:val="00231C23"/>
    <w:rsid w:val="00234DD8"/>
    <w:rsid w:val="002350B7"/>
    <w:rsid w:val="002504F9"/>
    <w:rsid w:val="00251195"/>
    <w:rsid w:val="00261010"/>
    <w:rsid w:val="0026270A"/>
    <w:rsid w:val="002743F4"/>
    <w:rsid w:val="002765AD"/>
    <w:rsid w:val="002771B2"/>
    <w:rsid w:val="002773D6"/>
    <w:rsid w:val="00284EE5"/>
    <w:rsid w:val="00287963"/>
    <w:rsid w:val="002974AE"/>
    <w:rsid w:val="00297E39"/>
    <w:rsid w:val="002B41DD"/>
    <w:rsid w:val="002D4F3A"/>
    <w:rsid w:val="002D51DC"/>
    <w:rsid w:val="002D5565"/>
    <w:rsid w:val="002F0373"/>
    <w:rsid w:val="002F0B83"/>
    <w:rsid w:val="002F539D"/>
    <w:rsid w:val="002F6F9F"/>
    <w:rsid w:val="00317E6C"/>
    <w:rsid w:val="003235E9"/>
    <w:rsid w:val="003315FE"/>
    <w:rsid w:val="00333717"/>
    <w:rsid w:val="003343B0"/>
    <w:rsid w:val="00336FA3"/>
    <w:rsid w:val="003401DE"/>
    <w:rsid w:val="003456FF"/>
    <w:rsid w:val="00346100"/>
    <w:rsid w:val="003501D5"/>
    <w:rsid w:val="0036136C"/>
    <w:rsid w:val="00363ECC"/>
    <w:rsid w:val="00365B7E"/>
    <w:rsid w:val="00370DF0"/>
    <w:rsid w:val="0038206D"/>
    <w:rsid w:val="003B019E"/>
    <w:rsid w:val="003B4F5E"/>
    <w:rsid w:val="003B58D7"/>
    <w:rsid w:val="003C5490"/>
    <w:rsid w:val="003D1B02"/>
    <w:rsid w:val="003E2920"/>
    <w:rsid w:val="004242A0"/>
    <w:rsid w:val="00433C7C"/>
    <w:rsid w:val="00433CC7"/>
    <w:rsid w:val="0043456E"/>
    <w:rsid w:val="00435150"/>
    <w:rsid w:val="00457705"/>
    <w:rsid w:val="00465460"/>
    <w:rsid w:val="004674DB"/>
    <w:rsid w:val="004779D3"/>
    <w:rsid w:val="004949C7"/>
    <w:rsid w:val="00496134"/>
    <w:rsid w:val="004B3BC6"/>
    <w:rsid w:val="004C5EAC"/>
    <w:rsid w:val="004D000D"/>
    <w:rsid w:val="004D1A9F"/>
    <w:rsid w:val="004E7161"/>
    <w:rsid w:val="00503ED9"/>
    <w:rsid w:val="0050588C"/>
    <w:rsid w:val="00516257"/>
    <w:rsid w:val="0052324D"/>
    <w:rsid w:val="00533D9C"/>
    <w:rsid w:val="0053479C"/>
    <w:rsid w:val="0053547A"/>
    <w:rsid w:val="00541E6B"/>
    <w:rsid w:val="00553129"/>
    <w:rsid w:val="00562808"/>
    <w:rsid w:val="00573562"/>
    <w:rsid w:val="00592D07"/>
    <w:rsid w:val="005A08FB"/>
    <w:rsid w:val="005B045B"/>
    <w:rsid w:val="005C3925"/>
    <w:rsid w:val="005E561E"/>
    <w:rsid w:val="005E6329"/>
    <w:rsid w:val="005F1638"/>
    <w:rsid w:val="005F2917"/>
    <w:rsid w:val="00605AAA"/>
    <w:rsid w:val="00610592"/>
    <w:rsid w:val="00611988"/>
    <w:rsid w:val="00622EF3"/>
    <w:rsid w:val="00624EF5"/>
    <w:rsid w:val="00630682"/>
    <w:rsid w:val="00641EF6"/>
    <w:rsid w:val="00665641"/>
    <w:rsid w:val="00670BAD"/>
    <w:rsid w:val="0067722F"/>
    <w:rsid w:val="00682384"/>
    <w:rsid w:val="00685F2C"/>
    <w:rsid w:val="00691345"/>
    <w:rsid w:val="006A2ECB"/>
    <w:rsid w:val="006A6854"/>
    <w:rsid w:val="006B2AFD"/>
    <w:rsid w:val="006B7F30"/>
    <w:rsid w:val="006D386A"/>
    <w:rsid w:val="006E4A65"/>
    <w:rsid w:val="0070212A"/>
    <w:rsid w:val="00702FFC"/>
    <w:rsid w:val="00724F13"/>
    <w:rsid w:val="0073102C"/>
    <w:rsid w:val="0073640F"/>
    <w:rsid w:val="00737212"/>
    <w:rsid w:val="0075111F"/>
    <w:rsid w:val="00755A02"/>
    <w:rsid w:val="007806F9"/>
    <w:rsid w:val="00780D3F"/>
    <w:rsid w:val="007825F1"/>
    <w:rsid w:val="00783D51"/>
    <w:rsid w:val="00784A7B"/>
    <w:rsid w:val="007876B2"/>
    <w:rsid w:val="007B04A8"/>
    <w:rsid w:val="007B46D4"/>
    <w:rsid w:val="007C1DAD"/>
    <w:rsid w:val="007D5892"/>
    <w:rsid w:val="007E4CA5"/>
    <w:rsid w:val="007F7180"/>
    <w:rsid w:val="007F7D32"/>
    <w:rsid w:val="00800143"/>
    <w:rsid w:val="00801E59"/>
    <w:rsid w:val="00820992"/>
    <w:rsid w:val="00834E90"/>
    <w:rsid w:val="00846ED6"/>
    <w:rsid w:val="0085217C"/>
    <w:rsid w:val="0085533A"/>
    <w:rsid w:val="008622D7"/>
    <w:rsid w:val="008644DD"/>
    <w:rsid w:val="00866424"/>
    <w:rsid w:val="008725F4"/>
    <w:rsid w:val="00874034"/>
    <w:rsid w:val="0087718D"/>
    <w:rsid w:val="008858C8"/>
    <w:rsid w:val="0089439E"/>
    <w:rsid w:val="008A0DE0"/>
    <w:rsid w:val="008A15FF"/>
    <w:rsid w:val="008A3B9E"/>
    <w:rsid w:val="008D7120"/>
    <w:rsid w:val="008E6A86"/>
    <w:rsid w:val="008F06BD"/>
    <w:rsid w:val="008F0DE6"/>
    <w:rsid w:val="008F3685"/>
    <w:rsid w:val="008F51E2"/>
    <w:rsid w:val="008F75C0"/>
    <w:rsid w:val="00900B8F"/>
    <w:rsid w:val="009106E9"/>
    <w:rsid w:val="00910D36"/>
    <w:rsid w:val="00927082"/>
    <w:rsid w:val="009516E9"/>
    <w:rsid w:val="009554A7"/>
    <w:rsid w:val="00956C16"/>
    <w:rsid w:val="0096568C"/>
    <w:rsid w:val="009701FC"/>
    <w:rsid w:val="00970350"/>
    <w:rsid w:val="0098575C"/>
    <w:rsid w:val="00992E3A"/>
    <w:rsid w:val="0099767D"/>
    <w:rsid w:val="009A318B"/>
    <w:rsid w:val="009A53F4"/>
    <w:rsid w:val="009B0BB7"/>
    <w:rsid w:val="009B2FAA"/>
    <w:rsid w:val="009C3589"/>
    <w:rsid w:val="009D4226"/>
    <w:rsid w:val="009E441E"/>
    <w:rsid w:val="009E60F3"/>
    <w:rsid w:val="00A21575"/>
    <w:rsid w:val="00A30C5D"/>
    <w:rsid w:val="00A65D0F"/>
    <w:rsid w:val="00A71704"/>
    <w:rsid w:val="00A72D7A"/>
    <w:rsid w:val="00A84ACD"/>
    <w:rsid w:val="00A85B3B"/>
    <w:rsid w:val="00AB18EA"/>
    <w:rsid w:val="00AB4D8E"/>
    <w:rsid w:val="00AC267A"/>
    <w:rsid w:val="00AE1203"/>
    <w:rsid w:val="00AF0305"/>
    <w:rsid w:val="00B034EE"/>
    <w:rsid w:val="00B36F5D"/>
    <w:rsid w:val="00B66A7B"/>
    <w:rsid w:val="00B768AA"/>
    <w:rsid w:val="00B86438"/>
    <w:rsid w:val="00BA6C43"/>
    <w:rsid w:val="00BB4CDC"/>
    <w:rsid w:val="00BC7BF2"/>
    <w:rsid w:val="00BD5513"/>
    <w:rsid w:val="00BD77D1"/>
    <w:rsid w:val="00BE0610"/>
    <w:rsid w:val="00BE55B8"/>
    <w:rsid w:val="00BE6468"/>
    <w:rsid w:val="00BE7147"/>
    <w:rsid w:val="00C224C0"/>
    <w:rsid w:val="00C30815"/>
    <w:rsid w:val="00C45DD8"/>
    <w:rsid w:val="00C57175"/>
    <w:rsid w:val="00C74229"/>
    <w:rsid w:val="00C871C8"/>
    <w:rsid w:val="00CA7729"/>
    <w:rsid w:val="00CB2292"/>
    <w:rsid w:val="00CB754A"/>
    <w:rsid w:val="00CD7440"/>
    <w:rsid w:val="00CE0F8D"/>
    <w:rsid w:val="00CE69A3"/>
    <w:rsid w:val="00CF72B4"/>
    <w:rsid w:val="00D02BDF"/>
    <w:rsid w:val="00D04DC8"/>
    <w:rsid w:val="00D21ACF"/>
    <w:rsid w:val="00D33F49"/>
    <w:rsid w:val="00D42B10"/>
    <w:rsid w:val="00D46FCA"/>
    <w:rsid w:val="00D55BF6"/>
    <w:rsid w:val="00D57F13"/>
    <w:rsid w:val="00D6077B"/>
    <w:rsid w:val="00D76E9C"/>
    <w:rsid w:val="00D827E7"/>
    <w:rsid w:val="00D92E63"/>
    <w:rsid w:val="00DA0766"/>
    <w:rsid w:val="00DA688F"/>
    <w:rsid w:val="00DB028F"/>
    <w:rsid w:val="00DD240B"/>
    <w:rsid w:val="00DE4883"/>
    <w:rsid w:val="00E0260B"/>
    <w:rsid w:val="00E04F3B"/>
    <w:rsid w:val="00E10FE1"/>
    <w:rsid w:val="00E13EEB"/>
    <w:rsid w:val="00E24C53"/>
    <w:rsid w:val="00E42D9A"/>
    <w:rsid w:val="00E43270"/>
    <w:rsid w:val="00E46BEC"/>
    <w:rsid w:val="00E60AF6"/>
    <w:rsid w:val="00E6553E"/>
    <w:rsid w:val="00E73820"/>
    <w:rsid w:val="00E802C0"/>
    <w:rsid w:val="00E8133F"/>
    <w:rsid w:val="00E81A3A"/>
    <w:rsid w:val="00EB2CE0"/>
    <w:rsid w:val="00ED1514"/>
    <w:rsid w:val="00EE054C"/>
    <w:rsid w:val="00EE6CED"/>
    <w:rsid w:val="00EF1523"/>
    <w:rsid w:val="00F036C9"/>
    <w:rsid w:val="00F041DA"/>
    <w:rsid w:val="00F124A5"/>
    <w:rsid w:val="00F169C3"/>
    <w:rsid w:val="00F3056C"/>
    <w:rsid w:val="00F31B8A"/>
    <w:rsid w:val="00F702E2"/>
    <w:rsid w:val="00F7087A"/>
    <w:rsid w:val="00F71675"/>
    <w:rsid w:val="00F75303"/>
    <w:rsid w:val="00F8668E"/>
    <w:rsid w:val="00F87E36"/>
    <w:rsid w:val="00F9060B"/>
    <w:rsid w:val="00F96694"/>
    <w:rsid w:val="00FA28D7"/>
    <w:rsid w:val="00FB05CF"/>
    <w:rsid w:val="00FB1B1B"/>
    <w:rsid w:val="00FB654E"/>
    <w:rsid w:val="00FC31B7"/>
    <w:rsid w:val="00FC416F"/>
    <w:rsid w:val="00FD13E8"/>
    <w:rsid w:val="00FE30E1"/>
    <w:rsid w:val="00FF729E"/>
    <w:rsid w:val="016C687D"/>
    <w:rsid w:val="017B72F5"/>
    <w:rsid w:val="017C4E3A"/>
    <w:rsid w:val="01891B53"/>
    <w:rsid w:val="01910A08"/>
    <w:rsid w:val="02344B4B"/>
    <w:rsid w:val="02E37041"/>
    <w:rsid w:val="02F54FC6"/>
    <w:rsid w:val="03464BDC"/>
    <w:rsid w:val="034B2E38"/>
    <w:rsid w:val="03541CED"/>
    <w:rsid w:val="03A17319"/>
    <w:rsid w:val="03CC3F79"/>
    <w:rsid w:val="03D1158F"/>
    <w:rsid w:val="03FE7ECF"/>
    <w:rsid w:val="04762137"/>
    <w:rsid w:val="049F168E"/>
    <w:rsid w:val="04AB0032"/>
    <w:rsid w:val="04B06DC7"/>
    <w:rsid w:val="04B862AB"/>
    <w:rsid w:val="04ED41A7"/>
    <w:rsid w:val="04F31206"/>
    <w:rsid w:val="04F433AE"/>
    <w:rsid w:val="053C6EDC"/>
    <w:rsid w:val="055A08EF"/>
    <w:rsid w:val="05AF48E2"/>
    <w:rsid w:val="0624009C"/>
    <w:rsid w:val="06556CF4"/>
    <w:rsid w:val="06606BFB"/>
    <w:rsid w:val="068C21CA"/>
    <w:rsid w:val="06C70A28"/>
    <w:rsid w:val="06C90C44"/>
    <w:rsid w:val="06C97212"/>
    <w:rsid w:val="06CC51D0"/>
    <w:rsid w:val="0781507A"/>
    <w:rsid w:val="07944DB6"/>
    <w:rsid w:val="07A7374A"/>
    <w:rsid w:val="08332819"/>
    <w:rsid w:val="083A10B9"/>
    <w:rsid w:val="086D1603"/>
    <w:rsid w:val="08A27337"/>
    <w:rsid w:val="08EE4992"/>
    <w:rsid w:val="0925609A"/>
    <w:rsid w:val="09816A22"/>
    <w:rsid w:val="09A87CBD"/>
    <w:rsid w:val="09C3197A"/>
    <w:rsid w:val="0AAF1EFF"/>
    <w:rsid w:val="0AF52007"/>
    <w:rsid w:val="0B02371A"/>
    <w:rsid w:val="0B260413"/>
    <w:rsid w:val="0B9F3D21"/>
    <w:rsid w:val="0BDA11FD"/>
    <w:rsid w:val="0BFC5617"/>
    <w:rsid w:val="0CC60BAE"/>
    <w:rsid w:val="0D374B59"/>
    <w:rsid w:val="0E2D69F3"/>
    <w:rsid w:val="0E5131BF"/>
    <w:rsid w:val="0E856638"/>
    <w:rsid w:val="0E9842DB"/>
    <w:rsid w:val="0E9953A0"/>
    <w:rsid w:val="0EAF2411"/>
    <w:rsid w:val="0F2C7FC2"/>
    <w:rsid w:val="0F3D3F7D"/>
    <w:rsid w:val="0F476BAA"/>
    <w:rsid w:val="0F6E05DA"/>
    <w:rsid w:val="103B628C"/>
    <w:rsid w:val="1045133B"/>
    <w:rsid w:val="10563548"/>
    <w:rsid w:val="10ED3781"/>
    <w:rsid w:val="111927C8"/>
    <w:rsid w:val="11390774"/>
    <w:rsid w:val="119B5D70"/>
    <w:rsid w:val="11A2456B"/>
    <w:rsid w:val="11B06C88"/>
    <w:rsid w:val="11E84674"/>
    <w:rsid w:val="11FA34E2"/>
    <w:rsid w:val="12295A5F"/>
    <w:rsid w:val="1232522D"/>
    <w:rsid w:val="12500B1E"/>
    <w:rsid w:val="12FC5EFD"/>
    <w:rsid w:val="12FE7EC7"/>
    <w:rsid w:val="13076D7C"/>
    <w:rsid w:val="130A061A"/>
    <w:rsid w:val="13250FB0"/>
    <w:rsid w:val="134502E2"/>
    <w:rsid w:val="13734411"/>
    <w:rsid w:val="13920EC9"/>
    <w:rsid w:val="13A4281C"/>
    <w:rsid w:val="13B30149"/>
    <w:rsid w:val="13DA623E"/>
    <w:rsid w:val="13DD188A"/>
    <w:rsid w:val="14195C3E"/>
    <w:rsid w:val="14643D5A"/>
    <w:rsid w:val="14AD1812"/>
    <w:rsid w:val="157A5D4B"/>
    <w:rsid w:val="15BB45B7"/>
    <w:rsid w:val="160E48CD"/>
    <w:rsid w:val="162E6B9C"/>
    <w:rsid w:val="16460917"/>
    <w:rsid w:val="16A9014A"/>
    <w:rsid w:val="16F67DE9"/>
    <w:rsid w:val="172A128B"/>
    <w:rsid w:val="17885FB1"/>
    <w:rsid w:val="17D34C26"/>
    <w:rsid w:val="17DF2E96"/>
    <w:rsid w:val="18045ECA"/>
    <w:rsid w:val="185C623C"/>
    <w:rsid w:val="18842C1C"/>
    <w:rsid w:val="18D035E3"/>
    <w:rsid w:val="18DB147F"/>
    <w:rsid w:val="19502AFF"/>
    <w:rsid w:val="1968609A"/>
    <w:rsid w:val="19C92FDD"/>
    <w:rsid w:val="19F73E9E"/>
    <w:rsid w:val="1A2B2AF9"/>
    <w:rsid w:val="1A5D1977"/>
    <w:rsid w:val="1A676352"/>
    <w:rsid w:val="1A91517D"/>
    <w:rsid w:val="1AAE21D3"/>
    <w:rsid w:val="1B100797"/>
    <w:rsid w:val="1B1A164C"/>
    <w:rsid w:val="1BAF02D5"/>
    <w:rsid w:val="1C346454"/>
    <w:rsid w:val="1C7D0423"/>
    <w:rsid w:val="1CBC4A9F"/>
    <w:rsid w:val="1CE43C8A"/>
    <w:rsid w:val="1D3F7112"/>
    <w:rsid w:val="1D5E3A3C"/>
    <w:rsid w:val="1D8611E5"/>
    <w:rsid w:val="1D9B0B11"/>
    <w:rsid w:val="1DC6338F"/>
    <w:rsid w:val="1DD7411B"/>
    <w:rsid w:val="1DE36213"/>
    <w:rsid w:val="1DEF0B38"/>
    <w:rsid w:val="1E110AAE"/>
    <w:rsid w:val="1E2C12A9"/>
    <w:rsid w:val="1E3D3741"/>
    <w:rsid w:val="1E441E5C"/>
    <w:rsid w:val="1E492169"/>
    <w:rsid w:val="1E805C34"/>
    <w:rsid w:val="1EBD29E4"/>
    <w:rsid w:val="1EC51899"/>
    <w:rsid w:val="1F2E5690"/>
    <w:rsid w:val="1F316F2E"/>
    <w:rsid w:val="1F355E43"/>
    <w:rsid w:val="1F9A0F77"/>
    <w:rsid w:val="1FF00B97"/>
    <w:rsid w:val="2003638F"/>
    <w:rsid w:val="20575B84"/>
    <w:rsid w:val="2094165F"/>
    <w:rsid w:val="210A56C3"/>
    <w:rsid w:val="217A2F7C"/>
    <w:rsid w:val="21920644"/>
    <w:rsid w:val="22160D89"/>
    <w:rsid w:val="221943D6"/>
    <w:rsid w:val="2223670B"/>
    <w:rsid w:val="2248233E"/>
    <w:rsid w:val="22482F0D"/>
    <w:rsid w:val="229677D4"/>
    <w:rsid w:val="230A01C2"/>
    <w:rsid w:val="2342795C"/>
    <w:rsid w:val="23517B9F"/>
    <w:rsid w:val="23795DC6"/>
    <w:rsid w:val="23B71923"/>
    <w:rsid w:val="23D305B4"/>
    <w:rsid w:val="240D7F6A"/>
    <w:rsid w:val="242A28CA"/>
    <w:rsid w:val="2432177F"/>
    <w:rsid w:val="245628AC"/>
    <w:rsid w:val="245636BF"/>
    <w:rsid w:val="249E1E75"/>
    <w:rsid w:val="24C745BD"/>
    <w:rsid w:val="24EB4A48"/>
    <w:rsid w:val="253F1181"/>
    <w:rsid w:val="255676EF"/>
    <w:rsid w:val="255A41E6"/>
    <w:rsid w:val="25851797"/>
    <w:rsid w:val="259F1096"/>
    <w:rsid w:val="25A55F80"/>
    <w:rsid w:val="2640277B"/>
    <w:rsid w:val="267B10B7"/>
    <w:rsid w:val="26880CE0"/>
    <w:rsid w:val="26964247"/>
    <w:rsid w:val="26DE799C"/>
    <w:rsid w:val="26EF7DFB"/>
    <w:rsid w:val="271B299E"/>
    <w:rsid w:val="275C0E11"/>
    <w:rsid w:val="276F4A98"/>
    <w:rsid w:val="27826579"/>
    <w:rsid w:val="28277780"/>
    <w:rsid w:val="283F446A"/>
    <w:rsid w:val="28B634E0"/>
    <w:rsid w:val="293464FB"/>
    <w:rsid w:val="294862CA"/>
    <w:rsid w:val="294D7387"/>
    <w:rsid w:val="29966FCB"/>
    <w:rsid w:val="29E057D9"/>
    <w:rsid w:val="2A60697E"/>
    <w:rsid w:val="2A625934"/>
    <w:rsid w:val="2ACE609C"/>
    <w:rsid w:val="2ADC41F2"/>
    <w:rsid w:val="2B231E21"/>
    <w:rsid w:val="2B713A3B"/>
    <w:rsid w:val="2BF605D1"/>
    <w:rsid w:val="2C2677AF"/>
    <w:rsid w:val="2C6170A5"/>
    <w:rsid w:val="2C9B4E2C"/>
    <w:rsid w:val="2C9E3E55"/>
    <w:rsid w:val="2CA509F7"/>
    <w:rsid w:val="2CA945A8"/>
    <w:rsid w:val="2CAD22EA"/>
    <w:rsid w:val="2CAE6F9F"/>
    <w:rsid w:val="2CF46E83"/>
    <w:rsid w:val="2CFF07C1"/>
    <w:rsid w:val="2D0B7011"/>
    <w:rsid w:val="2D404F0C"/>
    <w:rsid w:val="2D614E83"/>
    <w:rsid w:val="2D6912C6"/>
    <w:rsid w:val="2D7E3F30"/>
    <w:rsid w:val="2D8E697A"/>
    <w:rsid w:val="2DA336ED"/>
    <w:rsid w:val="2E4C168F"/>
    <w:rsid w:val="2EA80FBB"/>
    <w:rsid w:val="2EDA313F"/>
    <w:rsid w:val="2EEB42E7"/>
    <w:rsid w:val="2F4A12EE"/>
    <w:rsid w:val="2FA21EAE"/>
    <w:rsid w:val="2FDE0A0C"/>
    <w:rsid w:val="2FEDBD0B"/>
    <w:rsid w:val="302428C3"/>
    <w:rsid w:val="307E62A1"/>
    <w:rsid w:val="308A35E1"/>
    <w:rsid w:val="30B80ECD"/>
    <w:rsid w:val="30EB1633"/>
    <w:rsid w:val="311C17EC"/>
    <w:rsid w:val="31684A32"/>
    <w:rsid w:val="31F103C1"/>
    <w:rsid w:val="32292413"/>
    <w:rsid w:val="3244724D"/>
    <w:rsid w:val="326A6587"/>
    <w:rsid w:val="32B141B6"/>
    <w:rsid w:val="33050C04"/>
    <w:rsid w:val="33183CC9"/>
    <w:rsid w:val="33447433"/>
    <w:rsid w:val="33591F95"/>
    <w:rsid w:val="33A06705"/>
    <w:rsid w:val="34592D57"/>
    <w:rsid w:val="34BD32E6"/>
    <w:rsid w:val="354B08F2"/>
    <w:rsid w:val="354D466A"/>
    <w:rsid w:val="35A818A1"/>
    <w:rsid w:val="35B7424D"/>
    <w:rsid w:val="361D6E98"/>
    <w:rsid w:val="36631C6B"/>
    <w:rsid w:val="36723C5D"/>
    <w:rsid w:val="36A516C1"/>
    <w:rsid w:val="36CA3A99"/>
    <w:rsid w:val="37227D84"/>
    <w:rsid w:val="375965D1"/>
    <w:rsid w:val="37B409D1"/>
    <w:rsid w:val="37E36F61"/>
    <w:rsid w:val="37E82428"/>
    <w:rsid w:val="385A73B2"/>
    <w:rsid w:val="385D3E9D"/>
    <w:rsid w:val="3894435E"/>
    <w:rsid w:val="38A42CC6"/>
    <w:rsid w:val="38DE5A55"/>
    <w:rsid w:val="38F372D7"/>
    <w:rsid w:val="39167469"/>
    <w:rsid w:val="392A081F"/>
    <w:rsid w:val="39454BC6"/>
    <w:rsid w:val="396C7272"/>
    <w:rsid w:val="397A334A"/>
    <w:rsid w:val="39AF5FF6"/>
    <w:rsid w:val="39B20F40"/>
    <w:rsid w:val="39EB4651"/>
    <w:rsid w:val="3A1F2808"/>
    <w:rsid w:val="3A347BA7"/>
    <w:rsid w:val="3A4A561C"/>
    <w:rsid w:val="3A8B419B"/>
    <w:rsid w:val="3AA81092"/>
    <w:rsid w:val="3AD9718E"/>
    <w:rsid w:val="3B084CB2"/>
    <w:rsid w:val="3B0F23C2"/>
    <w:rsid w:val="3B6E3E55"/>
    <w:rsid w:val="3B735BBC"/>
    <w:rsid w:val="3B8678B6"/>
    <w:rsid w:val="3BB56AC5"/>
    <w:rsid w:val="3BBD12F3"/>
    <w:rsid w:val="3BCB0097"/>
    <w:rsid w:val="3C07465B"/>
    <w:rsid w:val="3CB75BF3"/>
    <w:rsid w:val="3D2F28A7"/>
    <w:rsid w:val="3D776041"/>
    <w:rsid w:val="3DA02269"/>
    <w:rsid w:val="3DB73909"/>
    <w:rsid w:val="3DF578C0"/>
    <w:rsid w:val="3E11508A"/>
    <w:rsid w:val="3E185423"/>
    <w:rsid w:val="3E1A5306"/>
    <w:rsid w:val="3E29379B"/>
    <w:rsid w:val="3EB23D24"/>
    <w:rsid w:val="3ED23E32"/>
    <w:rsid w:val="3EFC348E"/>
    <w:rsid w:val="3F035D9A"/>
    <w:rsid w:val="3F6F1906"/>
    <w:rsid w:val="3F9D777D"/>
    <w:rsid w:val="3FA23E73"/>
    <w:rsid w:val="3FC217B1"/>
    <w:rsid w:val="40024D76"/>
    <w:rsid w:val="40213636"/>
    <w:rsid w:val="40752CC7"/>
    <w:rsid w:val="40D93256"/>
    <w:rsid w:val="40E131D2"/>
    <w:rsid w:val="41160006"/>
    <w:rsid w:val="41402C14"/>
    <w:rsid w:val="41720FB5"/>
    <w:rsid w:val="41A92331"/>
    <w:rsid w:val="41E77BF5"/>
    <w:rsid w:val="42566717"/>
    <w:rsid w:val="428E46CD"/>
    <w:rsid w:val="42C31472"/>
    <w:rsid w:val="42DF0946"/>
    <w:rsid w:val="43C22806"/>
    <w:rsid w:val="43C96D83"/>
    <w:rsid w:val="44136A7F"/>
    <w:rsid w:val="441D5B50"/>
    <w:rsid w:val="442073EE"/>
    <w:rsid w:val="447C2876"/>
    <w:rsid w:val="44BE2E8F"/>
    <w:rsid w:val="44F22B38"/>
    <w:rsid w:val="45154A79"/>
    <w:rsid w:val="45212167"/>
    <w:rsid w:val="45246A6A"/>
    <w:rsid w:val="45350C77"/>
    <w:rsid w:val="4550498B"/>
    <w:rsid w:val="457262B3"/>
    <w:rsid w:val="45A831F7"/>
    <w:rsid w:val="45D3296A"/>
    <w:rsid w:val="45E06E35"/>
    <w:rsid w:val="460B41A5"/>
    <w:rsid w:val="463C09B7"/>
    <w:rsid w:val="464A489A"/>
    <w:rsid w:val="466724F4"/>
    <w:rsid w:val="46867635"/>
    <w:rsid w:val="46A71700"/>
    <w:rsid w:val="46DF6BA7"/>
    <w:rsid w:val="471C5C4A"/>
    <w:rsid w:val="47617B01"/>
    <w:rsid w:val="476506D5"/>
    <w:rsid w:val="47695BAA"/>
    <w:rsid w:val="47C71F7A"/>
    <w:rsid w:val="47F210A1"/>
    <w:rsid w:val="48630713"/>
    <w:rsid w:val="48BB1493"/>
    <w:rsid w:val="490A716C"/>
    <w:rsid w:val="4942712C"/>
    <w:rsid w:val="498D2E30"/>
    <w:rsid w:val="498D72D3"/>
    <w:rsid w:val="49CD579F"/>
    <w:rsid w:val="49EF7646"/>
    <w:rsid w:val="4A5751EC"/>
    <w:rsid w:val="4A8835F7"/>
    <w:rsid w:val="4ADA5CF8"/>
    <w:rsid w:val="4BC845F3"/>
    <w:rsid w:val="4BE96317"/>
    <w:rsid w:val="4BF90C50"/>
    <w:rsid w:val="4C327CBE"/>
    <w:rsid w:val="4CF11927"/>
    <w:rsid w:val="4D123EF5"/>
    <w:rsid w:val="4D1961B0"/>
    <w:rsid w:val="4D2B4E39"/>
    <w:rsid w:val="4D330192"/>
    <w:rsid w:val="4D471547"/>
    <w:rsid w:val="4D4E28D6"/>
    <w:rsid w:val="4E366F24"/>
    <w:rsid w:val="4E39512F"/>
    <w:rsid w:val="4EA824BA"/>
    <w:rsid w:val="4EC866B8"/>
    <w:rsid w:val="4ED432AF"/>
    <w:rsid w:val="4EEFC283"/>
    <w:rsid w:val="4F133DD7"/>
    <w:rsid w:val="4F29184C"/>
    <w:rsid w:val="4F433595"/>
    <w:rsid w:val="4F671B01"/>
    <w:rsid w:val="4F730D1A"/>
    <w:rsid w:val="4F987482"/>
    <w:rsid w:val="4FA50E5D"/>
    <w:rsid w:val="4FB500F8"/>
    <w:rsid w:val="501A2F43"/>
    <w:rsid w:val="506F1C21"/>
    <w:rsid w:val="50895768"/>
    <w:rsid w:val="51156397"/>
    <w:rsid w:val="51315DCD"/>
    <w:rsid w:val="51823496"/>
    <w:rsid w:val="51B159D0"/>
    <w:rsid w:val="51FD6196"/>
    <w:rsid w:val="52120376"/>
    <w:rsid w:val="52A31916"/>
    <w:rsid w:val="52A86F2C"/>
    <w:rsid w:val="52C27FEE"/>
    <w:rsid w:val="53281E1B"/>
    <w:rsid w:val="536E5A80"/>
    <w:rsid w:val="53F1045F"/>
    <w:rsid w:val="543D4759"/>
    <w:rsid w:val="5444319F"/>
    <w:rsid w:val="545D78A2"/>
    <w:rsid w:val="54CC7BFF"/>
    <w:rsid w:val="54EE7DC3"/>
    <w:rsid w:val="54F69F96"/>
    <w:rsid w:val="552B174F"/>
    <w:rsid w:val="55524F2D"/>
    <w:rsid w:val="556827C4"/>
    <w:rsid w:val="559D4AB5"/>
    <w:rsid w:val="55E95892"/>
    <w:rsid w:val="55F67FAE"/>
    <w:rsid w:val="562B2636"/>
    <w:rsid w:val="5656765D"/>
    <w:rsid w:val="568357E0"/>
    <w:rsid w:val="56DA167E"/>
    <w:rsid w:val="572C012C"/>
    <w:rsid w:val="57454D4A"/>
    <w:rsid w:val="57574A7D"/>
    <w:rsid w:val="579D6934"/>
    <w:rsid w:val="579E445A"/>
    <w:rsid w:val="57A64E84"/>
    <w:rsid w:val="5830531C"/>
    <w:rsid w:val="585F087A"/>
    <w:rsid w:val="588B0E82"/>
    <w:rsid w:val="58937D37"/>
    <w:rsid w:val="58C6296A"/>
    <w:rsid w:val="58D520FD"/>
    <w:rsid w:val="5915449F"/>
    <w:rsid w:val="596D2336"/>
    <w:rsid w:val="5979517E"/>
    <w:rsid w:val="59834637"/>
    <w:rsid w:val="598853C1"/>
    <w:rsid w:val="5A236E98"/>
    <w:rsid w:val="5A6BDF61"/>
    <w:rsid w:val="5A6F301A"/>
    <w:rsid w:val="5AD52888"/>
    <w:rsid w:val="5ADC7773"/>
    <w:rsid w:val="5AFB4B85"/>
    <w:rsid w:val="5B351579"/>
    <w:rsid w:val="5B3A093D"/>
    <w:rsid w:val="5B3D3DB3"/>
    <w:rsid w:val="5BA5225B"/>
    <w:rsid w:val="5BB80BBC"/>
    <w:rsid w:val="5BEC79C1"/>
    <w:rsid w:val="5C186ED1"/>
    <w:rsid w:val="5C6A5252"/>
    <w:rsid w:val="5C79222B"/>
    <w:rsid w:val="5C8A1451"/>
    <w:rsid w:val="5CE85672"/>
    <w:rsid w:val="5CF50FC0"/>
    <w:rsid w:val="5D292A17"/>
    <w:rsid w:val="5D3E4715"/>
    <w:rsid w:val="5D655252"/>
    <w:rsid w:val="5D72616D"/>
    <w:rsid w:val="5D753EAF"/>
    <w:rsid w:val="5DA54794"/>
    <w:rsid w:val="5E22525D"/>
    <w:rsid w:val="5E8819C0"/>
    <w:rsid w:val="5ED9E5CA"/>
    <w:rsid w:val="5EDE00AC"/>
    <w:rsid w:val="5EE94B54"/>
    <w:rsid w:val="5F011E9E"/>
    <w:rsid w:val="5F465B03"/>
    <w:rsid w:val="5F5D4BFA"/>
    <w:rsid w:val="5F8C1462"/>
    <w:rsid w:val="5FA32F55"/>
    <w:rsid w:val="5FA97BC8"/>
    <w:rsid w:val="5FBA204D"/>
    <w:rsid w:val="5FCBD490"/>
    <w:rsid w:val="5FE800B7"/>
    <w:rsid w:val="603C0E46"/>
    <w:rsid w:val="604A1623"/>
    <w:rsid w:val="604D278B"/>
    <w:rsid w:val="606746DA"/>
    <w:rsid w:val="60780830"/>
    <w:rsid w:val="60971B41"/>
    <w:rsid w:val="60A800F7"/>
    <w:rsid w:val="60EA0710"/>
    <w:rsid w:val="6118492B"/>
    <w:rsid w:val="6220088D"/>
    <w:rsid w:val="623E0D13"/>
    <w:rsid w:val="626C508C"/>
    <w:rsid w:val="626F35C2"/>
    <w:rsid w:val="628030DA"/>
    <w:rsid w:val="629A2C3C"/>
    <w:rsid w:val="62D33B51"/>
    <w:rsid w:val="633A3BD0"/>
    <w:rsid w:val="63E63410"/>
    <w:rsid w:val="6401024A"/>
    <w:rsid w:val="647C00A7"/>
    <w:rsid w:val="64B17EC2"/>
    <w:rsid w:val="64F45C8E"/>
    <w:rsid w:val="651346D9"/>
    <w:rsid w:val="657607C4"/>
    <w:rsid w:val="65AA084B"/>
    <w:rsid w:val="65AD68DC"/>
    <w:rsid w:val="65F362B8"/>
    <w:rsid w:val="66734968"/>
    <w:rsid w:val="667E3DD4"/>
    <w:rsid w:val="676A4358"/>
    <w:rsid w:val="67AE2497"/>
    <w:rsid w:val="67B27668"/>
    <w:rsid w:val="685250E0"/>
    <w:rsid w:val="686B482C"/>
    <w:rsid w:val="68751207"/>
    <w:rsid w:val="68815DFE"/>
    <w:rsid w:val="6896F830"/>
    <w:rsid w:val="68A613C0"/>
    <w:rsid w:val="68AA5354"/>
    <w:rsid w:val="68E56B2D"/>
    <w:rsid w:val="68E819D9"/>
    <w:rsid w:val="69415A44"/>
    <w:rsid w:val="69450BD9"/>
    <w:rsid w:val="69456E2B"/>
    <w:rsid w:val="69A578CA"/>
    <w:rsid w:val="69D86A7E"/>
    <w:rsid w:val="69EE301F"/>
    <w:rsid w:val="6A1E0E92"/>
    <w:rsid w:val="6A6A7CA3"/>
    <w:rsid w:val="6A7774B8"/>
    <w:rsid w:val="6A89167E"/>
    <w:rsid w:val="6A955B90"/>
    <w:rsid w:val="6B264A3A"/>
    <w:rsid w:val="6B31129C"/>
    <w:rsid w:val="6BC7222F"/>
    <w:rsid w:val="6BE22FFB"/>
    <w:rsid w:val="6BFA214F"/>
    <w:rsid w:val="6BFFEBA0"/>
    <w:rsid w:val="6C07661A"/>
    <w:rsid w:val="6C382C77"/>
    <w:rsid w:val="6C4909E0"/>
    <w:rsid w:val="6C9D72D3"/>
    <w:rsid w:val="6CAA3353"/>
    <w:rsid w:val="6D1608B5"/>
    <w:rsid w:val="6D4542CE"/>
    <w:rsid w:val="6D537DEB"/>
    <w:rsid w:val="6D77332B"/>
    <w:rsid w:val="6D77F7FE"/>
    <w:rsid w:val="6D8D3605"/>
    <w:rsid w:val="6DD37B97"/>
    <w:rsid w:val="6DFB3F5C"/>
    <w:rsid w:val="6E3336F6"/>
    <w:rsid w:val="6E4F0EA8"/>
    <w:rsid w:val="6EB760D5"/>
    <w:rsid w:val="6EC151A6"/>
    <w:rsid w:val="6EEA46FD"/>
    <w:rsid w:val="6EF07839"/>
    <w:rsid w:val="6F1E6154"/>
    <w:rsid w:val="6F4638FD"/>
    <w:rsid w:val="6F7A253E"/>
    <w:rsid w:val="6F84728E"/>
    <w:rsid w:val="6FAB43EC"/>
    <w:rsid w:val="70143688"/>
    <w:rsid w:val="70147557"/>
    <w:rsid w:val="704D46D1"/>
    <w:rsid w:val="70893AA1"/>
    <w:rsid w:val="708C17E3"/>
    <w:rsid w:val="70B34FC2"/>
    <w:rsid w:val="70B54896"/>
    <w:rsid w:val="715524EF"/>
    <w:rsid w:val="71A21922"/>
    <w:rsid w:val="720F7FD6"/>
    <w:rsid w:val="72601FB5"/>
    <w:rsid w:val="72E66F89"/>
    <w:rsid w:val="733C4DFB"/>
    <w:rsid w:val="7393745C"/>
    <w:rsid w:val="73975227"/>
    <w:rsid w:val="739E097A"/>
    <w:rsid w:val="73F767C6"/>
    <w:rsid w:val="743C0E2B"/>
    <w:rsid w:val="752B15CB"/>
    <w:rsid w:val="755D199D"/>
    <w:rsid w:val="75764AC6"/>
    <w:rsid w:val="75B27DE7"/>
    <w:rsid w:val="75CA1A5B"/>
    <w:rsid w:val="760D6F22"/>
    <w:rsid w:val="76157B85"/>
    <w:rsid w:val="763C3364"/>
    <w:rsid w:val="76500BBD"/>
    <w:rsid w:val="767825EE"/>
    <w:rsid w:val="76FA74A7"/>
    <w:rsid w:val="774D2C49"/>
    <w:rsid w:val="77760F68"/>
    <w:rsid w:val="77E80FFE"/>
    <w:rsid w:val="77FC0FFD"/>
    <w:rsid w:val="785C1699"/>
    <w:rsid w:val="78615304"/>
    <w:rsid w:val="78915BE9"/>
    <w:rsid w:val="78F41CD4"/>
    <w:rsid w:val="79077396"/>
    <w:rsid w:val="795F07EB"/>
    <w:rsid w:val="79680E7D"/>
    <w:rsid w:val="79960FDD"/>
    <w:rsid w:val="79BC1B5E"/>
    <w:rsid w:val="79DF27C7"/>
    <w:rsid w:val="79EA1A55"/>
    <w:rsid w:val="7A020420"/>
    <w:rsid w:val="7A083C89"/>
    <w:rsid w:val="7A106E4C"/>
    <w:rsid w:val="7A2E1215"/>
    <w:rsid w:val="7A517474"/>
    <w:rsid w:val="7A7F1A71"/>
    <w:rsid w:val="7B566C76"/>
    <w:rsid w:val="7B5F1FCE"/>
    <w:rsid w:val="7B66335D"/>
    <w:rsid w:val="7B7717C8"/>
    <w:rsid w:val="7BB5399C"/>
    <w:rsid w:val="7BC57198"/>
    <w:rsid w:val="7BFC15CB"/>
    <w:rsid w:val="7C8B68AC"/>
    <w:rsid w:val="7D097061"/>
    <w:rsid w:val="7D6159B4"/>
    <w:rsid w:val="7D7D673C"/>
    <w:rsid w:val="7DDDDC2A"/>
    <w:rsid w:val="7DF5D1CA"/>
    <w:rsid w:val="7DFF3F0C"/>
    <w:rsid w:val="7E7472C3"/>
    <w:rsid w:val="7EAF0B77"/>
    <w:rsid w:val="7EC860DC"/>
    <w:rsid w:val="7EF5C31E"/>
    <w:rsid w:val="7FB3E207"/>
    <w:rsid w:val="7FD12D6F"/>
    <w:rsid w:val="7FF1C47F"/>
    <w:rsid w:val="7FF701C6"/>
    <w:rsid w:val="7FFB520E"/>
    <w:rsid w:val="7FFBC7FB"/>
    <w:rsid w:val="9DBF3856"/>
    <w:rsid w:val="AD9B2D85"/>
    <w:rsid w:val="AFFBAAC2"/>
    <w:rsid w:val="B9FDAB2B"/>
    <w:rsid w:val="BBFA91CF"/>
    <w:rsid w:val="D73F64DF"/>
    <w:rsid w:val="D8FF1B10"/>
    <w:rsid w:val="DBB7C2F5"/>
    <w:rsid w:val="DDB668F8"/>
    <w:rsid w:val="EE77D3C4"/>
    <w:rsid w:val="EF5C4577"/>
    <w:rsid w:val="EFBF120F"/>
    <w:rsid w:val="F7F5C4B7"/>
    <w:rsid w:val="F8F24F84"/>
    <w:rsid w:val="FDF67B64"/>
    <w:rsid w:val="FE3D2A3F"/>
    <w:rsid w:val="FFFB2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1"/>
      <w:szCs w:val="22"/>
      <w:lang w:val="en-US" w:eastAsia="zh-CN" w:bidi="ar-SA"/>
    </w:rPr>
  </w:style>
  <w:style w:type="paragraph" w:styleId="3">
    <w:name w:val="heading 1"/>
    <w:basedOn w:val="1"/>
    <w:qFormat/>
    <w:uiPriority w:val="0"/>
    <w:pPr>
      <w:spacing w:before="380" w:after="140" w:line="288" w:lineRule="auto"/>
      <w:jc w:val="center"/>
      <w:outlineLvl w:val="0"/>
    </w:pPr>
    <w:rPr>
      <w:rFonts w:ascii="Arial" w:hAnsi="Arial" w:eastAsia="黑体" w:cs="Arial"/>
      <w:bCs/>
      <w:sz w:val="32"/>
      <w:szCs w:val="36"/>
    </w:rPr>
  </w:style>
  <w:style w:type="paragraph" w:styleId="4">
    <w:name w:val="heading 2"/>
    <w:next w:val="1"/>
    <w:link w:val="34"/>
    <w:qFormat/>
    <w:uiPriority w:val="0"/>
    <w:pPr>
      <w:autoSpaceDE w:val="0"/>
      <w:autoSpaceDN w:val="0"/>
      <w:spacing w:line="288" w:lineRule="auto"/>
      <w:jc w:val="center"/>
      <w:outlineLvl w:val="1"/>
    </w:pPr>
    <w:rPr>
      <w:rFonts w:ascii="Arial" w:hAnsi="Arial" w:eastAsia="楷体" w:cs="Arial"/>
      <w:bCs/>
      <w:sz w:val="32"/>
      <w:szCs w:val="32"/>
      <w:lang w:val="en-US" w:eastAsia="zh-CN" w:bidi="ar-SA"/>
    </w:rPr>
  </w:style>
  <w:style w:type="paragraph" w:styleId="5">
    <w:name w:val="heading 3"/>
    <w:next w:val="1"/>
    <w:qFormat/>
    <w:uiPriority w:val="0"/>
    <w:pPr>
      <w:numPr>
        <w:ilvl w:val="2"/>
        <w:numId w:val="1"/>
      </w:numPr>
      <w:spacing w:before="300" w:after="120" w:line="288" w:lineRule="auto"/>
      <w:outlineLvl w:val="2"/>
    </w:pPr>
    <w:rPr>
      <w:rFonts w:ascii="Arial" w:hAnsi="Arial" w:eastAsia="等线" w:cs="Arial"/>
      <w:b/>
      <w:bCs/>
      <w:sz w:val="30"/>
      <w:szCs w:val="30"/>
      <w:lang w:val="en-US" w:eastAsia="zh-CN" w:bidi="ar-SA"/>
    </w:rPr>
  </w:style>
  <w:style w:type="paragraph" w:styleId="6">
    <w:name w:val="heading 4"/>
    <w:next w:val="1"/>
    <w:qFormat/>
    <w:uiPriority w:val="0"/>
    <w:pPr>
      <w:numPr>
        <w:ilvl w:val="3"/>
        <w:numId w:val="1"/>
      </w:numPr>
      <w:spacing w:before="260" w:after="120" w:line="288" w:lineRule="auto"/>
      <w:outlineLvl w:val="3"/>
    </w:pPr>
    <w:rPr>
      <w:rFonts w:ascii="Arial" w:hAnsi="Arial" w:eastAsia="等线" w:cs="Arial"/>
      <w:b/>
      <w:bCs/>
      <w:sz w:val="28"/>
      <w:szCs w:val="28"/>
      <w:lang w:val="en-US" w:eastAsia="zh-CN" w:bidi="ar-SA"/>
    </w:rPr>
  </w:style>
  <w:style w:type="paragraph" w:styleId="7">
    <w:name w:val="heading 5"/>
    <w:next w:val="1"/>
    <w:qFormat/>
    <w:uiPriority w:val="0"/>
    <w:pPr>
      <w:numPr>
        <w:ilvl w:val="4"/>
        <w:numId w:val="1"/>
      </w:numPr>
      <w:spacing w:before="240" w:after="120" w:line="288" w:lineRule="auto"/>
      <w:outlineLvl w:val="4"/>
    </w:pPr>
    <w:rPr>
      <w:rFonts w:ascii="Arial" w:hAnsi="Arial" w:eastAsia="等线" w:cs="Arial"/>
      <w:b/>
      <w:bCs/>
      <w:sz w:val="24"/>
      <w:szCs w:val="24"/>
      <w:lang w:val="en-US" w:eastAsia="zh-CN" w:bidi="ar-SA"/>
    </w:rPr>
  </w:style>
  <w:style w:type="paragraph" w:styleId="8">
    <w:name w:val="heading 6"/>
    <w:next w:val="1"/>
    <w:qFormat/>
    <w:uiPriority w:val="0"/>
    <w:pPr>
      <w:numPr>
        <w:ilvl w:val="5"/>
        <w:numId w:val="1"/>
      </w:numPr>
      <w:spacing w:before="240" w:after="120" w:line="288" w:lineRule="auto"/>
      <w:outlineLvl w:val="5"/>
    </w:pPr>
    <w:rPr>
      <w:rFonts w:ascii="Arial" w:hAnsi="Arial" w:eastAsia="等线" w:cs="Arial"/>
      <w:b/>
      <w:bCs/>
      <w:sz w:val="24"/>
      <w:szCs w:val="24"/>
      <w:lang w:val="en-US" w:eastAsia="zh-CN" w:bidi="ar-SA"/>
    </w:rPr>
  </w:style>
  <w:style w:type="paragraph" w:styleId="9">
    <w:name w:val="heading 7"/>
    <w:basedOn w:val="1"/>
    <w:next w:val="1"/>
    <w:unhideWhenUsed/>
    <w:qFormat/>
    <w:uiPriority w:val="0"/>
    <w:pPr>
      <w:keepNext/>
      <w:keepLines/>
      <w:numPr>
        <w:ilvl w:val="6"/>
        <w:numId w:val="1"/>
      </w:numPr>
      <w:spacing w:before="240" w:after="64" w:line="317" w:lineRule="auto"/>
      <w:outlineLvl w:val="6"/>
    </w:pPr>
    <w:rPr>
      <w:b/>
      <w:sz w:val="24"/>
    </w:rPr>
  </w:style>
  <w:style w:type="paragraph" w:styleId="10">
    <w:name w:val="heading 8"/>
    <w:basedOn w:val="1"/>
    <w:next w:val="1"/>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1">
    <w:name w:val="heading 9"/>
    <w:basedOn w:val="1"/>
    <w:next w:val="1"/>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样式1"/>
    <w:basedOn w:val="1"/>
    <w:qFormat/>
    <w:uiPriority w:val="0"/>
    <w:pPr>
      <w:adjustRightInd w:val="0"/>
      <w:textAlignment w:val="baseline"/>
    </w:pPr>
    <w:rPr>
      <w:rFonts w:ascii="宋体" w:hAnsi="宋体"/>
      <w:szCs w:val="21"/>
    </w:rPr>
  </w:style>
  <w:style w:type="paragraph" w:styleId="12">
    <w:name w:val="Normal Indent"/>
    <w:basedOn w:val="1"/>
    <w:next w:val="1"/>
    <w:unhideWhenUsed/>
    <w:qFormat/>
    <w:uiPriority w:val="99"/>
    <w:pPr>
      <w:ind w:firstLine="420" w:firstLineChars="200"/>
    </w:pPr>
  </w:style>
  <w:style w:type="paragraph" w:styleId="13">
    <w:name w:val="annotation text"/>
    <w:link w:val="35"/>
    <w:qFormat/>
    <w:uiPriority w:val="0"/>
    <w:pPr>
      <w:widowControl w:val="0"/>
    </w:pPr>
    <w:rPr>
      <w:rFonts w:ascii="Times New Roman" w:hAnsi="Times New Roman" w:eastAsia="宋体" w:cs="Times New Roman"/>
      <w:sz w:val="21"/>
      <w:szCs w:val="22"/>
      <w:lang w:val="en-US" w:eastAsia="zh-CN" w:bidi="ar-SA"/>
    </w:rPr>
  </w:style>
  <w:style w:type="paragraph" w:styleId="14">
    <w:name w:val="Body Text"/>
    <w:basedOn w:val="1"/>
    <w:next w:val="1"/>
    <w:qFormat/>
    <w:uiPriority w:val="1"/>
    <w:pPr>
      <w:ind w:left="114"/>
    </w:pPr>
    <w:rPr>
      <w:sz w:val="32"/>
      <w:szCs w:val="32"/>
    </w:rPr>
  </w:style>
  <w:style w:type="paragraph" w:styleId="15">
    <w:name w:val="toc 3"/>
    <w:basedOn w:val="1"/>
    <w:next w:val="1"/>
    <w:qFormat/>
    <w:uiPriority w:val="0"/>
    <w:pPr>
      <w:ind w:left="840" w:leftChars="400"/>
    </w:pPr>
  </w:style>
  <w:style w:type="paragraph" w:styleId="16">
    <w:name w:val="footer"/>
    <w:basedOn w:val="1"/>
    <w:link w:val="36"/>
    <w:qFormat/>
    <w:uiPriority w:val="99"/>
    <w:pPr>
      <w:tabs>
        <w:tab w:val="center" w:pos="4153"/>
        <w:tab w:val="right" w:pos="8306"/>
      </w:tabs>
      <w:snapToGrid w:val="0"/>
      <w:jc w:val="left"/>
    </w:pPr>
    <w:rPr>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qFormat/>
    <w:uiPriority w:val="39"/>
  </w:style>
  <w:style w:type="paragraph" w:styleId="19">
    <w:name w:val="footnote text"/>
    <w:link w:val="37"/>
    <w:unhideWhenUsed/>
    <w:qFormat/>
    <w:uiPriority w:val="99"/>
    <w:rPr>
      <w:rFonts w:ascii="Times New Roman" w:hAnsi="Times New Roman" w:eastAsia="宋体" w:cs="Times New Roman"/>
      <w:lang w:val="en-US" w:eastAsia="zh-CN" w:bidi="ar-SA"/>
    </w:rPr>
  </w:style>
  <w:style w:type="paragraph" w:styleId="20">
    <w:name w:val="toc 2"/>
    <w:basedOn w:val="1"/>
    <w:next w:val="1"/>
    <w:qFormat/>
    <w:uiPriority w:val="39"/>
    <w:pPr>
      <w:ind w:left="420" w:leftChars="200"/>
    </w:pPr>
  </w:style>
  <w:style w:type="paragraph" w:styleId="21">
    <w:name w:val="Normal (Web)"/>
    <w:basedOn w:val="1"/>
    <w:qFormat/>
    <w:uiPriority w:val="99"/>
    <w:pPr>
      <w:spacing w:beforeAutospacing="1" w:afterAutospacing="1"/>
      <w:jc w:val="left"/>
    </w:pPr>
    <w:rPr>
      <w:sz w:val="24"/>
    </w:rPr>
  </w:style>
  <w:style w:type="paragraph" w:styleId="22">
    <w:name w:val="Title"/>
    <w:qFormat/>
    <w:uiPriority w:val="0"/>
    <w:pPr>
      <w:spacing w:before="480" w:after="480" w:line="288" w:lineRule="auto"/>
    </w:pPr>
    <w:rPr>
      <w:rFonts w:ascii="Arial" w:hAnsi="Arial" w:eastAsia="等线" w:cs="Arial"/>
      <w:b/>
      <w:bCs/>
      <w:sz w:val="52"/>
      <w:szCs w:val="52"/>
      <w:lang w:val="en-US" w:eastAsia="zh-CN" w:bidi="ar-SA"/>
    </w:rPr>
  </w:style>
  <w:style w:type="paragraph" w:styleId="23">
    <w:name w:val="annotation subject"/>
    <w:basedOn w:val="13"/>
    <w:next w:val="13"/>
    <w:link w:val="38"/>
    <w:qFormat/>
    <w:uiPriority w:val="0"/>
    <w:rPr>
      <w:b/>
      <w:bCs/>
    </w:rPr>
  </w:style>
  <w:style w:type="paragraph" w:styleId="24">
    <w:name w:val="Body Text First Indent"/>
    <w:basedOn w:val="14"/>
    <w:qFormat/>
    <w:uiPriority w:val="99"/>
    <w:pPr>
      <w:ind w:firstLine="420" w:firstLineChars="100"/>
    </w:pPr>
  </w:style>
  <w:style w:type="paragraph" w:styleId="25">
    <w:name w:val="Body Text First Indent 2"/>
    <w:basedOn w:val="1"/>
    <w:qFormat/>
    <w:uiPriority w:val="0"/>
    <w:pPr>
      <w:ind w:firstLine="420" w:firstLineChars="200"/>
    </w:pPr>
  </w:style>
  <w:style w:type="table" w:styleId="27">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9">
    <w:name w:val="Strong"/>
    <w:basedOn w:val="28"/>
    <w:qFormat/>
    <w:uiPriority w:val="0"/>
    <w:rPr>
      <w:b/>
    </w:rPr>
  </w:style>
  <w:style w:type="character" w:styleId="30">
    <w:name w:val="Emphasis"/>
    <w:basedOn w:val="28"/>
    <w:qFormat/>
    <w:uiPriority w:val="0"/>
    <w:rPr>
      <w:i/>
    </w:rPr>
  </w:style>
  <w:style w:type="character" w:styleId="31">
    <w:name w:val="Hyperlink"/>
    <w:unhideWhenUsed/>
    <w:qFormat/>
    <w:uiPriority w:val="99"/>
    <w:rPr>
      <w:color w:val="0563C1"/>
      <w:u w:val="single"/>
    </w:rPr>
  </w:style>
  <w:style w:type="character" w:styleId="32">
    <w:name w:val="annotation reference"/>
    <w:basedOn w:val="28"/>
    <w:qFormat/>
    <w:uiPriority w:val="0"/>
    <w:rPr>
      <w:sz w:val="21"/>
      <w:szCs w:val="21"/>
    </w:rPr>
  </w:style>
  <w:style w:type="character" w:styleId="33">
    <w:name w:val="footnote reference"/>
    <w:unhideWhenUsed/>
    <w:qFormat/>
    <w:uiPriority w:val="99"/>
    <w:rPr>
      <w:vertAlign w:val="superscript"/>
    </w:rPr>
  </w:style>
  <w:style w:type="character" w:customStyle="1" w:styleId="34">
    <w:name w:val="标题 2 字符"/>
    <w:link w:val="4"/>
    <w:qFormat/>
    <w:uiPriority w:val="0"/>
    <w:rPr>
      <w:rFonts w:ascii="Arial" w:hAnsi="Arial" w:eastAsia="楷体" w:cs="Arial"/>
      <w:bCs/>
      <w:sz w:val="32"/>
      <w:szCs w:val="32"/>
      <w:lang w:val="en-US" w:eastAsia="zh-CN" w:bidi="ar-SA"/>
    </w:rPr>
  </w:style>
  <w:style w:type="character" w:customStyle="1" w:styleId="35">
    <w:name w:val="批注文字 字符"/>
    <w:basedOn w:val="28"/>
    <w:link w:val="13"/>
    <w:qFormat/>
    <w:uiPriority w:val="0"/>
    <w:rPr>
      <w:sz w:val="21"/>
      <w:szCs w:val="22"/>
    </w:rPr>
  </w:style>
  <w:style w:type="character" w:customStyle="1" w:styleId="36">
    <w:name w:val="页脚 字符"/>
    <w:basedOn w:val="28"/>
    <w:link w:val="16"/>
    <w:qFormat/>
    <w:uiPriority w:val="99"/>
    <w:rPr>
      <w:sz w:val="18"/>
      <w:szCs w:val="18"/>
    </w:rPr>
  </w:style>
  <w:style w:type="character" w:customStyle="1" w:styleId="37">
    <w:name w:val="脚注文本 字符"/>
    <w:link w:val="19"/>
    <w:unhideWhenUsed/>
    <w:qFormat/>
    <w:uiPriority w:val="99"/>
    <w:rPr>
      <w:sz w:val="20"/>
      <w:szCs w:val="20"/>
    </w:rPr>
  </w:style>
  <w:style w:type="character" w:customStyle="1" w:styleId="38">
    <w:name w:val="批注主题 字符"/>
    <w:basedOn w:val="35"/>
    <w:link w:val="23"/>
    <w:qFormat/>
    <w:uiPriority w:val="0"/>
    <w:rPr>
      <w:b/>
      <w:bCs/>
      <w:sz w:val="21"/>
      <w:szCs w:val="22"/>
    </w:rPr>
  </w:style>
  <w:style w:type="paragraph" w:styleId="39">
    <w:name w:val="List Paragraph"/>
    <w:qFormat/>
    <w:uiPriority w:val="0"/>
    <w:rPr>
      <w:rFonts w:ascii="Times New Roman" w:hAnsi="Times New Roman" w:eastAsia="宋体" w:cs="Times New Roman"/>
      <w:sz w:val="21"/>
      <w:szCs w:val="22"/>
      <w:lang w:val="en-US" w:eastAsia="zh-CN" w:bidi="ar-SA"/>
    </w:rPr>
  </w:style>
  <w:style w:type="paragraph" w:customStyle="1" w:styleId="4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1">
    <w:name w:val="WPSOffice手动目录 1"/>
    <w:qFormat/>
    <w:uiPriority w:val="0"/>
    <w:rPr>
      <w:rFonts w:ascii="Times New Roman" w:hAnsi="Times New Roman" w:eastAsia="宋体" w:cs="Times New Roman"/>
      <w:lang w:val="en-US" w:eastAsia="zh-CN" w:bidi="ar-SA"/>
    </w:rPr>
  </w:style>
  <w:style w:type="paragraph" w:customStyle="1" w:styleId="42">
    <w:name w:val="修订2"/>
    <w:unhideWhenUsed/>
    <w:qFormat/>
    <w:uiPriority w:val="99"/>
    <w:rPr>
      <w:rFonts w:ascii="Times New Roman" w:hAnsi="Times New Roman" w:eastAsia="宋体" w:cs="Times New Roman"/>
      <w:sz w:val="21"/>
      <w:szCs w:val="22"/>
      <w:lang w:val="en-US" w:eastAsia="zh-CN" w:bidi="ar-SA"/>
    </w:rPr>
  </w:style>
  <w:style w:type="paragraph" w:customStyle="1" w:styleId="43">
    <w:name w:val="_Style 13"/>
    <w:qFormat/>
    <w:uiPriority w:val="0"/>
    <w:pPr>
      <w:spacing w:before="120" w:after="120" w:line="288" w:lineRule="auto"/>
    </w:pPr>
    <w:rPr>
      <w:rFonts w:ascii="Arial" w:hAnsi="Arial" w:eastAsia="等线" w:cs="Arial"/>
      <w:sz w:val="22"/>
      <w:szCs w:val="22"/>
      <w:lang w:val="en-US" w:eastAsia="zh-CN" w:bidi="ar-SA"/>
    </w:rPr>
  </w:style>
  <w:style w:type="paragraph" w:customStyle="1" w:styleId="44">
    <w:name w:val="修订1"/>
    <w:unhideWhenUsed/>
    <w:qFormat/>
    <w:uiPriority w:val="99"/>
    <w:rPr>
      <w:rFonts w:ascii="Times New Roman" w:hAnsi="Times New Roman" w:eastAsia="宋体" w:cs="Times New Roman"/>
      <w:sz w:val="21"/>
      <w:szCs w:val="22"/>
      <w:lang w:val="en-US" w:eastAsia="zh-CN" w:bidi="ar-SA"/>
    </w:rPr>
  </w:style>
  <w:style w:type="paragraph" w:customStyle="1" w:styleId="45">
    <w:name w:val="_Style 14"/>
    <w:qFormat/>
    <w:uiPriority w:val="0"/>
    <w:pPr>
      <w:spacing w:before="120" w:after="120" w:line="288" w:lineRule="auto"/>
    </w:pPr>
    <w:rPr>
      <w:rFonts w:ascii="Arial" w:hAnsi="Arial" w:eastAsia="等线" w:cs="Arial"/>
      <w:color w:val="8F959E"/>
      <w:sz w:val="22"/>
      <w:szCs w:val="22"/>
      <w:lang w:val="en-US" w:eastAsia="zh-CN" w:bidi="ar-SA"/>
    </w:rPr>
  </w:style>
  <w:style w:type="paragraph" w:customStyle="1" w:styleId="46">
    <w:name w:val="表格-标题"/>
    <w:basedOn w:val="1"/>
    <w:qFormat/>
    <w:uiPriority w:val="0"/>
    <w:pPr>
      <w:adjustRightInd w:val="0"/>
      <w:snapToGrid w:val="0"/>
      <w:jc w:val="center"/>
    </w:pPr>
    <w:rPr>
      <w:rFonts w:ascii="黑体" w:hAnsi="黑体" w:eastAsia="黑体"/>
      <w:sz w:val="24"/>
      <w:szCs w:val="24"/>
    </w:rPr>
  </w:style>
  <w:style w:type="paragraph" w:customStyle="1" w:styleId="47">
    <w:name w:val="表格内文"/>
    <w:basedOn w:val="1"/>
    <w:qFormat/>
    <w:uiPriority w:val="0"/>
    <w:pPr>
      <w:adjustRightInd w:val="0"/>
      <w:snapToGrid w:val="0"/>
      <w:spacing w:line="400" w:lineRule="exact"/>
      <w:ind w:left="220" w:leftChars="100" w:right="220" w:rightChars="100" w:firstLine="200" w:firstLineChars="200"/>
    </w:pPr>
    <w:rPr>
      <w:rFonts w:ascii="方正仿宋_GB2312" w:hAnsi="方正仿宋_GB2312" w:eastAsia="方正仿宋_GB2312"/>
      <w:bCs/>
      <w:sz w:val="24"/>
      <w:szCs w:val="24"/>
    </w:rPr>
  </w:style>
  <w:style w:type="paragraph" w:customStyle="1" w:styleId="48">
    <w:name w:val="修订3"/>
    <w:unhideWhenUsed/>
    <w:qFormat/>
    <w:uiPriority w:val="99"/>
    <w:rPr>
      <w:rFonts w:ascii="Times New Roman" w:hAnsi="Times New Roman" w:eastAsia="宋体" w:cs="Times New Roman"/>
      <w:sz w:val="21"/>
      <w:szCs w:val="22"/>
      <w:lang w:val="en-US" w:eastAsia="zh-CN" w:bidi="ar-SA"/>
    </w:rPr>
  </w:style>
  <w:style w:type="paragraph" w:customStyle="1" w:styleId="49">
    <w:name w:val="修订4"/>
    <w:unhideWhenUsed/>
    <w:qFormat/>
    <w:uiPriority w:val="99"/>
    <w:rPr>
      <w:rFonts w:ascii="Times New Roman" w:hAnsi="Times New Roman" w:eastAsia="宋体" w:cs="Times New Roman"/>
      <w:sz w:val="21"/>
      <w:szCs w:val="22"/>
      <w:lang w:val="en-US" w:eastAsia="zh-CN" w:bidi="ar-SA"/>
    </w:rPr>
  </w:style>
  <w:style w:type="paragraph" w:customStyle="1" w:styleId="50">
    <w:name w:val="修订5"/>
    <w:unhideWhenUsed/>
    <w:qFormat/>
    <w:uiPriority w:val="99"/>
    <w:rPr>
      <w:rFonts w:ascii="Times New Roman" w:hAnsi="Times New Roman" w:eastAsia="宋体" w:cs="Times New Roman"/>
      <w:sz w:val="21"/>
      <w:szCs w:val="22"/>
      <w:lang w:val="en-US" w:eastAsia="zh-CN" w:bidi="ar-SA"/>
    </w:rPr>
  </w:style>
  <w:style w:type="paragraph" w:customStyle="1" w:styleId="51">
    <w:name w:val="修订6"/>
    <w:unhideWhenUsed/>
    <w:qFormat/>
    <w:uiPriority w:val="99"/>
    <w:rPr>
      <w:rFonts w:ascii="Times New Roman" w:hAnsi="Times New Roman" w:eastAsia="宋体" w:cs="Times New Roman"/>
      <w:sz w:val="21"/>
      <w:szCs w:val="22"/>
      <w:lang w:val="en-US" w:eastAsia="zh-CN" w:bidi="ar-SA"/>
    </w:rPr>
  </w:style>
  <w:style w:type="paragraph" w:customStyle="1" w:styleId="52">
    <w:name w:val="修订7"/>
    <w:unhideWhenUsed/>
    <w:qFormat/>
    <w:uiPriority w:val="99"/>
    <w:rPr>
      <w:rFonts w:ascii="Times New Roman" w:hAnsi="Times New Roman" w:eastAsia="宋体" w:cs="Times New Roman"/>
      <w:sz w:val="21"/>
      <w:szCs w:val="22"/>
      <w:lang w:val="en-US" w:eastAsia="zh-CN" w:bidi="ar-SA"/>
    </w:rPr>
  </w:style>
  <w:style w:type="character" w:customStyle="1" w:styleId="53">
    <w:name w:val="未处理的提及1"/>
    <w:basedOn w:val="28"/>
    <w:unhideWhenUsed/>
    <w:qFormat/>
    <w:uiPriority w:val="99"/>
    <w:rPr>
      <w:color w:val="605E5C"/>
      <w:shd w:val="clear" w:color="auto" w:fill="E1DFDD"/>
    </w:rPr>
  </w:style>
  <w:style w:type="paragraph" w:customStyle="1" w:styleId="54">
    <w:name w:val="修订8"/>
    <w:unhideWhenUsed/>
    <w:qFormat/>
    <w:uiPriority w:val="99"/>
    <w:rPr>
      <w:rFonts w:ascii="Times New Roman" w:hAnsi="Times New Roman" w:eastAsia="宋体" w:cs="Times New Roman"/>
      <w:sz w:val="21"/>
      <w:szCs w:val="22"/>
      <w:lang w:val="en-US" w:eastAsia="zh-CN" w:bidi="ar-SA"/>
    </w:rPr>
  </w:style>
  <w:style w:type="paragraph" w:customStyle="1" w:styleId="55">
    <w:name w:val="修订9"/>
    <w:unhideWhenUsed/>
    <w:qFormat/>
    <w:uiPriority w:val="99"/>
    <w:rPr>
      <w:rFonts w:ascii="Times New Roman" w:hAnsi="Times New Roman" w:eastAsia="宋体" w:cs="Times New Roman"/>
      <w:sz w:val="21"/>
      <w:szCs w:val="22"/>
      <w:lang w:val="en-US" w:eastAsia="zh-CN" w:bidi="ar-SA"/>
    </w:rPr>
  </w:style>
  <w:style w:type="paragraph" w:customStyle="1" w:styleId="56">
    <w:name w:val="修订10"/>
    <w:unhideWhenUsed/>
    <w:qFormat/>
    <w:uiPriority w:val="99"/>
    <w:rPr>
      <w:rFonts w:ascii="Times New Roman" w:hAnsi="Times New Roman" w:eastAsia="宋体" w:cs="Times New Roman"/>
      <w:sz w:val="21"/>
      <w:szCs w:val="22"/>
      <w:lang w:val="en-US" w:eastAsia="zh-CN" w:bidi="ar-SA"/>
    </w:rPr>
  </w:style>
  <w:style w:type="paragraph" w:customStyle="1" w:styleId="57">
    <w:name w:val="修订11"/>
    <w:unhideWhenUsed/>
    <w:qFormat/>
    <w:uiPriority w:val="99"/>
    <w:rPr>
      <w:rFonts w:ascii="Times New Roman" w:hAnsi="Times New Roman" w:eastAsia="宋体" w:cs="Times New Roman"/>
      <w:sz w:val="21"/>
      <w:szCs w:val="22"/>
      <w:lang w:val="en-US" w:eastAsia="zh-CN" w:bidi="ar-SA"/>
    </w:rPr>
  </w:style>
  <w:style w:type="paragraph" w:customStyle="1" w:styleId="58">
    <w:name w:val="修订12"/>
    <w:unhideWhenUsed/>
    <w:qFormat/>
    <w:uiPriority w:val="99"/>
    <w:rPr>
      <w:rFonts w:ascii="Times New Roman" w:hAnsi="Times New Roman" w:eastAsia="宋体" w:cs="Times New Roman"/>
      <w:sz w:val="21"/>
      <w:szCs w:val="22"/>
      <w:lang w:val="en-US" w:eastAsia="zh-CN" w:bidi="ar-SA"/>
    </w:rPr>
  </w:style>
  <w:style w:type="character" w:customStyle="1" w:styleId="59">
    <w:name w:val="未处理的提及2"/>
    <w:basedOn w:val="28"/>
    <w:unhideWhenUsed/>
    <w:qFormat/>
    <w:uiPriority w:val="99"/>
    <w:rPr>
      <w:color w:val="605E5C"/>
      <w:shd w:val="clear" w:color="auto" w:fill="E1DFDD"/>
    </w:rPr>
  </w:style>
  <w:style w:type="paragraph" w:customStyle="1" w:styleId="60">
    <w:name w:val="修订13"/>
    <w:unhideWhenUsed/>
    <w:qFormat/>
    <w:uiPriority w:val="99"/>
    <w:rPr>
      <w:rFonts w:ascii="Times New Roman" w:hAnsi="Times New Roman" w:eastAsia="宋体" w:cs="Times New Roman"/>
      <w:sz w:val="21"/>
      <w:szCs w:val="22"/>
      <w:lang w:val="en-US" w:eastAsia="zh-CN" w:bidi="ar-SA"/>
    </w:rPr>
  </w:style>
  <w:style w:type="paragraph" w:customStyle="1" w:styleId="61">
    <w:name w:val="修订14"/>
    <w:unhideWhenUsed/>
    <w:qFormat/>
    <w:uiPriority w:val="99"/>
    <w:rPr>
      <w:rFonts w:ascii="Times New Roman" w:hAnsi="Times New Roman" w:eastAsia="宋体" w:cs="Times New Roman"/>
      <w:sz w:val="21"/>
      <w:szCs w:val="22"/>
      <w:lang w:val="en-US" w:eastAsia="zh-CN" w:bidi="ar-SA"/>
    </w:rPr>
  </w:style>
  <w:style w:type="paragraph" w:customStyle="1" w:styleId="62">
    <w:name w:val="修订15"/>
    <w:hidden/>
    <w:unhideWhenUsed/>
    <w:qFormat/>
    <w:uiPriority w:val="99"/>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D6B5FF-7893-44F5-9EC5-7BAC77A13D23}">
  <ds:schemaRefs/>
</ds:datastoreItem>
</file>

<file path=docProps/app.xml><?xml version="1.0" encoding="utf-8"?>
<Properties xmlns="http://schemas.openxmlformats.org/officeDocument/2006/extended-properties" xmlns:vt="http://schemas.openxmlformats.org/officeDocument/2006/docPropsVTypes">
  <Template>Normal</Template>
  <Pages>73</Pages>
  <Words>22397</Words>
  <Characters>22924</Characters>
  <Lines>283</Lines>
  <Paragraphs>79</Paragraphs>
  <TotalTime>7</TotalTime>
  <ScaleCrop>false</ScaleCrop>
  <LinksUpToDate>false</LinksUpToDate>
  <CharactersWithSpaces>23056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2026-03-31T07:46:00Z</dcterms:created>
  <dc:creator>李志杰</dc:creator>
  <cp:lastModifiedBy>长治高新区经安部</cp:lastModifiedBy>
  <cp:lastPrinted>2026-01-08T07:28:00Z</cp:lastPrinted>
  <dcterms:modified xsi:type="dcterms:W3CDTF">2026-05-18T09:37:18Z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04B6AA150CE34913BFAFC047425B696D_13</vt:lpwstr>
  </property>
  <property fmtid="{D5CDD505-2E9C-101B-9397-08002B2CF9AE}" pid="4" name="KSOTemplateDocerSaveRecord">
    <vt:lpwstr>eyJoZGlkIjoiODNlYTA1YjMwMGVmOTVhNWU3NzRkMzJmM2ZiMzNiYzUiLCJ1c2VySWQiOiIxMzk3NjE4OTI2In0=</vt:lpwstr>
  </property>
</Properties>
</file>